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7A7BCA1E9D4C7CA66D6EC1EF06EFF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ПРОЕКТ НА КОРИГИРАЩ БЮДЖЕТ № 2</w:t>
      </w:r>
      <w:r>
        <w:rPr>
          <w:noProof/>
        </w:rPr>
        <w:br/>
        <w:t>КЪМ ОБЩИЯ БЮДЖЕТ ЗА 2016 Г.</w:t>
      </w:r>
    </w:p>
    <w:p>
      <w:pPr>
        <w:pStyle w:val="Titreobjet"/>
        <w:rPr>
          <w:noProof/>
        </w:rPr>
      </w:pPr>
      <w:r>
        <w:rPr>
          <w:noProof/>
        </w:rPr>
        <w:t>ЗА ВПИСВАНЕ НА ИЗЛИШЪКА ОТ 2015 ФИНАНСОВА ГОДИНА</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rPr>
          <w:noProof/>
        </w:rPr>
      </w:pPr>
      <w:r>
        <w:rPr>
          <w:noProof/>
        </w:rPr>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18, параграф 3 и член 41 от него,</w:t>
      </w:r>
    </w:p>
    <w:p>
      <w:pPr>
        <w:pStyle w:val="Tiret0"/>
        <w:rPr>
          <w:noProof/>
        </w:rPr>
      </w:pPr>
      <w:r>
        <w:rPr>
          <w:noProof/>
        </w:rPr>
        <w:t>общия бюджет на Европейския съюз за 2016 финансова година, приет на 23 ноември 2015 г.</w:t>
      </w:r>
      <w:r>
        <w:rPr>
          <w:rStyle w:val="FootnoteReference"/>
          <w:noProof/>
        </w:rPr>
        <w:footnoteReference w:id="3"/>
      </w:r>
      <w:r>
        <w:rPr>
          <w:noProof/>
        </w:rPr>
        <w:t>,</w:t>
      </w:r>
    </w:p>
    <w:p>
      <w:pPr>
        <w:pStyle w:val="Tiret0"/>
        <w:rPr>
          <w:noProof/>
        </w:rPr>
      </w:pPr>
      <w:r>
        <w:rPr>
          <w:noProof/>
        </w:rPr>
        <w:t>коригиращ бюджет № 1/2016</w:t>
      </w:r>
      <w:r>
        <w:rPr>
          <w:rStyle w:val="FootnoteReference"/>
          <w:noProof/>
        </w:rPr>
        <w:footnoteReference w:id="4"/>
      </w:r>
      <w:r>
        <w:rPr>
          <w:noProof/>
        </w:rPr>
        <w:t>, приет на 14 април 2016 г.,</w:t>
      </w:r>
    </w:p>
    <w:p>
      <w:pPr>
        <w:jc w:val="both"/>
        <w:rPr>
          <w:noProof/>
        </w:rPr>
      </w:pPr>
      <w:r>
        <w:rPr>
          <w:noProof/>
        </w:rPr>
        <w:t>С настоящото Европейската комисия представя на Европейския парламент и на Съвета проект на коригиращ бюджет № 2 към бюджета за 2016 г.</w:t>
      </w:r>
    </w:p>
    <w:p>
      <w:pPr>
        <w:rPr>
          <w:b/>
          <w:noProof/>
          <w:u w:val="single"/>
        </w:rPr>
      </w:pPr>
    </w:p>
    <w:p>
      <w:pPr>
        <w:jc w:val="both"/>
        <w:rPr>
          <w:b/>
          <w:noProof/>
          <w:u w:val="single"/>
        </w:rPr>
      </w:pPr>
      <w:r>
        <w:rPr>
          <w:b/>
          <w:noProof/>
          <w:u w:val="single"/>
        </w:rPr>
        <w:t>ПРОМЕНИ В ПРИХОДНАТА И РАЗХОДНАТА ЧАСТ НА БЮДЖЕТА ПО РАЗДЕЛИ</w:t>
      </w:r>
    </w:p>
    <w:p>
      <w:pPr>
        <w:rPr>
          <w:b/>
          <w:noProof/>
          <w:u w:val="single"/>
        </w:rPr>
      </w:pPr>
    </w:p>
    <w:p>
      <w:pPr>
        <w:jc w:val="both"/>
        <w:rPr>
          <w:noProof/>
        </w:rPr>
      </w:pPr>
      <w:r>
        <w:rPr>
          <w:noProof/>
        </w:rPr>
        <w:t>Промените в приходната и разходната част на бюджета по раздели са достъпни в EUR-Lex (</w:t>
      </w:r>
      <w:hyperlink r:id="rId22">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7" w:bottom="1134" w:left="1417" w:header="709" w:footer="709" w:gutter="0"/>
          <w:cols w:space="708"/>
          <w:docGrid w:linePitch="360"/>
        </w:sectPr>
      </w:pPr>
    </w:p>
    <w:p>
      <w:pPr>
        <w:pStyle w:val="Exposdesmotifstitre"/>
        <w:rPr>
          <w:noProof/>
        </w:rPr>
      </w:pPr>
      <w:bookmarkStart w:id="2" w:name="_Toc194220890"/>
      <w:bookmarkStart w:id="3" w:name="_Toc294675429"/>
      <w:bookmarkStart w:id="4" w:name="_Toc378575883"/>
      <w:r>
        <w:rPr>
          <w:noProof/>
        </w:rPr>
        <w:t>ОБЯСНИТЕЛЕН МЕМОРАНДУМ</w:t>
      </w:r>
    </w:p>
    <w:p>
      <w:pPr>
        <w:jc w:val="both"/>
        <w:rPr>
          <w:noProof/>
        </w:rPr>
      </w:pPr>
      <w:r>
        <w:rPr>
          <w:noProof/>
        </w:rPr>
        <w:t>Настоящият проект на коригиращ бюджет (ПКБ) № 2/2016 има за цел да бъде включен в бюджета за 2016 г. излишъкът в резултат на изпълнението на 2015 бюджетна година. Съгласно предвиденото във Финансовия регламент, приложим за общия бюджет на Съюза</w:t>
      </w:r>
      <w:r>
        <w:rPr>
          <w:noProof/>
          <w:vertAlign w:val="superscript"/>
        </w:rPr>
        <w:footnoteReference w:id="5"/>
      </w:r>
      <w:r>
        <w:rPr>
          <w:noProof/>
        </w:rPr>
        <w:t>, по силата на член 18, параграф 3 това е единственият предмет на настоящия ПКБ и той трябва да бъде внесен в срок от 15 дни след внасянето на междинните отчети в края на март 2016 г.</w:t>
      </w:r>
    </w:p>
    <w:p>
      <w:pPr>
        <w:pStyle w:val="NumPar1"/>
        <w:rPr>
          <w:noProof/>
        </w:rPr>
      </w:pPr>
      <w:r>
        <w:rPr>
          <w:noProof/>
        </w:rPr>
        <w:t>Изпълнението на 2015 бюджетна година показва излишък в размер на 1 349 116 813,74 EUR (без вноските от държавите от Европейската асоциация за свободна търговия (ЕАСТ), които са страна по Споразумението за Европейското икономическо пространство (ЕИП)), който следователно се записва като приход в бюджета за 2016 г.</w:t>
      </w:r>
    </w:p>
    <w:p>
      <w:pPr>
        <w:pStyle w:val="Text1"/>
        <w:spacing w:after="240"/>
        <w:ind w:left="851"/>
        <w:rPr>
          <w:noProof/>
        </w:rPr>
      </w:pPr>
      <w:r>
        <w:rPr>
          <w:noProof/>
        </w:rPr>
        <w:t>Излишъкът е резултат от сбора на елементите, изброени в таблицата по-долу:</w:t>
      </w:r>
    </w:p>
    <w:p>
      <w:pPr>
        <w:pStyle w:val="NormalRight"/>
        <w:keepNext/>
        <w:tabs>
          <w:tab w:val="left" w:pos="9781"/>
        </w:tabs>
        <w:spacing w:before="0" w:after="0"/>
        <w:ind w:right="-58"/>
        <w:rPr>
          <w:noProof/>
        </w:rPr>
      </w:pPr>
      <w:r>
        <w:rPr>
          <w:i/>
          <w:noProof/>
          <w:sz w:val="20"/>
        </w:rPr>
        <w:t>(в EUR)</w:t>
      </w:r>
    </w:p>
    <w:tbl>
      <w:tblPr>
        <w:tblW w:w="9101" w:type="dxa"/>
        <w:jc w:val="right"/>
        <w:tblInd w:w="-492" w:type="dxa"/>
        <w:tblLayout w:type="fixed"/>
        <w:tblLook w:val="0000" w:firstRow="0" w:lastRow="0" w:firstColumn="0" w:lastColumn="0" w:noHBand="0" w:noVBand="0"/>
      </w:tblPr>
      <w:tblGrid>
        <w:gridCol w:w="4063"/>
        <w:gridCol w:w="1680"/>
        <w:gridCol w:w="1657"/>
        <w:gridCol w:w="1701"/>
      </w:tblGrid>
      <w:tr>
        <w:trPr>
          <w:trHeight w:val="396"/>
          <w:jc w:val="right"/>
        </w:trPr>
        <w:tc>
          <w:tcPr>
            <w:tcW w:w="4063"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2015 г.</w:t>
            </w:r>
          </w:p>
        </w:tc>
        <w:tc>
          <w:tcPr>
            <w:tcW w:w="1680"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ЕАСТ—ЕИП</w:t>
            </w:r>
          </w:p>
        </w:tc>
        <w:tc>
          <w:tcPr>
            <w:tcW w:w="1657"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Европейски съюз</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Общо</w:t>
            </w:r>
          </w:p>
        </w:tc>
      </w:tr>
      <w:tr>
        <w:trPr>
          <w:trHeight w:val="360"/>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noProof/>
                <w:color w:val="000000"/>
                <w:sz w:val="16"/>
              </w:rPr>
              <w:t>Приходи за финансовата година</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392 009 812,00</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146 231 620 482,45</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146 623 630 294,45</w:t>
            </w:r>
          </w:p>
        </w:tc>
      </w:tr>
      <w:tr>
        <w:trPr>
          <w:trHeight w:val="407"/>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noProof/>
                <w:color w:val="000000"/>
                <w:sz w:val="16"/>
              </w:rPr>
              <w:t>Плащания спрямо бюджетните кредити за текущата година</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-390 202 429,00</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-143 094 537 574,31</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ind w:left="181" w:hanging="181"/>
              <w:jc w:val="right"/>
              <w:rPr>
                <w:b/>
                <w:bCs/>
                <w:noProof/>
                <w:color w:val="000000"/>
                <w:sz w:val="16"/>
                <w:szCs w:val="16"/>
              </w:rPr>
            </w:pPr>
            <w:r>
              <w:rPr>
                <w:b/>
                <w:noProof/>
                <w:color w:val="000000"/>
                <w:sz w:val="16"/>
              </w:rPr>
              <w:t>-143 484 740 003,31</w:t>
            </w:r>
          </w:p>
        </w:tc>
      </w:tr>
      <w:tr>
        <w:trPr>
          <w:trHeight w:val="400"/>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noProof/>
                <w:color w:val="000000"/>
                <w:sz w:val="16"/>
              </w:rPr>
              <w:t xml:space="preserve">Бюджетни кредити за плащания, пренесени за година </w:t>
            </w:r>
            <w:r>
              <w:rPr>
                <w:rStyle w:val="CommentReference"/>
                <w:noProof/>
              </w:rPr>
              <w:t>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-4 428 001,55</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-1 294 470 333,92</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-1 298 898 335,47</w:t>
            </w:r>
          </w:p>
        </w:tc>
      </w:tr>
      <w:tr>
        <w:trPr>
          <w:trHeight w:val="494"/>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noProof/>
                <w:color w:val="000000"/>
                <w:sz w:val="16"/>
              </w:rPr>
              <w:t>Отмяна на неусвоените бюджетни кредити, пренесени от година 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382 622,81</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28 202 729,20</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28 585 352,01</w:t>
            </w:r>
          </w:p>
        </w:tc>
      </w:tr>
      <w:tr>
        <w:trPr>
          <w:trHeight w:val="494"/>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i/>
                <w:noProof/>
                <w:color w:val="000000"/>
                <w:sz w:val="16"/>
                <w:szCs w:val="16"/>
              </w:rPr>
            </w:pPr>
            <w:r>
              <w:rPr>
                <w:b/>
                <w:i/>
                <w:noProof/>
                <w:color w:val="000000"/>
                <w:sz w:val="16"/>
              </w:rPr>
              <w:t>Разлика между целевите приходи, пренесени от година N-1 за година N и от година N за година 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-704 014 356,32</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-704 014 356,32</w:t>
            </w:r>
          </w:p>
        </w:tc>
      </w:tr>
      <w:tr>
        <w:trPr>
          <w:trHeight w:val="391"/>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noProof/>
                <w:color w:val="000000"/>
                <w:sz w:val="16"/>
              </w:rPr>
              <w:t>Курсови разлики за годината</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182 315 866,64</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noProof/>
                <w:color w:val="000000"/>
                <w:sz w:val="16"/>
              </w:rPr>
              <w:t>182 315 866,64</w:t>
            </w:r>
          </w:p>
        </w:tc>
      </w:tr>
      <w:tr>
        <w:trPr>
          <w:trHeight w:val="325"/>
          <w:jc w:val="right"/>
        </w:trPr>
        <w:tc>
          <w:tcPr>
            <w:tcW w:w="4063"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center"/>
              <w:rPr>
                <w:b/>
                <w:bCs/>
                <w:noProof/>
                <w:color w:val="000000"/>
                <w:sz w:val="16"/>
                <w:szCs w:val="16"/>
              </w:rPr>
            </w:pPr>
            <w:r>
              <w:rPr>
                <w:b/>
                <w:noProof/>
                <w:color w:val="000000"/>
                <w:sz w:val="16"/>
              </w:rPr>
              <w:t>Резултат от изпълнението на бюджета за 2015 г.</w:t>
            </w:r>
          </w:p>
        </w:tc>
        <w:tc>
          <w:tcPr>
            <w:tcW w:w="1680"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noProof/>
                <w:color w:val="000000"/>
                <w:sz w:val="16"/>
              </w:rPr>
              <w:t>-2 237 995,74</w:t>
            </w:r>
          </w:p>
        </w:tc>
        <w:tc>
          <w:tcPr>
            <w:tcW w:w="1657"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noProof/>
                <w:color w:val="000000"/>
                <w:sz w:val="16"/>
              </w:rPr>
              <w:t>1 349 116 813,74</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noProof/>
                <w:color w:val="000000"/>
                <w:sz w:val="16"/>
              </w:rPr>
              <w:t>1 346 878 818,00</w:t>
            </w:r>
          </w:p>
        </w:tc>
      </w:tr>
    </w:tbl>
    <w:bookmarkEnd w:id="2"/>
    <w:p>
      <w:pPr>
        <w:pStyle w:val="NumPar1"/>
        <w:spacing w:before="240"/>
        <w:ind w:left="851" w:hanging="851"/>
        <w:rPr>
          <w:noProof/>
        </w:rPr>
      </w:pPr>
      <w:r>
        <w:rPr>
          <w:noProof/>
        </w:rPr>
        <w:t xml:space="preserve">Включването на излишъка в бюджета ще намали в съответната степен общото финансово участие на държавите членки във финансирането на бюджета на ЕС за 2016 г. </w:t>
      </w:r>
    </w:p>
    <w:p>
      <w:pPr>
        <w:pStyle w:val="NumPar1"/>
        <w:spacing w:before="240"/>
        <w:ind w:left="851" w:hanging="851"/>
        <w:rPr>
          <w:noProof/>
        </w:rPr>
      </w:pPr>
      <w:r>
        <w:rPr>
          <w:noProof/>
        </w:rPr>
        <w:t>Таблицата по-долу представя разбивка на резултата от изпълнението на бюджета на Европейския съюз за 2015 г. (приходи и разходи, за всички институции):</w:t>
      </w:r>
    </w:p>
    <w:p>
      <w:pPr>
        <w:pStyle w:val="NormalRight"/>
        <w:keepNext/>
        <w:spacing w:before="0" w:after="0"/>
        <w:ind w:right="651"/>
        <w:rPr>
          <w:noProof/>
        </w:rPr>
      </w:pPr>
      <w:r>
        <w:rPr>
          <w:noProof/>
        </w:rPr>
        <w:br w:type="page"/>
      </w:r>
      <w:r>
        <w:rPr>
          <w:i/>
          <w:noProof/>
          <w:sz w:val="20"/>
        </w:rPr>
        <w:t>(в милиони EUR)</w:t>
      </w:r>
    </w:p>
    <w:tbl>
      <w:tblPr>
        <w:tblW w:w="0" w:type="auto"/>
        <w:jc w:val="center"/>
        <w:tblLayout w:type="fixed"/>
        <w:tblCellMar>
          <w:left w:w="40" w:type="dxa"/>
          <w:right w:w="40" w:type="dxa"/>
        </w:tblCellMar>
        <w:tblLook w:val="0000" w:firstRow="0" w:lastRow="0" w:firstColumn="0" w:lastColumn="0" w:noHBand="0" w:noVBand="0"/>
      </w:tblPr>
      <w:tblGrid>
        <w:gridCol w:w="426"/>
        <w:gridCol w:w="7560"/>
        <w:gridCol w:w="738"/>
      </w:tblGrid>
      <w:tr>
        <w:trPr>
          <w:tblHeader/>
          <w:jc w:val="center"/>
        </w:trPr>
        <w:tc>
          <w:tcPr>
            <w:tcW w:w="8724" w:type="dxa"/>
            <w:gridSpan w:val="3"/>
            <w:tcBorders>
              <w:top w:val="single" w:sz="4" w:space="0" w:color="auto"/>
              <w:left w:val="single" w:sz="4" w:space="0" w:color="auto"/>
              <w:bottom w:val="single" w:sz="4" w:space="0" w:color="auto"/>
              <w:right w:val="single" w:sz="4" w:space="0" w:color="auto"/>
            </w:tcBorders>
            <w:shd w:val="clear" w:color="auto" w:fill="E0E0E0"/>
          </w:tcPr>
          <w:p>
            <w:pPr>
              <w:pStyle w:val="NormalCentered"/>
              <w:spacing w:before="30" w:after="30"/>
              <w:rPr>
                <w:noProof/>
                <w:sz w:val="16"/>
                <w:szCs w:val="16"/>
              </w:rPr>
            </w:pPr>
            <w:r>
              <w:rPr>
                <w:b/>
                <w:noProof/>
                <w:sz w:val="16"/>
              </w:rPr>
              <w:t>Разбивка на резултата от изпълнението на бюджета за 2015 г.</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noProof/>
                <w:sz w:val="16"/>
              </w:rPr>
              <w:t>Междинна сума на резултата по отношение на приходите</w:t>
            </w:r>
          </w:p>
        </w:tc>
        <w:tc>
          <w:tcPr>
            <w:tcW w:w="738" w:type="dxa"/>
            <w:tcBorders>
              <w:top w:val="nil"/>
              <w:left w:val="nil"/>
              <w:bottom w:val="single" w:sz="4" w:space="0" w:color="auto"/>
              <w:right w:val="single" w:sz="4" w:space="0" w:color="auto"/>
            </w:tcBorders>
            <w:shd w:val="clear" w:color="auto" w:fill="E0E0E0"/>
          </w:tcPr>
          <w:p>
            <w:pPr>
              <w:pStyle w:val="NormalRight"/>
              <w:tabs>
                <w:tab w:val="left" w:pos="589"/>
              </w:tabs>
              <w:spacing w:before="30" w:after="30"/>
              <w:rPr>
                <w:b/>
                <w:noProof/>
                <w:sz w:val="16"/>
                <w:szCs w:val="16"/>
              </w:rPr>
            </w:pPr>
            <w:r>
              <w:rPr>
                <w:b/>
                <w:noProof/>
                <w:sz w:val="16"/>
              </w:rPr>
              <w:t>980</w:t>
            </w:r>
          </w:p>
        </w:tc>
      </w:tr>
      <w:tr>
        <w:trPr>
          <w:jc w:val="center"/>
        </w:trPr>
        <w:tc>
          <w:tcPr>
            <w:tcW w:w="7986" w:type="dxa"/>
            <w:gridSpan w:val="2"/>
            <w:tcBorders>
              <w:top w:val="nil"/>
              <w:left w:val="single" w:sz="4" w:space="0" w:color="auto"/>
              <w:bottom w:val="dotted" w:sz="2" w:space="0" w:color="auto"/>
              <w:right w:val="nil"/>
            </w:tcBorders>
          </w:tcPr>
          <w:p>
            <w:pPr>
              <w:spacing w:before="30" w:after="30"/>
              <w:rPr>
                <w:noProof/>
                <w:sz w:val="16"/>
                <w:szCs w:val="16"/>
              </w:rPr>
            </w:pPr>
            <w:r>
              <w:rPr>
                <w:b/>
                <w:noProof/>
                <w:sz w:val="16"/>
              </w:rPr>
              <w:t>Резултат по отношение на приходите (разлики между събрани приходи и приходи, включени в бюджета), от който:</w:t>
            </w:r>
          </w:p>
        </w:tc>
        <w:tc>
          <w:tcPr>
            <w:tcW w:w="738" w:type="dxa"/>
            <w:tcBorders>
              <w:top w:val="nil"/>
              <w:left w:val="nil"/>
              <w:bottom w:val="dotted" w:sz="2" w:space="0" w:color="auto"/>
              <w:right w:val="single" w:sz="4" w:space="0" w:color="auto"/>
            </w:tcBorders>
          </w:tcPr>
          <w:p>
            <w:pPr>
              <w:pStyle w:val="NormalRight"/>
              <w:spacing w:before="30" w:after="30"/>
              <w:rPr>
                <w:b/>
                <w:noProof/>
                <w:sz w:val="16"/>
                <w:szCs w:val="16"/>
              </w:rPr>
            </w:pPr>
          </w:p>
        </w:tc>
      </w:tr>
      <w:tr>
        <w:trPr>
          <w:jc w:val="center"/>
        </w:trPr>
        <w:tc>
          <w:tcPr>
            <w:tcW w:w="426" w:type="dxa"/>
            <w:tcBorders>
              <w:top w:val="nil"/>
              <w:left w:val="single" w:sz="4" w:space="0" w:color="auto"/>
              <w:bottom w:val="dotted" w:sz="2" w:space="0" w:color="auto"/>
              <w:right w:val="nil"/>
            </w:tcBorders>
          </w:tcPr>
          <w:p>
            <w:pPr>
              <w:pStyle w:val="NormalRight"/>
              <w:spacing w:before="30" w:after="30"/>
              <w:rPr>
                <w:noProof/>
                <w:sz w:val="16"/>
                <w:szCs w:val="16"/>
              </w:rPr>
            </w:pPr>
            <w:r>
              <w:rPr>
                <w:i/>
                <w:noProof/>
                <w:sz w:val="16"/>
              </w:rPr>
              <w:t>—</w:t>
            </w:r>
          </w:p>
        </w:tc>
        <w:tc>
          <w:tcPr>
            <w:tcW w:w="7560" w:type="dxa"/>
            <w:tcBorders>
              <w:top w:val="nil"/>
              <w:left w:val="nil"/>
              <w:bottom w:val="dotted" w:sz="2" w:space="0" w:color="auto"/>
              <w:right w:val="nil"/>
            </w:tcBorders>
          </w:tcPr>
          <w:p>
            <w:pPr>
              <w:spacing w:before="30" w:after="30"/>
              <w:rPr>
                <w:noProof/>
                <w:sz w:val="16"/>
                <w:szCs w:val="16"/>
              </w:rPr>
            </w:pPr>
            <w:r>
              <w:rPr>
                <w:noProof/>
                <w:sz w:val="16"/>
              </w:rPr>
              <w:t>Дял 1 (собствени ресурси)</w:t>
            </w:r>
          </w:p>
        </w:tc>
        <w:tc>
          <w:tcPr>
            <w:tcW w:w="738"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1 071</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noProof/>
                <w:sz w:val="16"/>
              </w:rPr>
              <w:t>—</w:t>
            </w:r>
          </w:p>
        </w:tc>
        <w:tc>
          <w:tcPr>
            <w:tcW w:w="7560" w:type="dxa"/>
            <w:tcBorders>
              <w:top w:val="dotted" w:sz="2" w:space="0" w:color="auto"/>
              <w:left w:val="nil"/>
              <w:bottom w:val="dotted" w:sz="2" w:space="0" w:color="auto"/>
              <w:right w:val="nil"/>
            </w:tcBorders>
          </w:tcPr>
          <w:p>
            <w:pPr>
              <w:spacing w:before="30" w:after="30"/>
              <w:rPr>
                <w:i/>
                <w:iCs/>
                <w:noProof/>
                <w:sz w:val="16"/>
                <w:szCs w:val="16"/>
              </w:rPr>
            </w:pPr>
            <w:r>
              <w:rPr>
                <w:noProof/>
                <w:sz w:val="16"/>
              </w:rPr>
              <w:t>Дял 3 (излишъци, салда и корекции)</w:t>
            </w:r>
          </w:p>
        </w:tc>
        <w:tc>
          <w:tcPr>
            <w:tcW w:w="738" w:type="dxa"/>
            <w:tcBorders>
              <w:top w:val="dotted" w:sz="2" w:space="0" w:color="auto"/>
              <w:left w:val="nil"/>
              <w:bottom w:val="dotted" w:sz="2" w:space="0" w:color="auto"/>
              <w:right w:val="single" w:sz="4" w:space="0" w:color="auto"/>
            </w:tcBorders>
          </w:tcPr>
          <w:p>
            <w:pPr>
              <w:pStyle w:val="NormalRight"/>
              <w:spacing w:before="30" w:after="30"/>
              <w:rPr>
                <w:iCs/>
                <w:noProof/>
                <w:sz w:val="16"/>
                <w:szCs w:val="16"/>
              </w:rPr>
            </w:pPr>
            <w:r>
              <w:rPr>
                <w:noProof/>
                <w:sz w:val="16"/>
              </w:rPr>
              <w:t>-537</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noProof/>
                <w:sz w:val="16"/>
              </w:rPr>
              <w:t>—</w:t>
            </w:r>
          </w:p>
        </w:tc>
        <w:tc>
          <w:tcPr>
            <w:tcW w:w="7560" w:type="dxa"/>
            <w:tcBorders>
              <w:top w:val="dotted" w:sz="2" w:space="0" w:color="auto"/>
              <w:left w:val="nil"/>
              <w:bottom w:val="dotted" w:sz="2" w:space="0" w:color="auto"/>
              <w:right w:val="nil"/>
            </w:tcBorders>
          </w:tcPr>
          <w:p>
            <w:pPr>
              <w:spacing w:before="30" w:after="30"/>
              <w:rPr>
                <w:i/>
                <w:iCs/>
                <w:noProof/>
                <w:sz w:val="16"/>
                <w:szCs w:val="16"/>
              </w:rPr>
            </w:pPr>
            <w:r>
              <w:rPr>
                <w:noProof/>
                <w:sz w:val="16"/>
              </w:rPr>
              <w:t>Дял 7 (лихви за просрочени плащания и глоби)</w:t>
            </w:r>
          </w:p>
        </w:tc>
        <w:tc>
          <w:tcPr>
            <w:tcW w:w="738" w:type="dxa"/>
            <w:tcBorders>
              <w:top w:val="dotted" w:sz="2" w:space="0" w:color="auto"/>
              <w:left w:val="nil"/>
              <w:bottom w:val="dotted" w:sz="2" w:space="0" w:color="auto"/>
              <w:right w:val="single" w:sz="4" w:space="0" w:color="auto"/>
            </w:tcBorders>
          </w:tcPr>
          <w:p>
            <w:pPr>
              <w:pStyle w:val="NormalRight"/>
              <w:spacing w:before="30" w:after="30"/>
              <w:rPr>
                <w:iCs/>
                <w:noProof/>
                <w:sz w:val="16"/>
                <w:szCs w:val="16"/>
              </w:rPr>
            </w:pPr>
            <w:r>
              <w:rPr>
                <w:noProof/>
                <w:sz w:val="16"/>
              </w:rPr>
              <w:t>180</w:t>
            </w:r>
          </w:p>
        </w:tc>
      </w:tr>
      <w:tr>
        <w:trPr>
          <w:jc w:val="center"/>
        </w:trPr>
        <w:tc>
          <w:tcPr>
            <w:tcW w:w="426" w:type="dxa"/>
            <w:tcBorders>
              <w:top w:val="dotted" w:sz="2" w:space="0" w:color="auto"/>
              <w:left w:val="single" w:sz="4" w:space="0" w:color="auto"/>
              <w:bottom w:val="single" w:sz="4" w:space="0" w:color="auto"/>
              <w:right w:val="nil"/>
            </w:tcBorders>
          </w:tcPr>
          <w:p>
            <w:pPr>
              <w:pStyle w:val="NormalRight"/>
              <w:spacing w:before="30" w:after="30"/>
              <w:rPr>
                <w:noProof/>
                <w:sz w:val="16"/>
                <w:szCs w:val="16"/>
              </w:rPr>
            </w:pPr>
            <w:r>
              <w:rPr>
                <w:i/>
                <w:noProof/>
                <w:sz w:val="16"/>
              </w:rPr>
              <w:t>—</w:t>
            </w:r>
          </w:p>
        </w:tc>
        <w:tc>
          <w:tcPr>
            <w:tcW w:w="7560" w:type="dxa"/>
            <w:tcBorders>
              <w:top w:val="dotted" w:sz="2" w:space="0" w:color="auto"/>
              <w:left w:val="nil"/>
              <w:bottom w:val="single" w:sz="4" w:space="0" w:color="auto"/>
              <w:right w:val="nil"/>
            </w:tcBorders>
          </w:tcPr>
          <w:p>
            <w:pPr>
              <w:spacing w:before="30" w:after="30"/>
              <w:rPr>
                <w:noProof/>
                <w:sz w:val="16"/>
                <w:szCs w:val="16"/>
              </w:rPr>
            </w:pPr>
            <w:r>
              <w:rPr>
                <w:noProof/>
                <w:sz w:val="16"/>
              </w:rPr>
              <w:t>Други дялове</w:t>
            </w:r>
          </w:p>
        </w:tc>
        <w:tc>
          <w:tcPr>
            <w:tcW w:w="738"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266</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noProof/>
                <w:sz w:val="16"/>
              </w:rPr>
              <w:t>Междинна сума на резултата по отношение на разходите</w:t>
            </w:r>
          </w:p>
        </w:tc>
        <w:tc>
          <w:tcPr>
            <w:tcW w:w="738" w:type="dxa"/>
            <w:tcBorders>
              <w:top w:val="nil"/>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rPr>
              <w:t>187</w:t>
            </w:r>
          </w:p>
        </w:tc>
      </w:tr>
      <w:tr>
        <w:trPr>
          <w:jc w:val="center"/>
        </w:trPr>
        <w:tc>
          <w:tcPr>
            <w:tcW w:w="7986" w:type="dxa"/>
            <w:gridSpan w:val="2"/>
            <w:tcBorders>
              <w:top w:val="nil"/>
              <w:left w:val="single" w:sz="4" w:space="0" w:color="auto"/>
              <w:bottom w:val="dotted" w:sz="2" w:space="0" w:color="auto"/>
              <w:right w:val="nil"/>
            </w:tcBorders>
          </w:tcPr>
          <w:p>
            <w:pPr>
              <w:spacing w:before="30" w:after="30"/>
              <w:rPr>
                <w:noProof/>
                <w:sz w:val="16"/>
                <w:szCs w:val="16"/>
              </w:rPr>
            </w:pPr>
            <w:r>
              <w:rPr>
                <w:b/>
                <w:noProof/>
                <w:sz w:val="16"/>
              </w:rPr>
              <w:t xml:space="preserve">Резултат по отношение на разходите, от който: </w:t>
            </w:r>
          </w:p>
        </w:tc>
        <w:tc>
          <w:tcPr>
            <w:tcW w:w="738" w:type="dxa"/>
            <w:tcBorders>
              <w:top w:val="nil"/>
              <w:left w:val="nil"/>
              <w:bottom w:val="dotted" w:sz="2" w:space="0" w:color="auto"/>
              <w:right w:val="single" w:sz="4" w:space="0" w:color="auto"/>
            </w:tcBorders>
          </w:tcPr>
          <w:p>
            <w:pPr>
              <w:pStyle w:val="NormalRight"/>
              <w:spacing w:before="30" w:after="30"/>
              <w:rPr>
                <w:b/>
                <w:noProof/>
                <w:sz w:val="16"/>
                <w:szCs w:val="16"/>
              </w:rPr>
            </w:pPr>
          </w:p>
        </w:tc>
      </w:tr>
      <w:tr>
        <w:trPr>
          <w:jc w:val="center"/>
        </w:trPr>
        <w:tc>
          <w:tcPr>
            <w:tcW w:w="426" w:type="dxa"/>
            <w:tcBorders>
              <w:top w:val="nil"/>
              <w:left w:val="single" w:sz="4" w:space="0" w:color="auto"/>
              <w:bottom w:val="dotted" w:sz="2" w:space="0" w:color="auto"/>
              <w:right w:val="nil"/>
            </w:tcBorders>
          </w:tcPr>
          <w:p>
            <w:pPr>
              <w:pStyle w:val="NormalRight"/>
              <w:spacing w:before="30" w:after="30"/>
              <w:rPr>
                <w:noProof/>
                <w:sz w:val="16"/>
                <w:szCs w:val="16"/>
              </w:rPr>
            </w:pPr>
            <w:r>
              <w:rPr>
                <w:i/>
                <w:noProof/>
                <w:sz w:val="16"/>
              </w:rPr>
              <w:t>—</w:t>
            </w:r>
          </w:p>
        </w:tc>
        <w:tc>
          <w:tcPr>
            <w:tcW w:w="7560" w:type="dxa"/>
            <w:tcBorders>
              <w:top w:val="nil"/>
              <w:left w:val="nil"/>
              <w:bottom w:val="dotted" w:sz="2" w:space="0" w:color="auto"/>
              <w:right w:val="nil"/>
            </w:tcBorders>
          </w:tcPr>
          <w:p>
            <w:pPr>
              <w:spacing w:before="30" w:after="30"/>
              <w:rPr>
                <w:noProof/>
                <w:sz w:val="16"/>
                <w:szCs w:val="16"/>
              </w:rPr>
            </w:pPr>
            <w:r>
              <w:rPr>
                <w:noProof/>
                <w:sz w:val="16"/>
              </w:rPr>
              <w:t>Непълно усвояване на бюджетните кредити, разрешени в бюджета за 2015 г.: Комисия</w:t>
            </w:r>
          </w:p>
        </w:tc>
        <w:tc>
          <w:tcPr>
            <w:tcW w:w="738"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78</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noProof/>
                <w:sz w:val="16"/>
                <w:szCs w:val="16"/>
              </w:rPr>
            </w:pPr>
            <w:r>
              <w:rPr>
                <w:i/>
                <w:noProof/>
                <w:sz w:val="16"/>
              </w:rPr>
              <w:t>—</w:t>
            </w:r>
          </w:p>
        </w:tc>
        <w:tc>
          <w:tcPr>
            <w:tcW w:w="7560" w:type="dxa"/>
            <w:tcBorders>
              <w:top w:val="dotted" w:sz="2" w:space="0" w:color="auto"/>
              <w:left w:val="nil"/>
              <w:bottom w:val="dotted" w:sz="2" w:space="0" w:color="auto"/>
              <w:right w:val="nil"/>
            </w:tcBorders>
          </w:tcPr>
          <w:p>
            <w:pPr>
              <w:spacing w:before="30" w:after="30"/>
              <w:rPr>
                <w:noProof/>
                <w:sz w:val="16"/>
                <w:szCs w:val="16"/>
              </w:rPr>
            </w:pPr>
            <w:r>
              <w:rPr>
                <w:noProof/>
                <w:sz w:val="16"/>
              </w:rPr>
              <w:t>Непълно усвояване на бюджетните кредити, пренесени от 2014 г.: Комисия</w:t>
            </w:r>
          </w:p>
        </w:tc>
        <w:tc>
          <w:tcPr>
            <w:tcW w:w="738"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14</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noProof/>
                <w:sz w:val="16"/>
              </w:rPr>
              <w:t>—</w:t>
            </w:r>
          </w:p>
        </w:tc>
        <w:tc>
          <w:tcPr>
            <w:tcW w:w="7560" w:type="dxa"/>
            <w:tcBorders>
              <w:top w:val="dotted" w:sz="2" w:space="0" w:color="auto"/>
              <w:left w:val="nil"/>
              <w:bottom w:val="dotted" w:sz="2" w:space="0" w:color="auto"/>
              <w:right w:val="nil"/>
            </w:tcBorders>
          </w:tcPr>
          <w:p>
            <w:pPr>
              <w:spacing w:before="30" w:after="30"/>
              <w:rPr>
                <w:noProof/>
                <w:sz w:val="16"/>
                <w:szCs w:val="16"/>
              </w:rPr>
            </w:pPr>
            <w:r>
              <w:rPr>
                <w:noProof/>
                <w:sz w:val="16"/>
              </w:rPr>
              <w:t>Немобилизирани резерви през 2015 г.</w:t>
            </w:r>
          </w:p>
        </w:tc>
        <w:tc>
          <w:tcPr>
            <w:tcW w:w="738"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0</w:t>
            </w:r>
          </w:p>
        </w:tc>
      </w:tr>
      <w:tr>
        <w:trPr>
          <w:jc w:val="center"/>
        </w:trPr>
        <w:tc>
          <w:tcPr>
            <w:tcW w:w="426" w:type="dxa"/>
            <w:tcBorders>
              <w:top w:val="nil"/>
              <w:left w:val="single" w:sz="4" w:space="0" w:color="auto"/>
              <w:bottom w:val="single" w:sz="4" w:space="0" w:color="auto"/>
              <w:right w:val="nil"/>
            </w:tcBorders>
          </w:tcPr>
          <w:p>
            <w:pPr>
              <w:pStyle w:val="NormalRight"/>
              <w:spacing w:before="30" w:after="30"/>
              <w:rPr>
                <w:noProof/>
                <w:sz w:val="16"/>
                <w:szCs w:val="16"/>
              </w:rPr>
            </w:pPr>
            <w:r>
              <w:rPr>
                <w:i/>
                <w:noProof/>
                <w:sz w:val="16"/>
              </w:rPr>
              <w:t>—</w:t>
            </w:r>
          </w:p>
        </w:tc>
        <w:tc>
          <w:tcPr>
            <w:tcW w:w="7560" w:type="dxa"/>
            <w:tcBorders>
              <w:top w:val="nil"/>
              <w:left w:val="nil"/>
              <w:bottom w:val="single" w:sz="4" w:space="0" w:color="auto"/>
              <w:right w:val="nil"/>
            </w:tcBorders>
          </w:tcPr>
          <w:p>
            <w:pPr>
              <w:spacing w:before="30" w:after="30"/>
              <w:rPr>
                <w:noProof/>
                <w:sz w:val="16"/>
                <w:szCs w:val="16"/>
              </w:rPr>
            </w:pPr>
            <w:r>
              <w:rPr>
                <w:noProof/>
                <w:sz w:val="16"/>
              </w:rPr>
              <w:t>Непълно усвояване на бюджетните кредити, разрешени в бюджета за 2015 г., и на бюджетните кредити, пренесени от 2014 г.: администрация, функция 5 (другите институции)</w:t>
            </w:r>
          </w:p>
        </w:tc>
        <w:tc>
          <w:tcPr>
            <w:tcW w:w="738"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94</w:t>
            </w:r>
          </w:p>
        </w:tc>
      </w:tr>
      <w:tr>
        <w:trPr>
          <w:jc w:val="center"/>
        </w:trPr>
        <w:tc>
          <w:tcPr>
            <w:tcW w:w="7986" w:type="dxa"/>
            <w:gridSpan w:val="2"/>
            <w:tcBorders>
              <w:top w:val="single" w:sz="4" w:space="0" w:color="auto"/>
              <w:left w:val="single" w:sz="4" w:space="0" w:color="auto"/>
              <w:bottom w:val="single" w:sz="4" w:space="0" w:color="auto"/>
              <w:right w:val="nil"/>
            </w:tcBorders>
            <w:shd w:val="clear" w:color="auto" w:fill="E0E0E0"/>
          </w:tcPr>
          <w:p>
            <w:pPr>
              <w:spacing w:before="30" w:after="30"/>
              <w:rPr>
                <w:noProof/>
                <w:sz w:val="16"/>
                <w:szCs w:val="16"/>
              </w:rPr>
            </w:pPr>
            <w:r>
              <w:rPr>
                <w:b/>
                <w:noProof/>
                <w:sz w:val="16"/>
              </w:rPr>
              <w:t>Междинна сума на курсовите разлики</w:t>
            </w:r>
          </w:p>
        </w:tc>
        <w:tc>
          <w:tcPr>
            <w:tcW w:w="738" w:type="dxa"/>
            <w:tcBorders>
              <w:top w:val="single" w:sz="4" w:space="0" w:color="auto"/>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rPr>
              <w:t>182</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noProof/>
                <w:sz w:val="16"/>
              </w:rPr>
              <w:t>Общ резултат от изпълнението на бюджета за 2015 г.</w:t>
            </w:r>
          </w:p>
        </w:tc>
        <w:tc>
          <w:tcPr>
            <w:tcW w:w="738" w:type="dxa"/>
            <w:tcBorders>
              <w:top w:val="nil"/>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rPr>
              <w:t>1 349</w:t>
            </w:r>
          </w:p>
        </w:tc>
      </w:tr>
      <w:bookmarkEnd w:id="3"/>
      <w:bookmarkEnd w:id="4"/>
    </w:tbl>
    <w:p>
      <w:pPr>
        <w:pStyle w:val="ListDash"/>
        <w:numPr>
          <w:ilvl w:val="0"/>
          <w:numId w:val="0"/>
        </w:num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ab/>
      </w:r>
      <w:r>
        <w:rPr>
          <w:sz w:val="18"/>
        </w:rPr>
        <w:t>ОВ L 298, 26.10.2012 г., стр. 1.</w:t>
      </w:r>
    </w:p>
  </w:footnote>
  <w:footnote w:id="3">
    <w:p>
      <w:pPr>
        <w:pStyle w:val="FootnoteText"/>
      </w:pPr>
      <w:r>
        <w:rPr>
          <w:rStyle w:val="FootnoteReference"/>
        </w:rPr>
        <w:footnoteRef/>
      </w:r>
      <w:r>
        <w:tab/>
      </w:r>
      <w:r>
        <w:rPr>
          <w:sz w:val="18"/>
        </w:rPr>
        <w:t>ОВ L 48, 24.2.2016 г., стр. 1.</w:t>
      </w:r>
    </w:p>
  </w:footnote>
  <w:footnote w:id="4">
    <w:p>
      <w:pPr>
        <w:pStyle w:val="FootnoteText"/>
      </w:pPr>
      <w:r>
        <w:rPr>
          <w:rStyle w:val="FootnoteReference"/>
        </w:rPr>
        <w:footnoteRef/>
      </w:r>
      <w:r>
        <w:t xml:space="preserve"> </w:t>
      </w:r>
      <w:r>
        <w:tab/>
        <w:t>ОВ L XXX, XX.XX.XXX г.</w:t>
      </w:r>
    </w:p>
  </w:footnote>
  <w:footnote w:id="5">
    <w:p>
      <w:pPr>
        <w:pStyle w:val="FootnoteText"/>
        <w:rPr>
          <w:lang w:val="pt-PT"/>
        </w:rPr>
      </w:pPr>
      <w:r>
        <w:rPr>
          <w:rStyle w:val="FootnoteReference"/>
        </w:rPr>
        <w:footnoteRef/>
      </w:r>
      <w:r>
        <w:tab/>
      </w:r>
      <w:r>
        <w:rPr>
          <w:sz w:val="18"/>
        </w:rPr>
        <w:t>ОВ L 298, 26.10.2012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
  </w:num>
  <w:num w:numId="4">
    <w:abstractNumId w:val="16"/>
  </w:num>
  <w:num w:numId="5">
    <w:abstractNumId w:val="21"/>
  </w:num>
  <w:num w:numId="6">
    <w:abstractNumId w:val="16"/>
  </w:num>
  <w:num w:numId="7">
    <w:abstractNumId w:val="20"/>
  </w:num>
  <w:num w:numId="8">
    <w:abstractNumId w:val="14"/>
  </w:num>
  <w:num w:numId="9">
    <w:abstractNumId w:val="7"/>
  </w:num>
  <w:num w:numId="10">
    <w:abstractNumId w:val="12"/>
  </w:num>
  <w:num w:numId="11">
    <w:abstractNumId w:val="13"/>
  </w:num>
  <w:num w:numId="12">
    <w:abstractNumId w:val="5"/>
  </w:num>
  <w:num w:numId="13">
    <w:abstractNumId w:val="6"/>
  </w:num>
  <w:num w:numId="14">
    <w:abstractNumId w:val="8"/>
  </w:num>
  <w:num w:numId="15">
    <w:abstractNumId w:val="10"/>
  </w:num>
  <w:num w:numId="16">
    <w:abstractNumId w:val="18"/>
  </w:num>
  <w:num w:numId="17">
    <w:abstractNumId w:val="16"/>
  </w:num>
  <w:num w:numId="18">
    <w:abstractNumId w:val="19"/>
  </w:num>
  <w:num w:numId="19">
    <w:abstractNumId w:val="4"/>
  </w:num>
  <w:num w:numId="20">
    <w:abstractNumId w:val="9"/>
  </w:num>
  <w:num w:numId="21">
    <w:abstractNumId w:val="16"/>
  </w:num>
  <w:num w:numId="22">
    <w:abstractNumId w:val="16"/>
  </w:num>
  <w:num w:numId="23">
    <w:abstractNumId w:val="0"/>
  </w:num>
  <w:num w:numId="24">
    <w:abstractNumId w:val="17"/>
  </w:num>
  <w:num w:numId="25">
    <w:abstractNumId w:val="15"/>
  </w:num>
  <w:num w:numId="26">
    <w:abstractNumId w:val="3"/>
  </w:num>
  <w:num w:numId="27">
    <w:abstractNumId w:val="22"/>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E7A7BCA1E9D4C7CA66D6EC1EF06EFF4"/>
    <w:docVar w:name="LW_CROSSREFERENCE" w:val="&lt;UNUSED&gt;"/>
    <w:docVar w:name="LW_DocType" w:val="NORMAL"/>
    <w:docVar w:name="LW_EMISSION" w:val="15.4.2016"/>
    <w:docVar w:name="LW_EMISSION_ISODATE" w:val="2016-04-1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27"/>
    <w:docVar w:name="LW_REF.INTERNE" w:val="&lt;UNUSED&gt;"/>
    <w:docVar w:name="LW_SOUS.TITRE.OBJ.CP" w:val="&lt;UNUSED&gt;"/>
    <w:docVar w:name="LW_SUPERTITRE" w:val="&lt;UNUSED&gt;"/>
    <w:docVar w:name="LW_TITRE.OBJ.CP" w:val="\u1047?\u1040? \u1042?\u1055?\u1048?\u1057?\u1042?\u1040?\u1053?\u1045? \u1053?\u1040? \u1048?\u1047?\u1051?\u1048?\u1064?\u1066?\u1050?\u1040? \u1054?\u1058? 2015 \u1060?\u1048?\u1053?\u1040?\u1053?\u1057?\u1054?\u1042?\u1040? \u1043?\u1054?\u1044?\u1048?\u1053?\u1040?"/>
    <w:docVar w:name="LW_TITRE.OBJ.CP_PREVIOUS" w:val="&lt;UNUSED&gt;"/>
    <w:docVar w:name="LW_TYPE.DOC.CP" w:val="\u1055?\u1056?\u1054?\u1045?\u1050?\u1058? \u1053?\u1040? \u1050?\u1054?\u1056?\u1048?\u1043?\u1048?\u1056?\u1040?\u1065? \u1041?\u1070?\u1044?\u1046?\u1045?\u1058? \u8470? 2_x000b_\u1050?\u1066?\u1052? \u1054?\u1041?\u1065?\u1048?\u1071? \u1041?\u1070?\u1044?\u1046?\u1045?\u1058? \u1047?\u1040? 2016 \u104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bg.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3B17-F74C-4635-8FF1-5C25913B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664</Words>
  <Characters>3391</Characters>
  <Application>Microsoft Office Word</Application>
  <DocSecurity>0</DocSecurity>
  <Lines>125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3965</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2016-04-01T12:50:00Z</cp:lastPrinted>
  <dcterms:created xsi:type="dcterms:W3CDTF">2016-04-13T10:09:00Z</dcterms:created>
  <dcterms:modified xsi:type="dcterms:W3CDTF">2016-04-14T15:21:00Z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