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ED" w:rsidRPr="008A24E6" w:rsidRDefault="00E37D8A" w:rsidP="008A24E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8cdd829-5284-4b9e-a982-262badec7cde_0" style="width:568.4pt;height:480pt">
            <v:imagedata r:id="rId8" o:title=""/>
          </v:shape>
        </w:pict>
      </w:r>
      <w:bookmarkEnd w:id="0"/>
    </w:p>
    <w:p w:rsidR="006F4B2C" w:rsidRPr="00E36981" w:rsidRDefault="006F4B2C" w:rsidP="006F4B2C">
      <w:pPr>
        <w:spacing w:before="120" w:after="240"/>
        <w:rPr>
          <w:b/>
          <w:iCs/>
          <w:color w:val="000000"/>
          <w:u w:val="single"/>
        </w:rPr>
      </w:pPr>
      <w:r w:rsidRPr="00E36981">
        <w:rPr>
          <w:b/>
          <w:iCs/>
          <w:color w:val="000000"/>
          <w:u w:val="single"/>
        </w:rPr>
        <w:t>VERSION RÉVISÉE Nº 1 DE LA CONVOCATION ET DE l'ORDRE DU JOUR PROVISOIRE</w:t>
      </w:r>
    </w:p>
    <w:p w:rsidR="00DF72FC" w:rsidRPr="00E36981" w:rsidRDefault="00DF72FC" w:rsidP="002C4027">
      <w:pPr>
        <w:spacing w:after="120"/>
        <w:rPr>
          <w:b/>
          <w:iCs/>
          <w:color w:val="000000"/>
          <w:u w:val="single"/>
        </w:rPr>
      </w:pPr>
      <w:r w:rsidRPr="00E36981">
        <w:rPr>
          <w:b/>
          <w:iCs/>
          <w:color w:val="000000"/>
          <w:u w:val="single"/>
        </w:rPr>
        <w:t>SESSION DU LUNDI 6 JUIN 2016 (10 h 00)</w:t>
      </w:r>
    </w:p>
    <w:p w:rsidR="00DF72FC" w:rsidRPr="00E36981" w:rsidRDefault="00DF72FC" w:rsidP="00283E1C">
      <w:pPr>
        <w:pStyle w:val="PointManual"/>
        <w:spacing w:before="120" w:after="240"/>
      </w:pPr>
      <w:r w:rsidRPr="00E36981">
        <w:t>1.</w:t>
      </w:r>
      <w:r w:rsidRPr="00E36981">
        <w:tab/>
        <w:t>Adoption de l'ordre du jour</w:t>
      </w:r>
    </w:p>
    <w:p w:rsidR="00DF72FC" w:rsidRPr="00E36981" w:rsidRDefault="00DF72FC" w:rsidP="002C4027">
      <w:pPr>
        <w:spacing w:after="240"/>
        <w:rPr>
          <w:b/>
          <w:bCs/>
          <w:u w:val="single"/>
        </w:rPr>
      </w:pPr>
      <w:r w:rsidRPr="00E36981">
        <w:rPr>
          <w:b/>
          <w:bCs/>
          <w:u w:val="single"/>
        </w:rPr>
        <w:t>Activités non législatives</w:t>
      </w:r>
    </w:p>
    <w:p w:rsidR="00DF72FC" w:rsidRPr="00E36981" w:rsidRDefault="00DF72FC" w:rsidP="006F4B2C">
      <w:pPr>
        <w:pStyle w:val="PointManual"/>
        <w:spacing w:before="0" w:after="120"/>
        <w:rPr>
          <w:bCs/>
        </w:rPr>
      </w:pPr>
      <w:r w:rsidRPr="00E36981">
        <w:t>2.</w:t>
      </w:r>
      <w:r w:rsidRPr="00E36981">
        <w:tab/>
        <w:t>(évent.) Approbation de la liste des points "A".</w:t>
      </w:r>
    </w:p>
    <w:p w:rsidR="00DF72FC" w:rsidRPr="00E36981" w:rsidRDefault="00DF72FC" w:rsidP="00DF72FC">
      <w:pPr>
        <w:spacing w:before="120"/>
        <w:rPr>
          <w:b/>
        </w:rPr>
      </w:pPr>
      <w:r w:rsidRPr="00E36981">
        <w:rPr>
          <w:b/>
          <w:bCs/>
          <w:u w:val="single"/>
        </w:rPr>
        <w:t>Délibérations législatives</w:t>
      </w:r>
    </w:p>
    <w:p w:rsidR="00DF72FC" w:rsidRPr="00E36981" w:rsidRDefault="00DF72FC" w:rsidP="00DF72FC">
      <w:pPr>
        <w:spacing w:after="240"/>
        <w:rPr>
          <w:b/>
        </w:rPr>
      </w:pPr>
      <w:r w:rsidRPr="00E36981">
        <w:rPr>
          <w:b/>
        </w:rPr>
        <w:t>(Délibération publique conformément à l'article 16, paragraphe 8, du traité sur l'Union européenne)</w:t>
      </w:r>
    </w:p>
    <w:p w:rsidR="00DF72FC" w:rsidRPr="00E36981" w:rsidRDefault="00DF72FC" w:rsidP="00DF72FC">
      <w:pPr>
        <w:pStyle w:val="PointManual"/>
        <w:spacing w:before="0"/>
        <w:rPr>
          <w:bCs/>
        </w:rPr>
      </w:pPr>
      <w:r w:rsidRPr="00E36981">
        <w:t>3.</w:t>
      </w:r>
      <w:r w:rsidRPr="00E36981">
        <w:tab/>
        <w:t>(évent.) Approbation de la liste des points "A".</w:t>
      </w:r>
    </w:p>
    <w:p w:rsidR="00DF72FC" w:rsidRPr="00E36981" w:rsidRDefault="00DF72FC" w:rsidP="00521B65">
      <w:pPr>
        <w:spacing w:before="240"/>
        <w:rPr>
          <w:u w:val="single"/>
        </w:rPr>
      </w:pPr>
      <w:r w:rsidRPr="00E36981">
        <w:br w:type="page"/>
      </w:r>
      <w:r w:rsidRPr="00E36981">
        <w:rPr>
          <w:u w:val="single"/>
        </w:rPr>
        <w:lastRenderedPageBreak/>
        <w:t>ÉNERGIE</w:t>
      </w:r>
    </w:p>
    <w:p w:rsidR="00DF72FC" w:rsidRPr="00E36981" w:rsidRDefault="00DF72FC" w:rsidP="00AA265D">
      <w:pPr>
        <w:pStyle w:val="PointManual"/>
        <w:spacing w:before="360"/>
      </w:pPr>
      <w:r w:rsidRPr="00E36981">
        <w:t>4.</w:t>
      </w:r>
      <w:r w:rsidRPr="00E36981">
        <w:tab/>
        <w:t>Proposition de décision du Parlement européen et du Conseil établissant un mécanisme d'échange d'informations en ce qui concerne les accords intergouvernementaux et les instruments non contraignants conclus entre des États me</w:t>
      </w:r>
      <w:r w:rsidR="00751DE6">
        <w:t>mbres et des pays tiers dans le </w:t>
      </w:r>
      <w:r w:rsidRPr="00E36981">
        <w:t>domaine de l'énergie, et abrogeant la décision n° 994/2012/UE (</w:t>
      </w:r>
      <w:r w:rsidRPr="00E36981">
        <w:rPr>
          <w:b/>
          <w:bCs/>
        </w:rPr>
        <w:t>première lecture</w:t>
      </w:r>
      <w:r w:rsidRPr="00E36981">
        <w:t>)</w:t>
      </w:r>
    </w:p>
    <w:p w:rsidR="00DF72FC" w:rsidRPr="00E36981" w:rsidRDefault="00DF72FC" w:rsidP="0097434C">
      <w:pPr>
        <w:pStyle w:val="Text1"/>
      </w:pPr>
      <w:r w:rsidRPr="00E36981">
        <w:t>Dossier interinstitutionnel: 2016/0031 (COD)</w:t>
      </w:r>
    </w:p>
    <w:p w:rsidR="005A371B" w:rsidRPr="00E36981" w:rsidRDefault="00DF72FC" w:rsidP="00D00433">
      <w:pPr>
        <w:pStyle w:val="DashEqual1"/>
        <w:numPr>
          <w:ilvl w:val="0"/>
          <w:numId w:val="4"/>
        </w:numPr>
      </w:pPr>
      <w:r w:rsidRPr="00E36981">
        <w:t>Orientation générale</w:t>
      </w:r>
    </w:p>
    <w:p w:rsidR="005A371B" w:rsidRPr="00E36981" w:rsidRDefault="005A371B" w:rsidP="005A371B">
      <w:pPr>
        <w:pStyle w:val="Text3"/>
      </w:pPr>
      <w:r w:rsidRPr="00E36981">
        <w:t>8945/16 ENER 149 CODEC 664 IA 22</w:t>
      </w:r>
    </w:p>
    <w:p w:rsidR="0046095F" w:rsidRPr="00E36981" w:rsidRDefault="0046095F" w:rsidP="005A371B">
      <w:pPr>
        <w:pStyle w:val="Text3"/>
      </w:pPr>
      <w:r w:rsidRPr="00E36981">
        <w:t>6226/16 ENER 30 CODEC 175 IA 5</w:t>
      </w:r>
    </w:p>
    <w:p w:rsidR="00DF72FC" w:rsidRPr="00E36981" w:rsidRDefault="00DF72FC" w:rsidP="00AA265D">
      <w:pPr>
        <w:pStyle w:val="PointManual"/>
        <w:spacing w:before="240"/>
      </w:pPr>
      <w:r w:rsidRPr="00E36981">
        <w:t>5.</w:t>
      </w:r>
      <w:r w:rsidRPr="00E36981">
        <w:tab/>
        <w:t>Proposition de règlement du Parlement européen et du Conseil concernant des mesures visant à garantir la sécurité de l'approvisionnement en gaz naturel et abrogeant le règlement (UE) n° 994/2010 (</w:t>
      </w:r>
      <w:r w:rsidRPr="00E36981">
        <w:rPr>
          <w:b/>
          <w:bCs/>
        </w:rPr>
        <w:t>première lecture</w:t>
      </w:r>
      <w:r w:rsidRPr="00E36981">
        <w:t>)</w:t>
      </w:r>
    </w:p>
    <w:p w:rsidR="00DF72FC" w:rsidRPr="00E36981" w:rsidRDefault="00DF72FC" w:rsidP="0097434C">
      <w:pPr>
        <w:pStyle w:val="Text1"/>
      </w:pPr>
      <w:r w:rsidRPr="00E36981">
        <w:t>Dossier interinstitutionnel: 2016/0030 (COD)</w:t>
      </w:r>
    </w:p>
    <w:p w:rsidR="00DF72FC" w:rsidRPr="00E36981" w:rsidRDefault="00DF72FC" w:rsidP="00EA7E8A">
      <w:pPr>
        <w:pStyle w:val="DashEqual1"/>
      </w:pPr>
      <w:r w:rsidRPr="00E36981">
        <w:t>Débat d'orientation</w:t>
      </w:r>
    </w:p>
    <w:p w:rsidR="0046095F" w:rsidRPr="00E36981" w:rsidRDefault="0046095F" w:rsidP="005A371B">
      <w:pPr>
        <w:pStyle w:val="Text3"/>
      </w:pPr>
      <w:r w:rsidRPr="00E36981">
        <w:t>9163/16 ENER 182 CODEC 693 IA 25</w:t>
      </w:r>
    </w:p>
    <w:p w:rsidR="005A371B" w:rsidRPr="00E36981" w:rsidRDefault="005A371B" w:rsidP="005A371B">
      <w:pPr>
        <w:pStyle w:val="Text3"/>
      </w:pPr>
      <w:r w:rsidRPr="00E36981">
        <w:t>6225/16 ENER 29 CODEC 174 IA 6</w:t>
      </w:r>
    </w:p>
    <w:p w:rsidR="005A371B" w:rsidRPr="00E36981" w:rsidRDefault="005A371B" w:rsidP="0046095F">
      <w:pPr>
        <w:pStyle w:val="Text4"/>
      </w:pPr>
      <w:r w:rsidRPr="00E36981">
        <w:t>+ ADD 2</w:t>
      </w:r>
    </w:p>
    <w:p w:rsidR="005A371B" w:rsidRPr="00E36981" w:rsidRDefault="005A371B" w:rsidP="0046095F">
      <w:pPr>
        <w:pStyle w:val="Text4"/>
      </w:pPr>
      <w:r w:rsidRPr="00E36981">
        <w:t>+ ADD 3</w:t>
      </w:r>
    </w:p>
    <w:p w:rsidR="00521B65" w:rsidRPr="00E36981" w:rsidRDefault="00521B65" w:rsidP="00521B65">
      <w:pPr>
        <w:spacing w:before="360"/>
        <w:rPr>
          <w:rFonts w:asciiTheme="majorBidi" w:hAnsiTheme="majorBidi" w:cstheme="majorBidi"/>
          <w:b/>
          <w:bCs/>
          <w:color w:val="000000"/>
          <w:u w:val="single"/>
        </w:rPr>
      </w:pPr>
      <w:r w:rsidRPr="00E36981">
        <w:rPr>
          <w:rFonts w:asciiTheme="majorBidi" w:hAnsiTheme="majorBidi"/>
          <w:b/>
          <w:bCs/>
          <w:color w:val="000000"/>
          <w:u w:val="single"/>
        </w:rPr>
        <w:t>Activités non législatives</w:t>
      </w:r>
    </w:p>
    <w:p w:rsidR="00DF72FC" w:rsidRPr="00E36981" w:rsidRDefault="00DF72FC" w:rsidP="00AA265D">
      <w:pPr>
        <w:pStyle w:val="PointManual"/>
        <w:spacing w:before="240"/>
      </w:pPr>
      <w:r w:rsidRPr="00E36981">
        <w:t>6.</w:t>
      </w:r>
      <w:r w:rsidRPr="00E36981">
        <w:tab/>
        <w:t>Messages de la présidence sur l'organisation du marché de l'électricité et la coopération régionale</w:t>
      </w:r>
    </w:p>
    <w:p w:rsidR="00DF72FC" w:rsidRPr="00E36981" w:rsidRDefault="00DF72FC" w:rsidP="00EA7E8A">
      <w:pPr>
        <w:pStyle w:val="DashEqual1"/>
      </w:pPr>
      <w:r w:rsidRPr="00E36981">
        <w:t>Présentation par la présidence</w:t>
      </w:r>
    </w:p>
    <w:p w:rsidR="005A371B" w:rsidRPr="00E36981" w:rsidRDefault="005A371B" w:rsidP="00330A3C">
      <w:pPr>
        <w:pStyle w:val="Text3"/>
      </w:pPr>
      <w:r w:rsidRPr="00E36981">
        <w:t>9103/16 ENER 152 ENV 290 CLIMA 50 COMPET 246 CONSOM 112 FISC 81</w:t>
      </w:r>
    </w:p>
    <w:p w:rsidR="00DF72FC" w:rsidRPr="00E36981" w:rsidRDefault="00DF72FC" w:rsidP="00521B65">
      <w:pPr>
        <w:spacing w:before="360"/>
        <w:rPr>
          <w:rFonts w:asciiTheme="majorBidi" w:hAnsiTheme="majorBidi" w:cstheme="majorBidi"/>
          <w:b/>
          <w:bCs/>
          <w:u w:val="single"/>
        </w:rPr>
      </w:pPr>
      <w:r w:rsidRPr="00E36981">
        <w:rPr>
          <w:rFonts w:asciiTheme="majorBidi" w:hAnsiTheme="majorBidi"/>
          <w:b/>
          <w:bCs/>
          <w:u w:val="single"/>
        </w:rPr>
        <w:t>Divers</w:t>
      </w:r>
    </w:p>
    <w:p w:rsidR="00DF72FC" w:rsidRPr="00E36981" w:rsidRDefault="00DF72FC" w:rsidP="006202E5">
      <w:pPr>
        <w:pStyle w:val="PointDoubleManual"/>
        <w:spacing w:before="360"/>
        <w:rPr>
          <w:rFonts w:asciiTheme="majorBidi" w:hAnsiTheme="majorBidi" w:cstheme="majorBidi"/>
        </w:rPr>
      </w:pPr>
      <w:r w:rsidRPr="00E36981">
        <w:rPr>
          <w:rFonts w:asciiTheme="majorBidi" w:hAnsiTheme="majorBidi"/>
        </w:rPr>
        <w:t>7.</w:t>
      </w:r>
      <w:r w:rsidRPr="00E36981">
        <w:rPr>
          <w:rFonts w:asciiTheme="majorBidi" w:hAnsiTheme="majorBidi"/>
        </w:rPr>
        <w:tab/>
        <w:t>a)</w:t>
      </w:r>
      <w:r w:rsidRPr="00E36981">
        <w:rPr>
          <w:rFonts w:asciiTheme="majorBidi" w:hAnsiTheme="majorBidi"/>
        </w:rPr>
        <w:tab/>
        <w:t>Communication de la Commission: Stratégie de l'Union pou</w:t>
      </w:r>
      <w:r w:rsidR="00751DE6">
        <w:rPr>
          <w:rFonts w:asciiTheme="majorBidi" w:hAnsiTheme="majorBidi"/>
        </w:rPr>
        <w:t>r le gaz naturel liquéfié et le </w:t>
      </w:r>
      <w:r w:rsidRPr="00E36981">
        <w:rPr>
          <w:rFonts w:asciiTheme="majorBidi" w:hAnsiTheme="majorBidi"/>
        </w:rPr>
        <w:t>stockage du gaz</w:t>
      </w:r>
    </w:p>
    <w:p w:rsidR="00DF72FC" w:rsidRPr="00E36981" w:rsidRDefault="00DF72FC" w:rsidP="002A1AF1">
      <w:pPr>
        <w:pStyle w:val="Text2"/>
      </w:pPr>
      <w:r w:rsidRPr="00E36981">
        <w:t>Communication de la Commission: Stratégie de l'UE en matière de chauffage et de refroidissement</w:t>
      </w:r>
    </w:p>
    <w:p w:rsidR="00DF72FC" w:rsidRPr="00E36981" w:rsidRDefault="00DF72FC" w:rsidP="00F45115">
      <w:pPr>
        <w:pStyle w:val="DashEqual2"/>
        <w:numPr>
          <w:ilvl w:val="0"/>
          <w:numId w:val="2"/>
        </w:numPr>
        <w:rPr>
          <w:iCs/>
          <w:color w:val="000000"/>
        </w:rPr>
      </w:pPr>
      <w:r w:rsidRPr="00E36981">
        <w:t>Informations communiquées par la Commission concernant les étapes suivantes</w:t>
      </w:r>
    </w:p>
    <w:p w:rsidR="005A371B" w:rsidRPr="00E36981" w:rsidRDefault="005A371B" w:rsidP="0046095F">
      <w:pPr>
        <w:pStyle w:val="Text3"/>
      </w:pPr>
      <w:r w:rsidRPr="00E36981">
        <w:t>6223/16 ENER 27</w:t>
      </w:r>
    </w:p>
    <w:p w:rsidR="005A371B" w:rsidRPr="00E36981" w:rsidRDefault="005A371B" w:rsidP="0046095F">
      <w:pPr>
        <w:pStyle w:val="Text3"/>
        <w:rPr>
          <w:iCs/>
          <w:color w:val="000000"/>
        </w:rPr>
      </w:pPr>
      <w:r w:rsidRPr="00E36981">
        <w:t>6224/16 ENER 28 ENV 74 CLIMA 15 CONSOM 33 ECOFIN 112</w:t>
      </w:r>
    </w:p>
    <w:p w:rsidR="00DF72FC" w:rsidRPr="00E36981" w:rsidRDefault="004B58D3" w:rsidP="004B58D3">
      <w:pPr>
        <w:pStyle w:val="PointManual1"/>
        <w:spacing w:before="240"/>
      </w:pPr>
      <w:r w:rsidRPr="00E36981">
        <w:t>b)</w:t>
      </w:r>
      <w:r w:rsidRPr="00E36981">
        <w:tab/>
        <w:t>Sécurité de l'approvisionnement en radio-isotopes à usage médical</w:t>
      </w:r>
    </w:p>
    <w:p w:rsidR="00DF72FC" w:rsidRPr="00E36981" w:rsidRDefault="00DF72FC" w:rsidP="00EA7E8A">
      <w:pPr>
        <w:pStyle w:val="DashEqual2"/>
        <w:rPr>
          <w:iCs/>
          <w:color w:val="000000"/>
        </w:rPr>
      </w:pPr>
      <w:r w:rsidRPr="00E36981">
        <w:t>Informations communiquées par la présidence</w:t>
      </w:r>
    </w:p>
    <w:p w:rsidR="00DF72FC" w:rsidRPr="00E36981" w:rsidRDefault="004B58D3" w:rsidP="004B58D3">
      <w:pPr>
        <w:pStyle w:val="PointManual1"/>
        <w:spacing w:before="240"/>
      </w:pPr>
      <w:r w:rsidRPr="00E36981">
        <w:t>c)</w:t>
      </w:r>
      <w:r w:rsidRPr="00E36981">
        <w:tab/>
        <w:t>Relations extérieures</w:t>
      </w:r>
      <w:r w:rsidRPr="00E36981">
        <w:tab/>
      </w:r>
    </w:p>
    <w:p w:rsidR="00DF72FC" w:rsidRPr="00E36981" w:rsidRDefault="00DF72FC" w:rsidP="00EA7E8A">
      <w:pPr>
        <w:pStyle w:val="DashEqual2"/>
      </w:pPr>
      <w:r w:rsidRPr="00E36981">
        <w:t>Informations communiquées par la Commission</w:t>
      </w:r>
    </w:p>
    <w:p w:rsidR="0046095F" w:rsidRPr="00E36981" w:rsidRDefault="0046095F" w:rsidP="0046095F">
      <w:pPr>
        <w:pStyle w:val="Text3"/>
      </w:pPr>
      <w:r w:rsidRPr="00E36981">
        <w:t>8237/16 ENER 127 COEST 103 RELEX 303</w:t>
      </w:r>
    </w:p>
    <w:p w:rsidR="00DF72FC" w:rsidRPr="00E36981" w:rsidRDefault="004B58D3" w:rsidP="004B58D3">
      <w:pPr>
        <w:pStyle w:val="PointManual1"/>
        <w:spacing w:before="240"/>
      </w:pPr>
      <w:r w:rsidRPr="00E36981">
        <w:t>d)</w:t>
      </w:r>
      <w:r w:rsidRPr="00E36981">
        <w:tab/>
        <w:t>Programme de travail de la prochaine présidence</w:t>
      </w:r>
    </w:p>
    <w:p w:rsidR="00DF72FC" w:rsidRPr="00E36981" w:rsidRDefault="00DF72FC" w:rsidP="00EA7E8A">
      <w:pPr>
        <w:pStyle w:val="DashEqual2"/>
      </w:pPr>
      <w:r w:rsidRPr="00E36981">
        <w:t>Informations communiquées par la délégation slovaque</w:t>
      </w:r>
    </w:p>
    <w:p w:rsidR="0046095F" w:rsidRPr="00E36981" w:rsidRDefault="0046095F" w:rsidP="0046095F">
      <w:pPr>
        <w:pStyle w:val="Text3"/>
      </w:pPr>
      <w:r w:rsidRPr="00E36981">
        <w:t>8405/16 ENER 135</w:t>
      </w:r>
    </w:p>
    <w:p w:rsidR="001D6D68" w:rsidRPr="00E36981" w:rsidRDefault="00DF72FC" w:rsidP="001D6D68">
      <w:pPr>
        <w:spacing w:before="240" w:after="240"/>
        <w:rPr>
          <w:b/>
          <w:iCs/>
          <w:color w:val="000000"/>
          <w:u w:val="single"/>
        </w:rPr>
      </w:pPr>
      <w:r w:rsidRPr="00E36981">
        <w:br w:type="page"/>
      </w:r>
      <w:r w:rsidRPr="00E36981">
        <w:rPr>
          <w:b/>
          <w:iCs/>
          <w:color w:val="000000"/>
          <w:u w:val="single"/>
        </w:rPr>
        <w:lastRenderedPageBreak/>
        <w:t>SESSION DU MARDI 7 JUIN 2016 (9 h 30)</w:t>
      </w:r>
    </w:p>
    <w:p w:rsidR="00DF72FC" w:rsidRPr="00E36981" w:rsidRDefault="00DF72FC" w:rsidP="00EA7E8A">
      <w:pPr>
        <w:spacing w:before="360"/>
        <w:rPr>
          <w:rFonts w:asciiTheme="majorBidi" w:hAnsiTheme="majorBidi" w:cstheme="majorBidi"/>
          <w:u w:val="single"/>
        </w:rPr>
      </w:pPr>
      <w:r w:rsidRPr="00E36981">
        <w:rPr>
          <w:rFonts w:asciiTheme="majorBidi" w:hAnsiTheme="majorBidi"/>
          <w:u w:val="single"/>
        </w:rPr>
        <w:t>TRANSPORTS</w:t>
      </w:r>
    </w:p>
    <w:p w:rsidR="001D6D68" w:rsidRPr="00E36981" w:rsidRDefault="001D6D68" w:rsidP="00EA7E8A">
      <w:pPr>
        <w:spacing w:before="360"/>
        <w:outlineLvl w:val="0"/>
        <w:rPr>
          <w:rFonts w:asciiTheme="majorBidi" w:hAnsiTheme="majorBidi" w:cstheme="majorBidi"/>
          <w:b/>
          <w:bCs/>
          <w:u w:val="single"/>
        </w:rPr>
      </w:pPr>
      <w:r w:rsidRPr="00E36981">
        <w:rPr>
          <w:rFonts w:asciiTheme="majorBidi" w:hAnsiTheme="majorBidi"/>
          <w:b/>
          <w:bCs/>
          <w:u w:val="single"/>
        </w:rPr>
        <w:t>Délibérations législatives</w:t>
      </w:r>
    </w:p>
    <w:p w:rsidR="001D6D68" w:rsidRPr="00E36981" w:rsidRDefault="001D6D68" w:rsidP="001D6D68">
      <w:pPr>
        <w:rPr>
          <w:rFonts w:asciiTheme="majorBidi" w:hAnsiTheme="majorBidi" w:cstheme="majorBidi"/>
          <w:b/>
          <w:bCs/>
        </w:rPr>
      </w:pPr>
      <w:r w:rsidRPr="00E36981">
        <w:rPr>
          <w:rFonts w:asciiTheme="majorBidi" w:hAnsiTheme="majorBidi"/>
          <w:b/>
          <w:bCs/>
        </w:rPr>
        <w:t>(Délibération publique conformément à l'article 16, paragraphe 8, du traité sur l'Union européenne)</w:t>
      </w:r>
    </w:p>
    <w:p w:rsidR="00EA7E8A" w:rsidRPr="00E36981" w:rsidRDefault="00EA7E8A" w:rsidP="00EA7E8A">
      <w:pPr>
        <w:spacing w:before="360"/>
        <w:rPr>
          <w:rFonts w:asciiTheme="majorBidi" w:hAnsiTheme="majorBidi" w:cstheme="majorBidi"/>
          <w:iCs/>
          <w:color w:val="000000"/>
          <w:u w:val="single"/>
        </w:rPr>
      </w:pPr>
      <w:r w:rsidRPr="00E36981">
        <w:rPr>
          <w:rFonts w:asciiTheme="majorBidi" w:hAnsiTheme="majorBidi"/>
          <w:iCs/>
          <w:color w:val="000000"/>
          <w:u w:val="single"/>
        </w:rPr>
        <w:t>Aviation</w:t>
      </w:r>
    </w:p>
    <w:p w:rsidR="00DF72FC" w:rsidRPr="00E36981" w:rsidRDefault="00DF72FC" w:rsidP="00AA1F12">
      <w:pPr>
        <w:pStyle w:val="PointManual"/>
        <w:spacing w:before="360"/>
      </w:pPr>
      <w:r w:rsidRPr="00E36981">
        <w:t>8.</w:t>
      </w:r>
      <w:r w:rsidRPr="00E36981">
        <w:tab/>
        <w:t>Proposition de règlement du Parlement européen et du Conseil concernant des règles communes dans le domaine de l'aviation civile et instituant une Agence de la sécurité aérienne de l'Union européenne, et abrogeant le règlement (CE) n° 216/2008 du Parlement européen et du Conseil (</w:t>
      </w:r>
      <w:r w:rsidRPr="00E36981">
        <w:rPr>
          <w:b/>
          <w:bCs/>
        </w:rPr>
        <w:t>première lecture</w:t>
      </w:r>
      <w:r w:rsidRPr="00E36981">
        <w:t>)</w:t>
      </w:r>
    </w:p>
    <w:p w:rsidR="007A4EAA" w:rsidRPr="00E36981" w:rsidRDefault="00DF72FC" w:rsidP="000A7D7F">
      <w:pPr>
        <w:pStyle w:val="Text1"/>
      </w:pPr>
      <w:r w:rsidRPr="00E36981">
        <w:t>Dossier interinstitutionnel: 2015/0277 (COD)</w:t>
      </w:r>
    </w:p>
    <w:p w:rsidR="00DF72FC" w:rsidRPr="00E36981" w:rsidRDefault="00DF72FC" w:rsidP="00EA7E8A">
      <w:pPr>
        <w:pStyle w:val="DashEqual1"/>
      </w:pPr>
      <w:r w:rsidRPr="00E36981">
        <w:t>Rapport sur l'état d'avancement des travaux</w:t>
      </w:r>
    </w:p>
    <w:p w:rsidR="007336BA" w:rsidRPr="00E36981" w:rsidRDefault="007336BA" w:rsidP="003E1043">
      <w:pPr>
        <w:pStyle w:val="Text3"/>
      </w:pPr>
      <w:r w:rsidRPr="00E36981">
        <w:t>8522/16 AVIATION 90 CODEC 568 RELEX 333</w:t>
      </w:r>
    </w:p>
    <w:p w:rsidR="007336BA" w:rsidRPr="00E36981" w:rsidRDefault="007336BA" w:rsidP="003E1043">
      <w:pPr>
        <w:pStyle w:val="Text4"/>
      </w:pPr>
      <w:r w:rsidRPr="00E36981">
        <w:t xml:space="preserve">+ ADD 1 </w:t>
      </w:r>
      <w:r w:rsidRPr="00E36981">
        <w:sym w:font="Symbol" w:char="F02D"/>
      </w:r>
      <w:r w:rsidRPr="00E36981">
        <w:t xml:space="preserve"> 2</w:t>
      </w:r>
    </w:p>
    <w:p w:rsidR="00E0454D" w:rsidRPr="00E36981" w:rsidRDefault="007A4EAA" w:rsidP="007B5820">
      <w:pPr>
        <w:pStyle w:val="Text3"/>
      </w:pPr>
      <w:r w:rsidRPr="00E36981">
        <w:t>14991/15 AVIATION 152 CODEC 1667 RELEX 1014</w:t>
      </w:r>
    </w:p>
    <w:p w:rsidR="007A4EAA" w:rsidRPr="00E36981" w:rsidRDefault="00E0454D" w:rsidP="003E1043">
      <w:pPr>
        <w:pStyle w:val="Text4"/>
      </w:pPr>
      <w:r w:rsidRPr="00E36981">
        <w:t>+ ADD 1</w:t>
      </w:r>
    </w:p>
    <w:p w:rsidR="005A371B" w:rsidRPr="00E36981" w:rsidRDefault="005A371B" w:rsidP="003E1043">
      <w:pPr>
        <w:pStyle w:val="Text4"/>
      </w:pPr>
      <w:r w:rsidRPr="00E36981">
        <w:t>+ ADD 5</w:t>
      </w:r>
    </w:p>
    <w:p w:rsidR="00DF72FC" w:rsidRPr="00E36981" w:rsidRDefault="00DF72FC" w:rsidP="00AA1F12">
      <w:pPr>
        <w:spacing w:before="480"/>
        <w:rPr>
          <w:rFonts w:asciiTheme="majorBidi" w:hAnsiTheme="majorBidi" w:cstheme="majorBidi"/>
          <w:iCs/>
          <w:color w:val="000000"/>
          <w:u w:val="single"/>
        </w:rPr>
      </w:pPr>
      <w:r w:rsidRPr="00E36981">
        <w:rPr>
          <w:rFonts w:asciiTheme="majorBidi" w:hAnsiTheme="majorBidi"/>
          <w:iCs/>
          <w:color w:val="000000"/>
          <w:u w:val="single"/>
        </w:rPr>
        <w:t>Transports maritimes</w:t>
      </w:r>
    </w:p>
    <w:p w:rsidR="00DF72FC" w:rsidRPr="00E36981" w:rsidRDefault="00DF72FC" w:rsidP="00AA1F12">
      <w:pPr>
        <w:pStyle w:val="PointManual"/>
        <w:spacing w:before="360"/>
      </w:pPr>
      <w:r w:rsidRPr="00E36981">
        <w:t>9.</w:t>
      </w:r>
      <w:r w:rsidRPr="00E36981">
        <w:tab/>
        <w:t>Proposition de directive du Parlement européen et du Conseil relative à la reconnaissance des qualifications professionnelles dans le domaine de la navigation intérieure et abrogeant la directive 96/50/CE du Conseil et la directive 91/672/CEE du Conseil (</w:t>
      </w:r>
      <w:r w:rsidRPr="00E36981">
        <w:rPr>
          <w:b/>
          <w:bCs/>
        </w:rPr>
        <w:t>première lecture</w:t>
      </w:r>
      <w:r w:rsidRPr="00E36981">
        <w:t>)</w:t>
      </w:r>
    </w:p>
    <w:p w:rsidR="00DF72FC" w:rsidRPr="00E36981" w:rsidRDefault="00DF72FC" w:rsidP="000A7D7F">
      <w:pPr>
        <w:pStyle w:val="Text1"/>
      </w:pPr>
      <w:r w:rsidRPr="00E36981">
        <w:t>Dossier interinstitutionnel: 2016/0050 (COD)</w:t>
      </w:r>
    </w:p>
    <w:p w:rsidR="00DF72FC" w:rsidRPr="00E36981" w:rsidRDefault="00DF72FC" w:rsidP="00EA7E8A">
      <w:pPr>
        <w:pStyle w:val="DashEqual1"/>
      </w:pPr>
      <w:r w:rsidRPr="00E36981">
        <w:t>Orientation générale</w:t>
      </w:r>
    </w:p>
    <w:p w:rsidR="007336BA" w:rsidRPr="00E36981" w:rsidRDefault="007336BA" w:rsidP="00E24597">
      <w:pPr>
        <w:pStyle w:val="Text3"/>
        <w:rPr>
          <w:bCs/>
        </w:rPr>
      </w:pPr>
      <w:r w:rsidRPr="00E36981">
        <w:t>8970/16 TRANS 169 MAR 147 EDUC 142 SOC 258 ETS 31 MI 343</w:t>
      </w:r>
    </w:p>
    <w:p w:rsidR="007336BA" w:rsidRPr="00E36981" w:rsidRDefault="007336BA" w:rsidP="007336BA">
      <w:pPr>
        <w:pStyle w:val="Text5"/>
      </w:pPr>
      <w:r w:rsidRPr="00E36981">
        <w:t>CODEC 668</w:t>
      </w:r>
    </w:p>
    <w:p w:rsidR="007336BA" w:rsidRPr="00E36981" w:rsidRDefault="00E24597" w:rsidP="00E24597">
      <w:pPr>
        <w:pStyle w:val="Text3"/>
      </w:pPr>
      <w:r w:rsidRPr="00E36981">
        <w:t>6285/16 TRANS 51 MAR 54 CODEC 179 EDUC 35 SOC 85 ETS 4 MI 94</w:t>
      </w:r>
    </w:p>
    <w:p w:rsidR="00E24597" w:rsidRPr="00E36981" w:rsidRDefault="00E62664" w:rsidP="007336BA">
      <w:pPr>
        <w:pStyle w:val="Text4"/>
      </w:pPr>
      <w:r w:rsidRPr="00E36981">
        <w:t xml:space="preserve">+ ADD 1 </w:t>
      </w:r>
      <w:r w:rsidRPr="00E36981">
        <w:sym w:font="Symbol" w:char="F02D"/>
      </w:r>
      <w:r w:rsidRPr="00E36981">
        <w:t xml:space="preserve"> 2</w:t>
      </w:r>
    </w:p>
    <w:p w:rsidR="00DF72FC" w:rsidRPr="00E36981" w:rsidRDefault="00DF72FC" w:rsidP="00AA1F12">
      <w:pPr>
        <w:spacing w:before="600"/>
        <w:rPr>
          <w:rFonts w:asciiTheme="majorBidi" w:hAnsiTheme="majorBidi" w:cstheme="majorBidi"/>
          <w:b/>
          <w:bCs/>
          <w:color w:val="000000"/>
          <w:u w:val="single"/>
        </w:rPr>
      </w:pPr>
      <w:r w:rsidRPr="00E36981">
        <w:rPr>
          <w:rFonts w:asciiTheme="majorBidi" w:hAnsiTheme="majorBidi"/>
          <w:b/>
          <w:bCs/>
          <w:color w:val="000000"/>
          <w:u w:val="single"/>
        </w:rPr>
        <w:t>Activités non législatives</w:t>
      </w:r>
    </w:p>
    <w:p w:rsidR="00DF72FC" w:rsidRPr="00E36981" w:rsidRDefault="00DF72FC" w:rsidP="0097434C">
      <w:pPr>
        <w:spacing w:before="360"/>
        <w:rPr>
          <w:rFonts w:asciiTheme="majorBidi" w:hAnsiTheme="majorBidi" w:cstheme="majorBidi"/>
          <w:iCs/>
          <w:color w:val="000000"/>
          <w:u w:val="single"/>
        </w:rPr>
      </w:pPr>
      <w:r w:rsidRPr="00E36981">
        <w:rPr>
          <w:rFonts w:asciiTheme="majorBidi" w:hAnsiTheme="majorBidi"/>
          <w:iCs/>
          <w:color w:val="000000"/>
          <w:u w:val="single"/>
        </w:rPr>
        <w:t>Questions horizontales</w:t>
      </w:r>
    </w:p>
    <w:p w:rsidR="00DF72FC" w:rsidRPr="00E36981" w:rsidRDefault="00DF72FC" w:rsidP="00AA1F12">
      <w:pPr>
        <w:pStyle w:val="PointManual"/>
        <w:spacing w:before="360"/>
      </w:pPr>
      <w:r w:rsidRPr="00E36981">
        <w:t>10.</w:t>
      </w:r>
      <w:r w:rsidRPr="00E36981">
        <w:tab/>
        <w:t xml:space="preserve">Émissions de </w:t>
      </w:r>
      <w:proofErr w:type="spellStart"/>
      <w:r w:rsidRPr="00E36981">
        <w:t>NO</w:t>
      </w:r>
      <w:r w:rsidRPr="00E36981">
        <w:rPr>
          <w:vertAlign w:val="subscript"/>
        </w:rPr>
        <w:t>x</w:t>
      </w:r>
      <w:proofErr w:type="spellEnd"/>
      <w:r w:rsidRPr="00E36981">
        <w:t xml:space="preserve"> des véhicules diesel </w:t>
      </w:r>
    </w:p>
    <w:p w:rsidR="00DF72FC" w:rsidRPr="00E36981" w:rsidRDefault="00DF72FC" w:rsidP="00EA7E8A">
      <w:pPr>
        <w:pStyle w:val="DashEqual1"/>
      </w:pPr>
      <w:r w:rsidRPr="00E36981">
        <w:t>Débat d'orientation</w:t>
      </w:r>
    </w:p>
    <w:p w:rsidR="00DF72FC" w:rsidRPr="00E36981" w:rsidRDefault="00DF72FC" w:rsidP="00AA1F12">
      <w:pPr>
        <w:pStyle w:val="Text2"/>
      </w:pPr>
      <w:r w:rsidRPr="00E36981">
        <w:t>(Débat public conformément à l'article 8, paragrap</w:t>
      </w:r>
      <w:r w:rsidR="00751DE6">
        <w:t>he 2, du règlement intérieur du </w:t>
      </w:r>
      <w:r w:rsidRPr="00E36981">
        <w:t>Conseil [proposé par la présidence])</w:t>
      </w:r>
    </w:p>
    <w:p w:rsidR="00667956" w:rsidRPr="00E36981" w:rsidRDefault="00667956" w:rsidP="00FF6969">
      <w:pPr>
        <w:pStyle w:val="Text3"/>
        <w:rPr>
          <w:color w:val="000000"/>
          <w:u w:val="single"/>
          <w:lang w:val="pt-PT"/>
        </w:rPr>
      </w:pPr>
      <w:r w:rsidRPr="00E36981">
        <w:rPr>
          <w:lang w:val="pt-PT"/>
        </w:rPr>
        <w:t>9075/1/16 TRANS 177 COMPET 245 ENV 289 CLIMA 49 REV 1</w:t>
      </w:r>
    </w:p>
    <w:p w:rsidR="00DF72FC" w:rsidRPr="00E36981" w:rsidRDefault="00EA7E8A" w:rsidP="007336BA">
      <w:pPr>
        <w:spacing w:after="120"/>
        <w:rPr>
          <w:rFonts w:asciiTheme="majorBidi" w:hAnsiTheme="majorBidi" w:cstheme="majorBidi"/>
          <w:color w:val="000000"/>
          <w:u w:val="single"/>
        </w:rPr>
      </w:pPr>
      <w:r w:rsidRPr="00E37D8A">
        <w:rPr>
          <w:lang w:val="fr-BE"/>
        </w:rPr>
        <w:br w:type="page"/>
      </w:r>
      <w:r w:rsidRPr="00E36981">
        <w:rPr>
          <w:rFonts w:asciiTheme="majorBidi" w:hAnsiTheme="majorBidi"/>
          <w:color w:val="000000"/>
          <w:u w:val="single"/>
        </w:rPr>
        <w:lastRenderedPageBreak/>
        <w:t>Aviation</w:t>
      </w:r>
    </w:p>
    <w:p w:rsidR="00DF72FC" w:rsidRPr="00E36981" w:rsidRDefault="00DF72FC" w:rsidP="00FF6969">
      <w:pPr>
        <w:pStyle w:val="PointManual"/>
        <w:spacing w:before="360"/>
      </w:pPr>
      <w:r w:rsidRPr="00E36981">
        <w:t>11.</w:t>
      </w:r>
      <w:r w:rsidRPr="00E36981">
        <w:tab/>
        <w:t>Décisions du Conseil autorisant la Commission à entamer des négociations sur des accords globaux dans le domaine des transports aériens avec des pays tiers</w:t>
      </w:r>
    </w:p>
    <w:p w:rsidR="00EA7E8A" w:rsidRPr="00E36981" w:rsidRDefault="00EA7E8A" w:rsidP="00F45115">
      <w:pPr>
        <w:pStyle w:val="Pointabc1"/>
        <w:numPr>
          <w:ilvl w:val="3"/>
          <w:numId w:val="3"/>
        </w:numPr>
        <w:spacing w:before="240"/>
      </w:pPr>
      <w:r w:rsidRPr="00E36981">
        <w:t>Projet de décision du Conseil autorisant la Commission à entamer des négociations entre l'Union européenne et ses États membres, d'une part, et l'Association des nations de l'Asie du Sud-Est (ASEAN), d'autre part, sur un accord global dans le domaine des transports aériens, en ce qui concerne des aspects relevant de la compétence exclusive de l'Union</w:t>
      </w:r>
    </w:p>
    <w:p w:rsidR="00EA7E8A" w:rsidRPr="00E36981" w:rsidRDefault="00EA7E8A" w:rsidP="00EA7E8A">
      <w:pPr>
        <w:pStyle w:val="Text2"/>
        <w:spacing w:before="80"/>
      </w:pPr>
      <w:r w:rsidRPr="00E3698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l'Association des nations de l'Asie du Sud-Est (ASEAN), d'autre part, relatives à des aspects ne relevant pas de la compétence exclusive de l'Union</w:t>
      </w:r>
    </w:p>
    <w:p w:rsidR="00EA7E8A" w:rsidRPr="00E36981" w:rsidRDefault="00EA7E8A" w:rsidP="00EA7E8A">
      <w:pPr>
        <w:pStyle w:val="Pointabc1"/>
        <w:spacing w:before="240"/>
      </w:pPr>
      <w:r w:rsidRPr="00E36981">
        <w:t xml:space="preserve">Projet de décision du Conseil autorisant la Commission à entamer des négociations entre l'Union européenne et ses États membres, d'une part, et l'État du Qatar, d'autre part, sur un accord global dans le domaine des transports </w:t>
      </w:r>
      <w:r w:rsidR="00751DE6">
        <w:t>aériens, en ce qui concerne des </w:t>
      </w:r>
      <w:r w:rsidRPr="00E36981">
        <w:t>aspects relevant de la compétence exclusive de l'Union</w:t>
      </w:r>
    </w:p>
    <w:p w:rsidR="00EA7E8A" w:rsidRPr="00E36981" w:rsidRDefault="00EA7E8A" w:rsidP="00EA7E8A">
      <w:pPr>
        <w:pStyle w:val="Text2"/>
        <w:spacing w:before="80"/>
      </w:pPr>
      <w:r w:rsidRPr="00E3698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l'État du Qatar, d'autre part, relatives à des aspects ne relevant pas de la compétence exclusive de l'Union</w:t>
      </w:r>
    </w:p>
    <w:p w:rsidR="00EA7E8A" w:rsidRPr="00E36981" w:rsidRDefault="00EA7E8A" w:rsidP="00EA7E8A">
      <w:pPr>
        <w:pStyle w:val="Pointabc1"/>
        <w:spacing w:before="240"/>
      </w:pPr>
      <w:r w:rsidRPr="00E36981">
        <w:t>Projet de décision du Conseil autorisant la Commission à entamer des négociations entre l'Union européenne et ses États membres, d'une part, et les Émirats arabes unis, d'autre part, sur un accord global dans le domaine des transports aériens, en ce qui concerne des aspects relevant de la compétence exclusive de l'Union</w:t>
      </w:r>
    </w:p>
    <w:p w:rsidR="00EA7E8A" w:rsidRPr="00E36981" w:rsidRDefault="00EA7E8A" w:rsidP="00EA7E8A">
      <w:pPr>
        <w:pStyle w:val="Text2"/>
        <w:spacing w:before="80"/>
      </w:pPr>
      <w:r w:rsidRPr="00E3698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les Émirats arabes unis, d'autre part, relatives à des aspects ne relevant pas de la compétence exclusive de l'Union</w:t>
      </w:r>
    </w:p>
    <w:p w:rsidR="00EA7E8A" w:rsidRPr="00E36981" w:rsidRDefault="00EA7E8A" w:rsidP="00EA7E8A">
      <w:pPr>
        <w:pStyle w:val="Pointabc1"/>
        <w:spacing w:before="240"/>
      </w:pPr>
      <w:r w:rsidRPr="00E36981">
        <w:t>Projet de décision du Conseil autorisant la Commission à entamer des négociations entre l'Union européenne et ses États membres, d'une part, et la République de Turquie, d'autre part, sur un accord global dans le domaine des transports aériens, en ce qui concerne des aspects relevant de la compétence exclusive de l'Union</w:t>
      </w:r>
    </w:p>
    <w:p w:rsidR="00EA7E8A" w:rsidRPr="00E36981" w:rsidRDefault="00EA7E8A" w:rsidP="00EA7E8A">
      <w:pPr>
        <w:pStyle w:val="Text2"/>
        <w:spacing w:before="80"/>
      </w:pPr>
      <w:r w:rsidRPr="00E36981">
        <w:t>Projet de décision des représentants des gouvernements des États membres, réunis au sein du Conseil, autorisant la Commission européenne à négocier, au nom des États membres, les dispositions d'un accord global dans le domaine des transports aériens, entre l'Union européenne et ses États membres, d'une part, et la République de Turquie, d'autre part, relatives à des aspects ne relevant pas de la compétence exclusive de l'Union</w:t>
      </w:r>
    </w:p>
    <w:p w:rsidR="00FF6969" w:rsidRPr="00E36981" w:rsidRDefault="00EA7E8A" w:rsidP="00EA7E8A">
      <w:pPr>
        <w:pStyle w:val="DashEqual1"/>
      </w:pPr>
      <w:r w:rsidRPr="00E36981">
        <w:t>Adoption</w:t>
      </w:r>
    </w:p>
    <w:p w:rsidR="00DF72FC" w:rsidRPr="00E36981" w:rsidRDefault="00FF6969" w:rsidP="00071739">
      <w:pPr>
        <w:pStyle w:val="PointManual"/>
        <w:rPr>
          <w:rFonts w:asciiTheme="majorBidi" w:hAnsiTheme="majorBidi" w:cstheme="majorBidi"/>
        </w:rPr>
      </w:pPr>
      <w:r w:rsidRPr="00E36981">
        <w:br w:type="page"/>
      </w:r>
      <w:r w:rsidRPr="00E36981">
        <w:rPr>
          <w:rFonts w:asciiTheme="majorBidi" w:hAnsiTheme="majorBidi"/>
        </w:rPr>
        <w:lastRenderedPageBreak/>
        <w:t>12.</w:t>
      </w:r>
      <w:r w:rsidRPr="00E36981">
        <w:rPr>
          <w:rFonts w:asciiTheme="majorBidi" w:hAnsiTheme="majorBidi"/>
        </w:rPr>
        <w:tab/>
      </w:r>
      <w:r w:rsidRPr="00E36981">
        <w:t>Préparation de l'Assemblée de l'OACI concernant un mécanisme de marché mondial (Montréal, du 27 septembre au 7 octobre 2016)</w:t>
      </w:r>
    </w:p>
    <w:p w:rsidR="00EA7E8A" w:rsidRPr="00E36981" w:rsidRDefault="00DF72FC" w:rsidP="00071739">
      <w:pPr>
        <w:pStyle w:val="DashEqual1"/>
      </w:pPr>
      <w:r w:rsidRPr="00E36981">
        <w:t>Échange de vues</w:t>
      </w:r>
    </w:p>
    <w:p w:rsidR="00C0382E" w:rsidRPr="00E36981" w:rsidRDefault="00C0382E" w:rsidP="00C0382E">
      <w:pPr>
        <w:pStyle w:val="Text3"/>
      </w:pPr>
      <w:r w:rsidRPr="00E36981">
        <w:t>8652/16 AVIATION 94 RELEX 356 CLIMA 48</w:t>
      </w:r>
    </w:p>
    <w:p w:rsidR="00DF72FC" w:rsidRPr="00E36981" w:rsidRDefault="00DF72FC" w:rsidP="005A371B">
      <w:pPr>
        <w:spacing w:before="720"/>
        <w:rPr>
          <w:rFonts w:asciiTheme="majorBidi" w:hAnsiTheme="majorBidi" w:cstheme="majorBidi"/>
          <w:b/>
          <w:bCs/>
          <w:u w:val="single"/>
        </w:rPr>
      </w:pPr>
      <w:r w:rsidRPr="00E36981">
        <w:rPr>
          <w:rFonts w:asciiTheme="majorBidi" w:hAnsiTheme="majorBidi"/>
          <w:b/>
          <w:bCs/>
          <w:u w:val="single"/>
        </w:rPr>
        <w:t>Divers</w:t>
      </w:r>
    </w:p>
    <w:p w:rsidR="004F7B43" w:rsidRPr="00E36981" w:rsidRDefault="00DF72FC" w:rsidP="00AA265D">
      <w:pPr>
        <w:pStyle w:val="PointDoubleManual"/>
        <w:spacing w:before="480"/>
      </w:pPr>
      <w:r w:rsidRPr="00E36981">
        <w:t>13.</w:t>
      </w:r>
      <w:r w:rsidRPr="00E36981">
        <w:tab/>
        <w:t>a)</w:t>
      </w:r>
      <w:r w:rsidRPr="00E36981">
        <w:tab/>
        <w:t>Proposition législative en cours d'examen</w:t>
      </w:r>
    </w:p>
    <w:p w:rsidR="004F7B43" w:rsidRPr="00E36981" w:rsidRDefault="004F7B43" w:rsidP="008D45DC">
      <w:pPr>
        <w:pStyle w:val="Text2"/>
      </w:pPr>
      <w:r w:rsidRPr="00E36981">
        <w:t>(Délibération publique conformément à l'article 16, paragraphe 8, du traité sur l'Union européenne)</w:t>
      </w:r>
    </w:p>
    <w:p w:rsidR="004F7B43" w:rsidRPr="00E36981" w:rsidRDefault="004F7B43" w:rsidP="00D00433">
      <w:pPr>
        <w:pStyle w:val="Bullet2"/>
        <w:numPr>
          <w:ilvl w:val="0"/>
          <w:numId w:val="5"/>
        </w:numPr>
        <w:spacing w:before="120"/>
      </w:pPr>
      <w:r w:rsidRPr="00E36981">
        <w:t>Train de mesures sur la sécurité des navires à passagers</w:t>
      </w:r>
    </w:p>
    <w:p w:rsidR="004F7B43" w:rsidRPr="00E36981" w:rsidRDefault="009C5680" w:rsidP="00D00433">
      <w:pPr>
        <w:pStyle w:val="DashEqual3"/>
        <w:numPr>
          <w:ilvl w:val="0"/>
          <w:numId w:val="6"/>
        </w:numPr>
      </w:pPr>
      <w:r w:rsidRPr="00E36981">
        <w:t>Informations communiquées oralement par la Commission</w:t>
      </w:r>
    </w:p>
    <w:p w:rsidR="00DF72FC" w:rsidRPr="00E36981" w:rsidRDefault="008D45DC" w:rsidP="008D45DC">
      <w:pPr>
        <w:pStyle w:val="PointManual1"/>
        <w:spacing w:before="240"/>
      </w:pPr>
      <w:r w:rsidRPr="00E36981">
        <w:t>b)</w:t>
      </w:r>
      <w:r w:rsidRPr="00E36981">
        <w:tab/>
        <w:t>Programmes européens en matière de GNSS (EGNOS/Galileo)</w:t>
      </w:r>
    </w:p>
    <w:p w:rsidR="00DF72FC" w:rsidRPr="00E36981" w:rsidRDefault="00DF72FC" w:rsidP="00071739">
      <w:pPr>
        <w:pStyle w:val="DashEqual2"/>
      </w:pPr>
      <w:r w:rsidRPr="00E36981">
        <w:t>Informations communiquées par la Commission</w:t>
      </w:r>
    </w:p>
    <w:p w:rsidR="00DF72FC" w:rsidRPr="00E36981" w:rsidRDefault="008D45DC" w:rsidP="008D45DC">
      <w:pPr>
        <w:pStyle w:val="PointManual1"/>
        <w:spacing w:before="240"/>
        <w:rPr>
          <w:rFonts w:asciiTheme="majorBidi" w:hAnsiTheme="majorBidi" w:cstheme="majorBidi"/>
        </w:rPr>
      </w:pPr>
      <w:r w:rsidRPr="00E36981">
        <w:rPr>
          <w:rFonts w:asciiTheme="majorBidi" w:hAnsiTheme="majorBidi"/>
        </w:rPr>
        <w:t>c)</w:t>
      </w:r>
      <w:r w:rsidRPr="00E36981">
        <w:rPr>
          <w:rFonts w:asciiTheme="majorBidi" w:hAnsiTheme="majorBidi"/>
        </w:rPr>
        <w:tab/>
        <w:t>Sécurité routière</w:t>
      </w:r>
    </w:p>
    <w:p w:rsidR="00DF72FC" w:rsidRPr="00E36981" w:rsidRDefault="00DF72FC" w:rsidP="00071739">
      <w:pPr>
        <w:pStyle w:val="DashEqual2"/>
      </w:pPr>
      <w:r w:rsidRPr="00E36981">
        <w:t>Informations communiquées par la Commission et par la délégation tchèque</w:t>
      </w:r>
    </w:p>
    <w:p w:rsidR="00AA1F12" w:rsidRPr="00E36981" w:rsidRDefault="008D45DC" w:rsidP="008D45DC">
      <w:pPr>
        <w:pStyle w:val="PointManual1"/>
        <w:spacing w:before="240"/>
        <w:rPr>
          <w:rFonts w:asciiTheme="majorBidi" w:hAnsiTheme="majorBidi" w:cstheme="majorBidi"/>
        </w:rPr>
      </w:pPr>
      <w:r w:rsidRPr="00E36981">
        <w:rPr>
          <w:rFonts w:asciiTheme="majorBidi" w:hAnsiTheme="majorBidi"/>
        </w:rPr>
        <w:t>d)</w:t>
      </w:r>
      <w:r w:rsidRPr="00E36981">
        <w:rPr>
          <w:rFonts w:asciiTheme="majorBidi" w:hAnsiTheme="majorBidi"/>
        </w:rPr>
        <w:tab/>
      </w:r>
      <w:r w:rsidRPr="00E36981">
        <w:t>Compte rendu de la session informelle du Conseil "Tran</w:t>
      </w:r>
      <w:r w:rsidR="00751DE6">
        <w:t>sports et environnement" (14 et </w:t>
      </w:r>
      <w:r w:rsidRPr="00E36981">
        <w:t>15 avril 2016)</w:t>
      </w:r>
    </w:p>
    <w:p w:rsidR="00DF72FC" w:rsidRPr="00E36981" w:rsidRDefault="00DF72FC" w:rsidP="00AA1F12">
      <w:pPr>
        <w:pStyle w:val="Text2"/>
      </w:pPr>
      <w:r w:rsidRPr="00E36981">
        <w:t>(Déclaration d'Amsterdam)</w:t>
      </w:r>
    </w:p>
    <w:p w:rsidR="00DF72FC" w:rsidRPr="00E36981" w:rsidRDefault="00DF72FC" w:rsidP="00D00433">
      <w:pPr>
        <w:pStyle w:val="Dash2"/>
        <w:numPr>
          <w:ilvl w:val="0"/>
          <w:numId w:val="7"/>
        </w:numPr>
        <w:rPr>
          <w:rFonts w:asciiTheme="majorBidi" w:hAnsiTheme="majorBidi" w:cstheme="majorBidi"/>
        </w:rPr>
      </w:pPr>
      <w:r w:rsidRPr="00E36981">
        <w:rPr>
          <w:rFonts w:asciiTheme="majorBidi" w:hAnsiTheme="majorBidi"/>
        </w:rPr>
        <w:t>Informations communiquées par la présidence</w:t>
      </w:r>
    </w:p>
    <w:p w:rsidR="00EA7E8A" w:rsidRPr="00E36981" w:rsidRDefault="008D45DC" w:rsidP="002A1AF1">
      <w:pPr>
        <w:pStyle w:val="PointManual1"/>
        <w:spacing w:before="240"/>
        <w:rPr>
          <w:rFonts w:asciiTheme="majorBidi" w:hAnsiTheme="majorBidi" w:cstheme="majorBidi"/>
        </w:rPr>
      </w:pPr>
      <w:r w:rsidRPr="00E36981">
        <w:rPr>
          <w:rFonts w:asciiTheme="majorBidi" w:hAnsiTheme="majorBidi"/>
        </w:rPr>
        <w:t>e)</w:t>
      </w:r>
      <w:r w:rsidRPr="00E36981">
        <w:rPr>
          <w:rFonts w:asciiTheme="majorBidi" w:hAnsiTheme="majorBidi"/>
        </w:rPr>
        <w:tab/>
        <w:t>Communication de la Commission intitulée "Une stratégie de l'aviation pour l'Europe"</w:t>
      </w:r>
      <w:r w:rsidRPr="00E36981">
        <w:rPr>
          <w:rFonts w:asciiTheme="majorBidi" w:hAnsiTheme="majorBidi"/>
        </w:rPr>
        <w:sym w:font="Symbol" w:char="F02D"/>
      </w:r>
    </w:p>
    <w:p w:rsidR="00EA7E8A" w:rsidRPr="00E36981" w:rsidRDefault="00EA7E8A" w:rsidP="006202E5">
      <w:pPr>
        <w:pStyle w:val="Text2"/>
      </w:pPr>
      <w:r w:rsidRPr="00E36981">
        <w:t>Conclusions du sommet européen sur l'aviation (Amsterdam, 20 et 21 janvier 2016)</w:t>
      </w:r>
    </w:p>
    <w:p w:rsidR="00EA7E8A" w:rsidRPr="00E36981" w:rsidRDefault="00EA7E8A" w:rsidP="00071739">
      <w:pPr>
        <w:pStyle w:val="DashEqual2"/>
      </w:pPr>
      <w:r w:rsidRPr="00E36981">
        <w:t>Informations communiquées par la présidence</w:t>
      </w:r>
    </w:p>
    <w:p w:rsidR="00AA1F12" w:rsidRPr="00E36981" w:rsidRDefault="008D45DC" w:rsidP="008D45DC">
      <w:pPr>
        <w:pStyle w:val="PointManual1"/>
        <w:spacing w:before="240"/>
        <w:rPr>
          <w:rFonts w:asciiTheme="majorBidi" w:hAnsiTheme="majorBidi" w:cstheme="majorBidi"/>
        </w:rPr>
      </w:pPr>
      <w:r w:rsidRPr="00E36981">
        <w:rPr>
          <w:rFonts w:asciiTheme="majorBidi" w:hAnsiTheme="majorBidi"/>
        </w:rPr>
        <w:t>f)</w:t>
      </w:r>
      <w:r w:rsidRPr="00E36981">
        <w:rPr>
          <w:rFonts w:asciiTheme="majorBidi" w:hAnsiTheme="majorBidi"/>
        </w:rPr>
        <w:tab/>
        <w:t>Groupe de travail de l'AESA sur les zones de conflit</w:t>
      </w:r>
    </w:p>
    <w:p w:rsidR="00AA1F12" w:rsidRPr="00E36981" w:rsidRDefault="00AA1F12" w:rsidP="00071739">
      <w:pPr>
        <w:pStyle w:val="DashEqual2"/>
        <w:rPr>
          <w:rFonts w:asciiTheme="majorBidi" w:hAnsiTheme="majorBidi" w:cstheme="majorBidi"/>
        </w:rPr>
      </w:pPr>
      <w:r w:rsidRPr="00E36981">
        <w:rPr>
          <w:rFonts w:asciiTheme="majorBidi" w:hAnsiTheme="majorBidi"/>
        </w:rPr>
        <w:t>Informations communiquées par la Commission</w:t>
      </w:r>
    </w:p>
    <w:p w:rsidR="00DF72FC" w:rsidRPr="00E36981" w:rsidRDefault="008D45DC" w:rsidP="008D45DC">
      <w:pPr>
        <w:pStyle w:val="PointManual1"/>
        <w:spacing w:before="240"/>
        <w:rPr>
          <w:rFonts w:asciiTheme="majorBidi" w:hAnsiTheme="majorBidi" w:cstheme="majorBidi"/>
        </w:rPr>
      </w:pPr>
      <w:r w:rsidRPr="00E36981">
        <w:rPr>
          <w:rFonts w:asciiTheme="majorBidi" w:hAnsiTheme="majorBidi"/>
        </w:rPr>
        <w:t>g)</w:t>
      </w:r>
      <w:r w:rsidRPr="00E36981">
        <w:rPr>
          <w:rFonts w:asciiTheme="majorBidi" w:hAnsiTheme="majorBidi"/>
        </w:rPr>
        <w:tab/>
        <w:t>Programme de travail de la prochaine présidence</w:t>
      </w:r>
    </w:p>
    <w:p w:rsidR="00DF72FC" w:rsidRPr="00E36981" w:rsidRDefault="00DF72FC" w:rsidP="00071739">
      <w:pPr>
        <w:pStyle w:val="DashEqual2"/>
      </w:pPr>
      <w:r w:rsidRPr="00E36981">
        <w:t>Informations communiquées par la délégation slovaque</w:t>
      </w:r>
    </w:p>
    <w:p w:rsidR="003514ED" w:rsidRPr="00E36981" w:rsidRDefault="003514ED" w:rsidP="006202E5">
      <w:pPr>
        <w:pStyle w:val="FinalLine"/>
        <w:spacing w:before="840"/>
      </w:pPr>
    </w:p>
    <w:p w:rsidR="003514ED" w:rsidRPr="00E36981" w:rsidRDefault="009B2794" w:rsidP="00751DE6">
      <w:pPr>
        <w:pStyle w:val="NB"/>
        <w:spacing w:before="960"/>
      </w:pPr>
      <w:r w:rsidRPr="00E36981">
        <w:t>NB:</w:t>
      </w:r>
      <w:r w:rsidRPr="00E36981">
        <w:tab/>
        <w:t>Veuillez transmettre au service du protocole, aussi rapidement que possible, une liste des délégués qui participeront à cette réunion. Adresse électronique: protocole.participants@consilium.europa.eu</w:t>
      </w:r>
    </w:p>
    <w:p w:rsidR="00FC4670" w:rsidRPr="009B2794" w:rsidRDefault="003514ED" w:rsidP="003A6B17">
      <w:pPr>
        <w:pStyle w:val="NB"/>
      </w:pPr>
      <w:r w:rsidRPr="00E36981">
        <w:t>NB:</w:t>
      </w:r>
      <w:r w:rsidRPr="00E36981">
        <w:tab/>
        <w:t>Il est recommandé aux délégués devant obtenir un badge journalier pour assister aux réunions de consulter le document 14387/1/12 REV 1 afin de prendre connaissance des modalités d'obtention de ce badge.</w:t>
      </w:r>
    </w:p>
    <w:sectPr w:rsidR="00FC4670" w:rsidRPr="009B2794" w:rsidSect="00E37D8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ED" w:rsidRDefault="003514ED" w:rsidP="003514ED">
      <w:r>
        <w:separator/>
      </w:r>
    </w:p>
  </w:endnote>
  <w:endnote w:type="continuationSeparator" w:id="0">
    <w:p w:rsidR="003514ED" w:rsidRDefault="003514ED" w:rsidP="0035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8A" w:rsidRPr="00E37D8A" w:rsidRDefault="00E37D8A" w:rsidP="00E37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37D8A" w:rsidRPr="00D94637" w:rsidTr="00E37D8A">
      <w:trPr>
        <w:jc w:val="center"/>
      </w:trPr>
      <w:tc>
        <w:tcPr>
          <w:tcW w:w="5000" w:type="pct"/>
          <w:gridSpan w:val="7"/>
          <w:shd w:val="clear" w:color="auto" w:fill="auto"/>
          <w:tcMar>
            <w:top w:w="57" w:type="dxa"/>
          </w:tcMar>
        </w:tcPr>
        <w:p w:rsidR="00E37D8A" w:rsidRPr="00D94637" w:rsidRDefault="00E37D8A" w:rsidP="00D94637">
          <w:pPr>
            <w:pStyle w:val="FooterText"/>
            <w:pBdr>
              <w:top w:val="single" w:sz="4" w:space="1" w:color="auto"/>
            </w:pBdr>
            <w:spacing w:before="200"/>
            <w:rPr>
              <w:sz w:val="2"/>
              <w:szCs w:val="2"/>
            </w:rPr>
          </w:pPr>
          <w:bookmarkStart w:id="2" w:name="FOOTER_STANDARD"/>
        </w:p>
      </w:tc>
    </w:tr>
    <w:tr w:rsidR="00E37D8A" w:rsidRPr="00B310DC" w:rsidTr="00E37D8A">
      <w:trPr>
        <w:jc w:val="center"/>
      </w:trPr>
      <w:tc>
        <w:tcPr>
          <w:tcW w:w="2500" w:type="pct"/>
          <w:gridSpan w:val="2"/>
          <w:shd w:val="clear" w:color="auto" w:fill="auto"/>
          <w:tcMar>
            <w:top w:w="0" w:type="dxa"/>
          </w:tcMar>
        </w:tcPr>
        <w:p w:rsidR="00E37D8A" w:rsidRPr="00AD7BF2" w:rsidRDefault="00E37D8A" w:rsidP="004F54B2">
          <w:pPr>
            <w:pStyle w:val="FooterText"/>
          </w:pPr>
          <w:r>
            <w:t>CM 2758/1/16</w:t>
          </w:r>
          <w:r w:rsidRPr="002511D8">
            <w:t xml:space="preserve"> </w:t>
          </w:r>
          <w:r>
            <w:t>REV 1</w:t>
          </w:r>
        </w:p>
      </w:tc>
      <w:tc>
        <w:tcPr>
          <w:tcW w:w="625" w:type="pct"/>
          <w:shd w:val="clear" w:color="auto" w:fill="auto"/>
          <w:tcMar>
            <w:top w:w="0" w:type="dxa"/>
          </w:tcMar>
        </w:tcPr>
        <w:p w:rsidR="00E37D8A" w:rsidRPr="00AD7BF2" w:rsidRDefault="00E37D8A" w:rsidP="00D94637">
          <w:pPr>
            <w:pStyle w:val="FooterText"/>
            <w:jc w:val="center"/>
          </w:pPr>
        </w:p>
      </w:tc>
      <w:tc>
        <w:tcPr>
          <w:tcW w:w="1287" w:type="pct"/>
          <w:gridSpan w:val="3"/>
          <w:shd w:val="clear" w:color="auto" w:fill="auto"/>
          <w:tcMar>
            <w:top w:w="0" w:type="dxa"/>
          </w:tcMar>
        </w:tcPr>
        <w:p w:rsidR="00E37D8A" w:rsidRPr="002511D8" w:rsidRDefault="00E37D8A" w:rsidP="00D94637">
          <w:pPr>
            <w:pStyle w:val="FooterText"/>
            <w:jc w:val="center"/>
          </w:pPr>
        </w:p>
      </w:tc>
      <w:tc>
        <w:tcPr>
          <w:tcW w:w="588" w:type="pct"/>
          <w:shd w:val="clear" w:color="auto" w:fill="auto"/>
          <w:tcMar>
            <w:top w:w="0" w:type="dxa"/>
          </w:tcMar>
        </w:tcPr>
        <w:p w:rsidR="00E37D8A" w:rsidRPr="00B310DC" w:rsidRDefault="00E37D8A"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E37D8A" w:rsidRPr="00D94637" w:rsidTr="00E37D8A">
      <w:trPr>
        <w:jc w:val="center"/>
      </w:trPr>
      <w:tc>
        <w:tcPr>
          <w:tcW w:w="1774" w:type="pct"/>
          <w:shd w:val="clear" w:color="auto" w:fill="auto"/>
        </w:tcPr>
        <w:p w:rsidR="00E37D8A" w:rsidRPr="00AD7BF2" w:rsidRDefault="00E37D8A" w:rsidP="00D94637">
          <w:pPr>
            <w:pStyle w:val="FooterText"/>
            <w:spacing w:before="40"/>
          </w:pPr>
        </w:p>
      </w:tc>
      <w:tc>
        <w:tcPr>
          <w:tcW w:w="1455" w:type="pct"/>
          <w:gridSpan w:val="3"/>
          <w:shd w:val="clear" w:color="auto" w:fill="auto"/>
        </w:tcPr>
        <w:p w:rsidR="00E37D8A" w:rsidRPr="00AD7BF2" w:rsidRDefault="00E37D8A" w:rsidP="00D204D6">
          <w:pPr>
            <w:pStyle w:val="FooterText"/>
            <w:spacing w:before="40"/>
            <w:jc w:val="center"/>
          </w:pPr>
        </w:p>
      </w:tc>
      <w:tc>
        <w:tcPr>
          <w:tcW w:w="1147" w:type="pct"/>
          <w:shd w:val="clear" w:color="auto" w:fill="auto"/>
        </w:tcPr>
        <w:p w:rsidR="00E37D8A" w:rsidRPr="00D94637" w:rsidRDefault="00E37D8A" w:rsidP="00D94637">
          <w:pPr>
            <w:pStyle w:val="FooterText"/>
            <w:jc w:val="right"/>
            <w:rPr>
              <w:b/>
              <w:position w:val="-4"/>
              <w:sz w:val="36"/>
            </w:rPr>
          </w:pPr>
        </w:p>
      </w:tc>
      <w:tc>
        <w:tcPr>
          <w:tcW w:w="625" w:type="pct"/>
          <w:gridSpan w:val="2"/>
          <w:shd w:val="clear" w:color="auto" w:fill="auto"/>
        </w:tcPr>
        <w:p w:rsidR="00E37D8A" w:rsidRPr="00D94637" w:rsidRDefault="00E37D8A" w:rsidP="00D94637">
          <w:pPr>
            <w:pStyle w:val="FooterText"/>
            <w:jc w:val="right"/>
            <w:rPr>
              <w:sz w:val="16"/>
            </w:rPr>
          </w:pPr>
          <w:r>
            <w:rPr>
              <w:b/>
              <w:position w:val="-4"/>
              <w:sz w:val="36"/>
            </w:rPr>
            <w:t>FR</w:t>
          </w:r>
        </w:p>
      </w:tc>
    </w:tr>
    <w:bookmarkEnd w:id="2"/>
  </w:tbl>
  <w:p w:rsidR="003514ED" w:rsidRPr="00E37D8A" w:rsidRDefault="003514ED" w:rsidP="00E37D8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37D8A" w:rsidRPr="00D94637" w:rsidTr="00E37D8A">
      <w:trPr>
        <w:jc w:val="center"/>
      </w:trPr>
      <w:tc>
        <w:tcPr>
          <w:tcW w:w="5000" w:type="pct"/>
          <w:gridSpan w:val="7"/>
          <w:shd w:val="clear" w:color="auto" w:fill="auto"/>
          <w:tcMar>
            <w:top w:w="57" w:type="dxa"/>
          </w:tcMar>
        </w:tcPr>
        <w:p w:rsidR="00E37D8A" w:rsidRPr="00D94637" w:rsidRDefault="00E37D8A" w:rsidP="00D94637">
          <w:pPr>
            <w:pStyle w:val="FooterText"/>
            <w:pBdr>
              <w:top w:val="single" w:sz="4" w:space="1" w:color="auto"/>
            </w:pBdr>
            <w:spacing w:before="200"/>
            <w:rPr>
              <w:sz w:val="2"/>
              <w:szCs w:val="2"/>
            </w:rPr>
          </w:pPr>
        </w:p>
      </w:tc>
    </w:tr>
    <w:tr w:rsidR="00E37D8A" w:rsidRPr="00B310DC" w:rsidTr="00E37D8A">
      <w:trPr>
        <w:jc w:val="center"/>
      </w:trPr>
      <w:tc>
        <w:tcPr>
          <w:tcW w:w="2500" w:type="pct"/>
          <w:gridSpan w:val="2"/>
          <w:shd w:val="clear" w:color="auto" w:fill="auto"/>
          <w:tcMar>
            <w:top w:w="0" w:type="dxa"/>
          </w:tcMar>
        </w:tcPr>
        <w:p w:rsidR="00E37D8A" w:rsidRPr="00AD7BF2" w:rsidRDefault="00E37D8A" w:rsidP="004F54B2">
          <w:pPr>
            <w:pStyle w:val="FooterText"/>
          </w:pPr>
          <w:r>
            <w:t>CM 2758/1/16</w:t>
          </w:r>
          <w:r w:rsidRPr="002511D8">
            <w:t xml:space="preserve"> </w:t>
          </w:r>
          <w:r>
            <w:t>REV 1</w:t>
          </w:r>
        </w:p>
      </w:tc>
      <w:tc>
        <w:tcPr>
          <w:tcW w:w="625" w:type="pct"/>
          <w:shd w:val="clear" w:color="auto" w:fill="auto"/>
          <w:tcMar>
            <w:top w:w="0" w:type="dxa"/>
          </w:tcMar>
        </w:tcPr>
        <w:p w:rsidR="00E37D8A" w:rsidRPr="00AD7BF2" w:rsidRDefault="00E37D8A" w:rsidP="00D94637">
          <w:pPr>
            <w:pStyle w:val="FooterText"/>
            <w:jc w:val="center"/>
          </w:pPr>
        </w:p>
      </w:tc>
      <w:tc>
        <w:tcPr>
          <w:tcW w:w="1287" w:type="pct"/>
          <w:gridSpan w:val="3"/>
          <w:shd w:val="clear" w:color="auto" w:fill="auto"/>
          <w:tcMar>
            <w:top w:w="0" w:type="dxa"/>
          </w:tcMar>
        </w:tcPr>
        <w:p w:rsidR="00E37D8A" w:rsidRPr="002511D8" w:rsidRDefault="00E37D8A" w:rsidP="00D94637">
          <w:pPr>
            <w:pStyle w:val="FooterText"/>
            <w:jc w:val="center"/>
          </w:pPr>
        </w:p>
      </w:tc>
      <w:tc>
        <w:tcPr>
          <w:tcW w:w="588" w:type="pct"/>
          <w:shd w:val="clear" w:color="auto" w:fill="auto"/>
          <w:tcMar>
            <w:top w:w="0" w:type="dxa"/>
          </w:tcMar>
        </w:tcPr>
        <w:p w:rsidR="00E37D8A" w:rsidRPr="00B310DC" w:rsidRDefault="00E37D8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37D8A" w:rsidRPr="00D94637" w:rsidTr="00E37D8A">
      <w:trPr>
        <w:jc w:val="center"/>
      </w:trPr>
      <w:tc>
        <w:tcPr>
          <w:tcW w:w="1774" w:type="pct"/>
          <w:shd w:val="clear" w:color="auto" w:fill="auto"/>
        </w:tcPr>
        <w:p w:rsidR="00E37D8A" w:rsidRPr="00AD7BF2" w:rsidRDefault="00E37D8A" w:rsidP="00D94637">
          <w:pPr>
            <w:pStyle w:val="FooterText"/>
            <w:spacing w:before="40"/>
          </w:pPr>
        </w:p>
      </w:tc>
      <w:tc>
        <w:tcPr>
          <w:tcW w:w="1455" w:type="pct"/>
          <w:gridSpan w:val="3"/>
          <w:shd w:val="clear" w:color="auto" w:fill="auto"/>
        </w:tcPr>
        <w:p w:rsidR="00E37D8A" w:rsidRPr="00AD7BF2" w:rsidRDefault="00E37D8A" w:rsidP="00D204D6">
          <w:pPr>
            <w:pStyle w:val="FooterText"/>
            <w:spacing w:before="40"/>
            <w:jc w:val="center"/>
          </w:pPr>
        </w:p>
      </w:tc>
      <w:tc>
        <w:tcPr>
          <w:tcW w:w="1147" w:type="pct"/>
          <w:shd w:val="clear" w:color="auto" w:fill="auto"/>
        </w:tcPr>
        <w:p w:rsidR="00E37D8A" w:rsidRPr="00D94637" w:rsidRDefault="00E37D8A" w:rsidP="00D94637">
          <w:pPr>
            <w:pStyle w:val="FooterText"/>
            <w:jc w:val="right"/>
            <w:rPr>
              <w:b/>
              <w:position w:val="-4"/>
              <w:sz w:val="36"/>
            </w:rPr>
          </w:pPr>
        </w:p>
      </w:tc>
      <w:tc>
        <w:tcPr>
          <w:tcW w:w="625" w:type="pct"/>
          <w:gridSpan w:val="2"/>
          <w:shd w:val="clear" w:color="auto" w:fill="auto"/>
        </w:tcPr>
        <w:p w:rsidR="00E37D8A" w:rsidRPr="00D94637" w:rsidRDefault="00E37D8A" w:rsidP="00D94637">
          <w:pPr>
            <w:pStyle w:val="FooterText"/>
            <w:jc w:val="right"/>
            <w:rPr>
              <w:sz w:val="16"/>
            </w:rPr>
          </w:pPr>
          <w:r>
            <w:rPr>
              <w:b/>
              <w:position w:val="-4"/>
              <w:sz w:val="36"/>
            </w:rPr>
            <w:t>FR</w:t>
          </w:r>
        </w:p>
      </w:tc>
    </w:tr>
  </w:tbl>
  <w:p w:rsidR="003514ED" w:rsidRPr="00E37D8A" w:rsidRDefault="003514ED" w:rsidP="00E37D8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ED" w:rsidRDefault="003514ED" w:rsidP="003514ED">
      <w:r>
        <w:separator/>
      </w:r>
    </w:p>
  </w:footnote>
  <w:footnote w:type="continuationSeparator" w:id="0">
    <w:p w:rsidR="003514ED" w:rsidRDefault="003514ED" w:rsidP="0035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8A" w:rsidRPr="00E37D8A" w:rsidRDefault="00E37D8A" w:rsidP="00E37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8A" w:rsidRPr="00E37D8A" w:rsidRDefault="00E37D8A" w:rsidP="00E37D8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8A" w:rsidRPr="00E37D8A" w:rsidRDefault="00E37D8A" w:rsidP="00E37D8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2CA659A"/>
    <w:multiLevelType w:val="singleLevel"/>
    <w:tmpl w:val="D3C847FE"/>
    <w:lvl w:ilvl="0">
      <w:start w:val="1"/>
      <w:numFmt w:val="bullet"/>
      <w:pStyle w:val="Par-tiret"/>
      <w:lvlText w:val=""/>
      <w:lvlJc w:val="left"/>
      <w:pPr>
        <w:tabs>
          <w:tab w:val="num" w:pos="360"/>
        </w:tabs>
        <w:ind w:left="357" w:hanging="35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5"/>
  </w:num>
  <w:num w:numId="2">
    <w:abstractNumId w:val="1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9"/>
    <w:lvlOverride w:ilvl="0">
      <w:startOverride w:val="1"/>
    </w:lvlOverride>
  </w:num>
  <w:num w:numId="6">
    <w:abstractNumId w:val="15"/>
    <w:lvlOverride w:ilvl="0">
      <w:startOverride w:val="1"/>
    </w:lvlOverride>
  </w:num>
  <w:num w:numId="7">
    <w:abstractNumId w:val="6"/>
    <w:lvlOverride w:ilvl="0">
      <w:startOverride w:val="1"/>
    </w:lvlOverride>
  </w:num>
  <w:num w:numId="8">
    <w:abstractNumId w:val="12"/>
  </w:num>
  <w:num w:numId="9">
    <w:abstractNumId w:val="18"/>
  </w:num>
  <w:num w:numId="10">
    <w:abstractNumId w:val="6"/>
  </w:num>
  <w:num w:numId="11">
    <w:abstractNumId w:val="14"/>
  </w:num>
  <w:num w:numId="12">
    <w:abstractNumId w:val="3"/>
  </w:num>
  <w:num w:numId="13">
    <w:abstractNumId w:val="19"/>
  </w:num>
  <w:num w:numId="14">
    <w:abstractNumId w:val="11"/>
  </w:num>
  <w:num w:numId="15">
    <w:abstractNumId w:val="13"/>
  </w:num>
  <w:num w:numId="16">
    <w:abstractNumId w:val="15"/>
  </w:num>
  <w:num w:numId="17">
    <w:abstractNumId w:val="10"/>
  </w:num>
  <w:num w:numId="18">
    <w:abstractNumId w:val="1"/>
  </w:num>
  <w:num w:numId="19">
    <w:abstractNumId w:val="16"/>
  </w:num>
  <w:num w:numId="20">
    <w:abstractNumId w:val="9"/>
  </w:num>
  <w:num w:numId="21">
    <w:abstractNumId w:val="4"/>
  </w:num>
  <w:num w:numId="22">
    <w:abstractNumId w:val="17"/>
  </w:num>
  <w:num w:numId="23">
    <w:abstractNumId w:val="7"/>
  </w:num>
  <w:num w:numId="24">
    <w:abstractNumId w:val="0"/>
  </w:num>
  <w:num w:numId="25">
    <w:abstractNumId w:val="2"/>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68cdd829-5284-4b9e-a982-262badec7cd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24&lt;/text&gt;_x000d__x000a_  &lt;/metadata&gt;_x000d__x000a_  &lt;metadata key=&quot;md_Prefix&quot; translate=&quot;false&quot;&gt;_x000d__x000a_    &lt;text&gt;CM&lt;/text&gt;_x000d__x000a_  &lt;/metadata&gt;_x000d__x000a_  &lt;metadata key=&quot;md_DocumentNumber&quot; translate=&quot;false&quot;&gt;_x000d__x000a_    &lt;text&gt;2758&lt;/text&gt;_x000d__x000a_  &lt;/metadata&gt;_x000d__x000a_  &lt;metadata key=&quot;md_YearDocumentNumber&quot; translate=&quot;false&quot;&gt;_x000d__x000a_    &lt;text&gt;2016&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TRANS&lt;/text&gt;_x000d__x000a_      &lt;text&gt;TELECOM&lt;/text&gt;_x000d__x000a_      &lt;text&gt;ENER&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2e session du CONSEIL DE L'UNION EUROPÉENNE (Transports, télécommunications et énergie)&quot;&gt;&amp;lt;FlowDocument FontFamily=&quot;Arial Unicode MS&quot; FontSize=&quot;12&quot; PageWidth=&quot;329&quot; PagePadding=&quot;0,0,0,0&quot; AllowDrop=&quot;False&quot; xmlns=&quot;http://schemas.microsoft.com/winfx/2006/xaml/presentation&quot;&amp;gt;&amp;lt;Paragraph&amp;gt;3472&amp;lt;Run BaselineAlignment=&quot;Superscript&quot;&amp;gt;e&amp;lt;/Run&amp;gt; session du CONSEIL DE L'UNION EUROPÉENNE&amp;lt;LineBreak /&amp;gt;(&amp;lt;Run FontWeight=&quot;Bold&quot;&amp;gt;&amp;lt;Run.TextDecorations&amp;gt;&amp;lt;TextDecoration Location=&quot;Underline&quot; /&amp;gt;&amp;lt;/Run.TextDecorations&amp;gt;Transports&amp;lt;/Run&amp;gt;, télécommunications et &amp;lt;Run FontWeight=&quot;Bold&quot;&amp;gt;&amp;lt;Run.TextDecorations&amp;gt;&amp;lt;TextDecoration Location=&quot;Underline&quot; /&amp;gt;&amp;lt;/Run.TextDecorations&amp;gt;énergi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tru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06-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07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3514ED"/>
    <w:rsid w:val="00010C1D"/>
    <w:rsid w:val="00034F44"/>
    <w:rsid w:val="000573A3"/>
    <w:rsid w:val="000674B2"/>
    <w:rsid w:val="00071739"/>
    <w:rsid w:val="0009656C"/>
    <w:rsid w:val="000A7D7F"/>
    <w:rsid w:val="00165755"/>
    <w:rsid w:val="00175A5D"/>
    <w:rsid w:val="00182F2F"/>
    <w:rsid w:val="001C1958"/>
    <w:rsid w:val="001D6D68"/>
    <w:rsid w:val="00213F1F"/>
    <w:rsid w:val="00283E1C"/>
    <w:rsid w:val="002968D0"/>
    <w:rsid w:val="002A1AF1"/>
    <w:rsid w:val="002A2AE8"/>
    <w:rsid w:val="002C4027"/>
    <w:rsid w:val="00323AD1"/>
    <w:rsid w:val="00325BFE"/>
    <w:rsid w:val="00330A3C"/>
    <w:rsid w:val="003514ED"/>
    <w:rsid w:val="003946B3"/>
    <w:rsid w:val="003A6B17"/>
    <w:rsid w:val="003C6E8B"/>
    <w:rsid w:val="003D1B79"/>
    <w:rsid w:val="003D527B"/>
    <w:rsid w:val="003E1043"/>
    <w:rsid w:val="004605F4"/>
    <w:rsid w:val="0046095F"/>
    <w:rsid w:val="00466EFB"/>
    <w:rsid w:val="004B58D3"/>
    <w:rsid w:val="004B67A2"/>
    <w:rsid w:val="004F7B43"/>
    <w:rsid w:val="005157F5"/>
    <w:rsid w:val="00521B65"/>
    <w:rsid w:val="005546F8"/>
    <w:rsid w:val="005A371B"/>
    <w:rsid w:val="006202E5"/>
    <w:rsid w:val="00624696"/>
    <w:rsid w:val="0063379B"/>
    <w:rsid w:val="00653BD9"/>
    <w:rsid w:val="00660AFA"/>
    <w:rsid w:val="00667956"/>
    <w:rsid w:val="00684087"/>
    <w:rsid w:val="006A38C5"/>
    <w:rsid w:val="006C1AD4"/>
    <w:rsid w:val="006E33E2"/>
    <w:rsid w:val="006F4741"/>
    <w:rsid w:val="006F4B2C"/>
    <w:rsid w:val="00711178"/>
    <w:rsid w:val="00723B66"/>
    <w:rsid w:val="007336BA"/>
    <w:rsid w:val="00751DE6"/>
    <w:rsid w:val="0075756A"/>
    <w:rsid w:val="00764F1F"/>
    <w:rsid w:val="007A4EAA"/>
    <w:rsid w:val="007B5820"/>
    <w:rsid w:val="007D0E12"/>
    <w:rsid w:val="007E7EC5"/>
    <w:rsid w:val="00820C9D"/>
    <w:rsid w:val="00825503"/>
    <w:rsid w:val="00825E77"/>
    <w:rsid w:val="008826F8"/>
    <w:rsid w:val="0089649B"/>
    <w:rsid w:val="008A24E6"/>
    <w:rsid w:val="008A25FB"/>
    <w:rsid w:val="008B652A"/>
    <w:rsid w:val="008C7F2B"/>
    <w:rsid w:val="008D45DC"/>
    <w:rsid w:val="008D5532"/>
    <w:rsid w:val="008F244E"/>
    <w:rsid w:val="00930066"/>
    <w:rsid w:val="00936F1F"/>
    <w:rsid w:val="00955177"/>
    <w:rsid w:val="00971BB5"/>
    <w:rsid w:val="0097434C"/>
    <w:rsid w:val="009848E9"/>
    <w:rsid w:val="00994010"/>
    <w:rsid w:val="009B2794"/>
    <w:rsid w:val="009C5680"/>
    <w:rsid w:val="009C6C89"/>
    <w:rsid w:val="009D032F"/>
    <w:rsid w:val="009F22F1"/>
    <w:rsid w:val="00A3411F"/>
    <w:rsid w:val="00A469D7"/>
    <w:rsid w:val="00A93508"/>
    <w:rsid w:val="00AA1F12"/>
    <w:rsid w:val="00AA265D"/>
    <w:rsid w:val="00AE13F7"/>
    <w:rsid w:val="00B534AD"/>
    <w:rsid w:val="00BE1373"/>
    <w:rsid w:val="00C0382E"/>
    <w:rsid w:val="00CA7EA2"/>
    <w:rsid w:val="00CC2B0B"/>
    <w:rsid w:val="00CD3C60"/>
    <w:rsid w:val="00CF7D2D"/>
    <w:rsid w:val="00D00433"/>
    <w:rsid w:val="00D14DB9"/>
    <w:rsid w:val="00D451E4"/>
    <w:rsid w:val="00D76875"/>
    <w:rsid w:val="00D805D1"/>
    <w:rsid w:val="00DC794E"/>
    <w:rsid w:val="00DF72FC"/>
    <w:rsid w:val="00E0454D"/>
    <w:rsid w:val="00E24597"/>
    <w:rsid w:val="00E36981"/>
    <w:rsid w:val="00E37D8A"/>
    <w:rsid w:val="00E62664"/>
    <w:rsid w:val="00EA7E8A"/>
    <w:rsid w:val="00EB0A1A"/>
    <w:rsid w:val="00EF4242"/>
    <w:rsid w:val="00F24631"/>
    <w:rsid w:val="00F3405E"/>
    <w:rsid w:val="00F45115"/>
    <w:rsid w:val="00FC4670"/>
    <w:rsid w:val="00FF69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8A24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3"/>
      </w:numPr>
      <w:spacing w:before="200"/>
    </w:pPr>
  </w:style>
  <w:style w:type="paragraph" w:customStyle="1" w:styleId="Pointabc1">
    <w:name w:val="Point abc (1)"/>
    <w:basedOn w:val="Normal"/>
    <w:rsid w:val="006E33E2"/>
    <w:pPr>
      <w:numPr>
        <w:ilvl w:val="3"/>
        <w:numId w:val="23"/>
      </w:numPr>
      <w:outlineLvl w:val="0"/>
    </w:pPr>
  </w:style>
  <w:style w:type="paragraph" w:customStyle="1" w:styleId="Pointabc2">
    <w:name w:val="Point abc (2)"/>
    <w:basedOn w:val="Normal"/>
    <w:rsid w:val="006E33E2"/>
    <w:pPr>
      <w:numPr>
        <w:ilvl w:val="5"/>
        <w:numId w:val="23"/>
      </w:numPr>
      <w:outlineLvl w:val="1"/>
    </w:pPr>
  </w:style>
  <w:style w:type="paragraph" w:customStyle="1" w:styleId="Pointabc3">
    <w:name w:val="Point abc (3)"/>
    <w:basedOn w:val="Normal"/>
    <w:rsid w:val="006E33E2"/>
    <w:pPr>
      <w:numPr>
        <w:ilvl w:val="7"/>
        <w:numId w:val="23"/>
      </w:numPr>
      <w:outlineLvl w:val="2"/>
    </w:pPr>
  </w:style>
  <w:style w:type="paragraph" w:customStyle="1" w:styleId="Pointabc4">
    <w:name w:val="Point abc (4)"/>
    <w:basedOn w:val="Normal"/>
    <w:rsid w:val="006E33E2"/>
    <w:pPr>
      <w:numPr>
        <w:ilvl w:val="8"/>
        <w:numId w:val="23"/>
      </w:numPr>
      <w:outlineLvl w:val="3"/>
    </w:pPr>
  </w:style>
  <w:style w:type="paragraph" w:customStyle="1" w:styleId="Point123">
    <w:name w:val="Point 123"/>
    <w:basedOn w:val="Normal"/>
    <w:rsid w:val="006E33E2"/>
    <w:pPr>
      <w:numPr>
        <w:numId w:val="23"/>
      </w:numPr>
      <w:spacing w:before="200"/>
    </w:pPr>
  </w:style>
  <w:style w:type="paragraph" w:customStyle="1" w:styleId="Point1231">
    <w:name w:val="Point 123 (1)"/>
    <w:basedOn w:val="Normal"/>
    <w:rsid w:val="006E33E2"/>
    <w:pPr>
      <w:numPr>
        <w:ilvl w:val="2"/>
        <w:numId w:val="23"/>
      </w:numPr>
      <w:outlineLvl w:val="0"/>
    </w:pPr>
  </w:style>
  <w:style w:type="paragraph" w:customStyle="1" w:styleId="Point1232">
    <w:name w:val="Point 123 (2)"/>
    <w:basedOn w:val="Normal"/>
    <w:rsid w:val="006E33E2"/>
    <w:pPr>
      <w:numPr>
        <w:ilvl w:val="4"/>
        <w:numId w:val="23"/>
      </w:numPr>
      <w:outlineLvl w:val="1"/>
    </w:pPr>
  </w:style>
  <w:style w:type="paragraph" w:customStyle="1" w:styleId="Point1233">
    <w:name w:val="Point 123 (3)"/>
    <w:basedOn w:val="Normal"/>
    <w:rsid w:val="006E33E2"/>
    <w:pPr>
      <w:numPr>
        <w:ilvl w:val="6"/>
        <w:numId w:val="23"/>
      </w:numPr>
      <w:outlineLvl w:val="2"/>
    </w:pPr>
  </w:style>
  <w:style w:type="paragraph" w:customStyle="1" w:styleId="Pointivx">
    <w:name w:val="Point ivx"/>
    <w:basedOn w:val="Normal"/>
    <w:rsid w:val="006E33E2"/>
    <w:pPr>
      <w:numPr>
        <w:numId w:val="24"/>
      </w:numPr>
      <w:spacing w:before="200"/>
    </w:pPr>
  </w:style>
  <w:style w:type="paragraph" w:customStyle="1" w:styleId="Pointivx1">
    <w:name w:val="Point ivx (1)"/>
    <w:basedOn w:val="Normal"/>
    <w:rsid w:val="006E33E2"/>
    <w:pPr>
      <w:numPr>
        <w:ilvl w:val="1"/>
        <w:numId w:val="24"/>
      </w:numPr>
      <w:outlineLvl w:val="0"/>
    </w:pPr>
  </w:style>
  <w:style w:type="paragraph" w:customStyle="1" w:styleId="Pointivx2">
    <w:name w:val="Point ivx (2)"/>
    <w:basedOn w:val="Normal"/>
    <w:rsid w:val="006E33E2"/>
    <w:pPr>
      <w:numPr>
        <w:ilvl w:val="2"/>
        <w:numId w:val="24"/>
      </w:numPr>
      <w:outlineLvl w:val="1"/>
    </w:pPr>
  </w:style>
  <w:style w:type="paragraph" w:customStyle="1" w:styleId="Pointivx3">
    <w:name w:val="Point ivx (3)"/>
    <w:basedOn w:val="Normal"/>
    <w:rsid w:val="006E33E2"/>
    <w:pPr>
      <w:numPr>
        <w:ilvl w:val="3"/>
        <w:numId w:val="24"/>
      </w:numPr>
      <w:outlineLvl w:val="2"/>
    </w:pPr>
  </w:style>
  <w:style w:type="paragraph" w:customStyle="1" w:styleId="Pointivx4">
    <w:name w:val="Point ivx (4)"/>
    <w:basedOn w:val="Normal"/>
    <w:rsid w:val="006E33E2"/>
    <w:pPr>
      <w:numPr>
        <w:ilvl w:val="4"/>
        <w:numId w:val="24"/>
      </w:numPr>
      <w:outlineLvl w:val="3"/>
    </w:pPr>
  </w:style>
  <w:style w:type="paragraph" w:customStyle="1" w:styleId="Bullet">
    <w:name w:val="Bullet"/>
    <w:basedOn w:val="Normal"/>
    <w:rsid w:val="006E33E2"/>
    <w:pPr>
      <w:numPr>
        <w:numId w:val="18"/>
      </w:numPr>
      <w:spacing w:before="200"/>
    </w:pPr>
  </w:style>
  <w:style w:type="paragraph" w:customStyle="1" w:styleId="Bullet1">
    <w:name w:val="Bullet 1"/>
    <w:basedOn w:val="Normal"/>
    <w:rsid w:val="006E33E2"/>
    <w:pPr>
      <w:numPr>
        <w:numId w:val="19"/>
      </w:numPr>
      <w:outlineLvl w:val="0"/>
    </w:pPr>
  </w:style>
  <w:style w:type="paragraph" w:customStyle="1" w:styleId="Bullet2">
    <w:name w:val="Bullet 2"/>
    <w:basedOn w:val="Normal"/>
    <w:rsid w:val="006E33E2"/>
    <w:pPr>
      <w:numPr>
        <w:numId w:val="20"/>
      </w:numPr>
      <w:outlineLvl w:val="1"/>
    </w:pPr>
  </w:style>
  <w:style w:type="paragraph" w:customStyle="1" w:styleId="Bullet3">
    <w:name w:val="Bullet 3"/>
    <w:basedOn w:val="Normal"/>
    <w:rsid w:val="006E33E2"/>
    <w:pPr>
      <w:numPr>
        <w:numId w:val="21"/>
      </w:numPr>
      <w:outlineLvl w:val="2"/>
    </w:pPr>
  </w:style>
  <w:style w:type="paragraph" w:customStyle="1" w:styleId="Bullet4">
    <w:name w:val="Bullet 4"/>
    <w:basedOn w:val="Normal"/>
    <w:rsid w:val="006E33E2"/>
    <w:pPr>
      <w:numPr>
        <w:numId w:val="22"/>
      </w:numPr>
      <w:outlineLvl w:val="3"/>
    </w:pPr>
  </w:style>
  <w:style w:type="paragraph" w:customStyle="1" w:styleId="Dash">
    <w:name w:val="Dash"/>
    <w:basedOn w:val="Normal"/>
    <w:rsid w:val="006E33E2"/>
    <w:pPr>
      <w:numPr>
        <w:numId w:val="8"/>
      </w:numPr>
      <w:spacing w:before="200"/>
    </w:pPr>
  </w:style>
  <w:style w:type="paragraph" w:customStyle="1" w:styleId="Dash1">
    <w:name w:val="Dash 1"/>
    <w:basedOn w:val="Normal"/>
    <w:rsid w:val="006E33E2"/>
    <w:pPr>
      <w:numPr>
        <w:numId w:val="9"/>
      </w:numPr>
      <w:outlineLvl w:val="0"/>
    </w:pPr>
  </w:style>
  <w:style w:type="paragraph" w:customStyle="1" w:styleId="Dash2">
    <w:name w:val="Dash 2"/>
    <w:basedOn w:val="Normal"/>
    <w:rsid w:val="006E33E2"/>
    <w:pPr>
      <w:numPr>
        <w:numId w:val="10"/>
      </w:numPr>
      <w:outlineLvl w:val="1"/>
    </w:pPr>
  </w:style>
  <w:style w:type="paragraph" w:customStyle="1" w:styleId="Dash3">
    <w:name w:val="Dash 3"/>
    <w:basedOn w:val="Normal"/>
    <w:rsid w:val="006E33E2"/>
    <w:pPr>
      <w:numPr>
        <w:numId w:val="11"/>
      </w:numPr>
      <w:outlineLvl w:val="2"/>
    </w:pPr>
  </w:style>
  <w:style w:type="paragraph" w:customStyle="1" w:styleId="Dash4">
    <w:name w:val="Dash 4"/>
    <w:basedOn w:val="Normal"/>
    <w:rsid w:val="006E33E2"/>
    <w:pPr>
      <w:numPr>
        <w:numId w:val="12"/>
      </w:numPr>
      <w:outlineLvl w:val="3"/>
    </w:pPr>
  </w:style>
  <w:style w:type="paragraph" w:customStyle="1" w:styleId="DashEqual">
    <w:name w:val="Dash Equal"/>
    <w:basedOn w:val="Dash"/>
    <w:rsid w:val="006E33E2"/>
    <w:pPr>
      <w:numPr>
        <w:numId w:val="13"/>
      </w:numPr>
    </w:pPr>
  </w:style>
  <w:style w:type="paragraph" w:customStyle="1" w:styleId="DashEqual1">
    <w:name w:val="Dash Equal 1"/>
    <w:basedOn w:val="Dash1"/>
    <w:rsid w:val="006E33E2"/>
    <w:pPr>
      <w:numPr>
        <w:numId w:val="14"/>
      </w:numPr>
    </w:pPr>
  </w:style>
  <w:style w:type="paragraph" w:customStyle="1" w:styleId="DashEqual2">
    <w:name w:val="Dash Equal 2"/>
    <w:basedOn w:val="Dash2"/>
    <w:rsid w:val="006E33E2"/>
    <w:pPr>
      <w:numPr>
        <w:numId w:val="15"/>
      </w:numPr>
    </w:pPr>
  </w:style>
  <w:style w:type="paragraph" w:customStyle="1" w:styleId="DashEqual3">
    <w:name w:val="Dash Equal 3"/>
    <w:basedOn w:val="Dash3"/>
    <w:rsid w:val="006E33E2"/>
    <w:pPr>
      <w:numPr>
        <w:numId w:val="16"/>
      </w:numPr>
    </w:pPr>
  </w:style>
  <w:style w:type="paragraph" w:customStyle="1" w:styleId="DashEqual4">
    <w:name w:val="Dash Equal 4"/>
    <w:basedOn w:val="Dash4"/>
    <w:rsid w:val="006E33E2"/>
    <w:pPr>
      <w:numPr>
        <w:numId w:val="17"/>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5"/>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6"/>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14ED"/>
    <w:pPr>
      <w:spacing w:after="440"/>
      <w:ind w:left="-1134" w:right="-1134"/>
    </w:pPr>
    <w:rPr>
      <w:sz w:val="2"/>
    </w:rPr>
  </w:style>
  <w:style w:type="character" w:customStyle="1" w:styleId="TechnicalBlockChar">
    <w:name w:val="Technical Block Char"/>
    <w:basedOn w:val="DefaultParagraphFont"/>
    <w:rsid w:val="003514ED"/>
    <w:rPr>
      <w:sz w:val="24"/>
      <w:szCs w:val="24"/>
      <w:lang w:val="fr-FR" w:eastAsia="en-US"/>
    </w:rPr>
  </w:style>
  <w:style w:type="character" w:customStyle="1" w:styleId="HeaderCouncilLargeChar">
    <w:name w:val="Header Council Large Char"/>
    <w:basedOn w:val="TechnicalBlockChar"/>
    <w:link w:val="HeaderCouncilLarge"/>
    <w:rsid w:val="003514ED"/>
    <w:rPr>
      <w:sz w:val="2"/>
      <w:szCs w:val="24"/>
      <w:lang w:val="fr-FR" w:eastAsia="en-US"/>
    </w:rPr>
  </w:style>
  <w:style w:type="paragraph" w:customStyle="1" w:styleId="FooterText">
    <w:name w:val="Footer Text"/>
    <w:basedOn w:val="Normal"/>
    <w:rsid w:val="003514ED"/>
  </w:style>
  <w:style w:type="paragraph" w:styleId="BalloonText">
    <w:name w:val="Balloon Text"/>
    <w:basedOn w:val="Normal"/>
    <w:link w:val="BalloonTextChar"/>
    <w:uiPriority w:val="99"/>
    <w:semiHidden/>
    <w:unhideWhenUsed/>
    <w:rsid w:val="00AA1F12"/>
    <w:rPr>
      <w:rFonts w:ascii="Tahoma" w:hAnsi="Tahoma" w:cs="Tahoma"/>
      <w:sz w:val="16"/>
      <w:szCs w:val="16"/>
    </w:rPr>
  </w:style>
  <w:style w:type="character" w:customStyle="1" w:styleId="BalloonTextChar">
    <w:name w:val="Balloon Text Char"/>
    <w:basedOn w:val="DefaultParagraphFont"/>
    <w:link w:val="BalloonText"/>
    <w:uiPriority w:val="99"/>
    <w:semiHidden/>
    <w:rsid w:val="00AA1F12"/>
    <w:rPr>
      <w:rFonts w:ascii="Tahoma" w:hAnsi="Tahoma" w:cs="Tahoma"/>
      <w:sz w:val="16"/>
      <w:szCs w:val="16"/>
      <w:lang w:val="fr-FR" w:eastAsia="en-US"/>
    </w:rPr>
  </w:style>
  <w:style w:type="paragraph" w:customStyle="1" w:styleId="Par-tiret">
    <w:name w:val="Par-tiret"/>
    <w:basedOn w:val="Normal"/>
    <w:next w:val="Normal"/>
    <w:rsid w:val="00EA7E8A"/>
    <w:pPr>
      <w:numPr>
        <w:numId w:val="1"/>
      </w:numPr>
      <w:spacing w:line="360" w:lineRule="auto"/>
    </w:pPr>
    <w:rPr>
      <w:szCs w:val="20"/>
      <w:lang w:eastAsia="fr-BE"/>
    </w:rPr>
  </w:style>
  <w:style w:type="character" w:customStyle="1" w:styleId="PointManualChar">
    <w:name w:val="Point Manual Char"/>
    <w:locked/>
    <w:rsid w:val="00EA7E8A"/>
    <w:rPr>
      <w:sz w:val="24"/>
      <w:szCs w:val="24"/>
      <w:lang w:val="fr-FR" w:eastAsia="en-US"/>
    </w:rPr>
  </w:style>
  <w:style w:type="character" w:styleId="CommentReference">
    <w:name w:val="annotation reference"/>
    <w:basedOn w:val="DefaultParagraphFont"/>
    <w:uiPriority w:val="99"/>
    <w:semiHidden/>
    <w:unhideWhenUsed/>
    <w:rsid w:val="000A7D7F"/>
    <w:rPr>
      <w:sz w:val="16"/>
      <w:szCs w:val="16"/>
    </w:rPr>
  </w:style>
  <w:style w:type="paragraph" w:styleId="CommentText">
    <w:name w:val="annotation text"/>
    <w:basedOn w:val="Normal"/>
    <w:link w:val="CommentTextChar"/>
    <w:uiPriority w:val="99"/>
    <w:semiHidden/>
    <w:unhideWhenUsed/>
    <w:rsid w:val="000A7D7F"/>
    <w:rPr>
      <w:sz w:val="20"/>
      <w:szCs w:val="20"/>
    </w:rPr>
  </w:style>
  <w:style w:type="character" w:customStyle="1" w:styleId="CommentTextChar">
    <w:name w:val="Comment Text Char"/>
    <w:basedOn w:val="DefaultParagraphFont"/>
    <w:link w:val="CommentText"/>
    <w:uiPriority w:val="99"/>
    <w:semiHidden/>
    <w:rsid w:val="000A7D7F"/>
    <w:rPr>
      <w:lang w:val="fr-FR" w:eastAsia="en-US"/>
    </w:rPr>
  </w:style>
  <w:style w:type="paragraph" w:styleId="CommentSubject">
    <w:name w:val="annotation subject"/>
    <w:basedOn w:val="CommentText"/>
    <w:next w:val="CommentText"/>
    <w:link w:val="CommentSubjectChar"/>
    <w:uiPriority w:val="99"/>
    <w:semiHidden/>
    <w:unhideWhenUsed/>
    <w:rsid w:val="000A7D7F"/>
    <w:rPr>
      <w:b/>
      <w:bCs/>
    </w:rPr>
  </w:style>
  <w:style w:type="character" w:customStyle="1" w:styleId="CommentSubjectChar">
    <w:name w:val="Comment Subject Char"/>
    <w:basedOn w:val="CommentTextChar"/>
    <w:link w:val="CommentSubject"/>
    <w:uiPriority w:val="99"/>
    <w:semiHidden/>
    <w:rsid w:val="000A7D7F"/>
    <w:rPr>
      <w:b/>
      <w:bCs/>
      <w:lang w:val="fr-FR" w:eastAsia="en-US"/>
    </w:rPr>
  </w:style>
  <w:style w:type="character" w:styleId="PlaceholderText">
    <w:name w:val="Placeholder Text"/>
    <w:basedOn w:val="DefaultParagraphFont"/>
    <w:uiPriority w:val="99"/>
    <w:semiHidden/>
    <w:rsid w:val="00E0454D"/>
    <w:rPr>
      <w:color w:val="808080"/>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8A24E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3"/>
      </w:numPr>
      <w:spacing w:before="200"/>
    </w:pPr>
  </w:style>
  <w:style w:type="paragraph" w:customStyle="1" w:styleId="Pointabc1">
    <w:name w:val="Point abc (1)"/>
    <w:basedOn w:val="Normal"/>
    <w:rsid w:val="006E33E2"/>
    <w:pPr>
      <w:numPr>
        <w:ilvl w:val="3"/>
        <w:numId w:val="23"/>
      </w:numPr>
      <w:outlineLvl w:val="0"/>
    </w:pPr>
  </w:style>
  <w:style w:type="paragraph" w:customStyle="1" w:styleId="Pointabc2">
    <w:name w:val="Point abc (2)"/>
    <w:basedOn w:val="Normal"/>
    <w:rsid w:val="006E33E2"/>
    <w:pPr>
      <w:numPr>
        <w:ilvl w:val="5"/>
        <w:numId w:val="23"/>
      </w:numPr>
      <w:outlineLvl w:val="1"/>
    </w:pPr>
  </w:style>
  <w:style w:type="paragraph" w:customStyle="1" w:styleId="Pointabc3">
    <w:name w:val="Point abc (3)"/>
    <w:basedOn w:val="Normal"/>
    <w:rsid w:val="006E33E2"/>
    <w:pPr>
      <w:numPr>
        <w:ilvl w:val="7"/>
        <w:numId w:val="23"/>
      </w:numPr>
      <w:outlineLvl w:val="2"/>
    </w:pPr>
  </w:style>
  <w:style w:type="paragraph" w:customStyle="1" w:styleId="Pointabc4">
    <w:name w:val="Point abc (4)"/>
    <w:basedOn w:val="Normal"/>
    <w:rsid w:val="006E33E2"/>
    <w:pPr>
      <w:numPr>
        <w:ilvl w:val="8"/>
        <w:numId w:val="23"/>
      </w:numPr>
      <w:outlineLvl w:val="3"/>
    </w:pPr>
  </w:style>
  <w:style w:type="paragraph" w:customStyle="1" w:styleId="Point123">
    <w:name w:val="Point 123"/>
    <w:basedOn w:val="Normal"/>
    <w:rsid w:val="006E33E2"/>
    <w:pPr>
      <w:numPr>
        <w:numId w:val="23"/>
      </w:numPr>
      <w:spacing w:before="200"/>
    </w:pPr>
  </w:style>
  <w:style w:type="paragraph" w:customStyle="1" w:styleId="Point1231">
    <w:name w:val="Point 123 (1)"/>
    <w:basedOn w:val="Normal"/>
    <w:rsid w:val="006E33E2"/>
    <w:pPr>
      <w:numPr>
        <w:ilvl w:val="2"/>
        <w:numId w:val="23"/>
      </w:numPr>
      <w:outlineLvl w:val="0"/>
    </w:pPr>
  </w:style>
  <w:style w:type="paragraph" w:customStyle="1" w:styleId="Point1232">
    <w:name w:val="Point 123 (2)"/>
    <w:basedOn w:val="Normal"/>
    <w:rsid w:val="006E33E2"/>
    <w:pPr>
      <w:numPr>
        <w:ilvl w:val="4"/>
        <w:numId w:val="23"/>
      </w:numPr>
      <w:outlineLvl w:val="1"/>
    </w:pPr>
  </w:style>
  <w:style w:type="paragraph" w:customStyle="1" w:styleId="Point1233">
    <w:name w:val="Point 123 (3)"/>
    <w:basedOn w:val="Normal"/>
    <w:rsid w:val="006E33E2"/>
    <w:pPr>
      <w:numPr>
        <w:ilvl w:val="6"/>
        <w:numId w:val="23"/>
      </w:numPr>
      <w:outlineLvl w:val="2"/>
    </w:pPr>
  </w:style>
  <w:style w:type="paragraph" w:customStyle="1" w:styleId="Pointivx">
    <w:name w:val="Point ivx"/>
    <w:basedOn w:val="Normal"/>
    <w:rsid w:val="006E33E2"/>
    <w:pPr>
      <w:numPr>
        <w:numId w:val="24"/>
      </w:numPr>
      <w:spacing w:before="200"/>
    </w:pPr>
  </w:style>
  <w:style w:type="paragraph" w:customStyle="1" w:styleId="Pointivx1">
    <w:name w:val="Point ivx (1)"/>
    <w:basedOn w:val="Normal"/>
    <w:rsid w:val="006E33E2"/>
    <w:pPr>
      <w:numPr>
        <w:ilvl w:val="1"/>
        <w:numId w:val="24"/>
      </w:numPr>
      <w:outlineLvl w:val="0"/>
    </w:pPr>
  </w:style>
  <w:style w:type="paragraph" w:customStyle="1" w:styleId="Pointivx2">
    <w:name w:val="Point ivx (2)"/>
    <w:basedOn w:val="Normal"/>
    <w:rsid w:val="006E33E2"/>
    <w:pPr>
      <w:numPr>
        <w:ilvl w:val="2"/>
        <w:numId w:val="24"/>
      </w:numPr>
      <w:outlineLvl w:val="1"/>
    </w:pPr>
  </w:style>
  <w:style w:type="paragraph" w:customStyle="1" w:styleId="Pointivx3">
    <w:name w:val="Point ivx (3)"/>
    <w:basedOn w:val="Normal"/>
    <w:rsid w:val="006E33E2"/>
    <w:pPr>
      <w:numPr>
        <w:ilvl w:val="3"/>
        <w:numId w:val="24"/>
      </w:numPr>
      <w:outlineLvl w:val="2"/>
    </w:pPr>
  </w:style>
  <w:style w:type="paragraph" w:customStyle="1" w:styleId="Pointivx4">
    <w:name w:val="Point ivx (4)"/>
    <w:basedOn w:val="Normal"/>
    <w:rsid w:val="006E33E2"/>
    <w:pPr>
      <w:numPr>
        <w:ilvl w:val="4"/>
        <w:numId w:val="24"/>
      </w:numPr>
      <w:outlineLvl w:val="3"/>
    </w:pPr>
  </w:style>
  <w:style w:type="paragraph" w:customStyle="1" w:styleId="Bullet">
    <w:name w:val="Bullet"/>
    <w:basedOn w:val="Normal"/>
    <w:rsid w:val="006E33E2"/>
    <w:pPr>
      <w:numPr>
        <w:numId w:val="18"/>
      </w:numPr>
      <w:spacing w:before="200"/>
    </w:pPr>
  </w:style>
  <w:style w:type="paragraph" w:customStyle="1" w:styleId="Bullet1">
    <w:name w:val="Bullet 1"/>
    <w:basedOn w:val="Normal"/>
    <w:rsid w:val="006E33E2"/>
    <w:pPr>
      <w:numPr>
        <w:numId w:val="19"/>
      </w:numPr>
      <w:outlineLvl w:val="0"/>
    </w:pPr>
  </w:style>
  <w:style w:type="paragraph" w:customStyle="1" w:styleId="Bullet2">
    <w:name w:val="Bullet 2"/>
    <w:basedOn w:val="Normal"/>
    <w:rsid w:val="006E33E2"/>
    <w:pPr>
      <w:numPr>
        <w:numId w:val="20"/>
      </w:numPr>
      <w:outlineLvl w:val="1"/>
    </w:pPr>
  </w:style>
  <w:style w:type="paragraph" w:customStyle="1" w:styleId="Bullet3">
    <w:name w:val="Bullet 3"/>
    <w:basedOn w:val="Normal"/>
    <w:rsid w:val="006E33E2"/>
    <w:pPr>
      <w:numPr>
        <w:numId w:val="21"/>
      </w:numPr>
      <w:outlineLvl w:val="2"/>
    </w:pPr>
  </w:style>
  <w:style w:type="paragraph" w:customStyle="1" w:styleId="Bullet4">
    <w:name w:val="Bullet 4"/>
    <w:basedOn w:val="Normal"/>
    <w:rsid w:val="006E33E2"/>
    <w:pPr>
      <w:numPr>
        <w:numId w:val="22"/>
      </w:numPr>
      <w:outlineLvl w:val="3"/>
    </w:pPr>
  </w:style>
  <w:style w:type="paragraph" w:customStyle="1" w:styleId="Dash">
    <w:name w:val="Dash"/>
    <w:basedOn w:val="Normal"/>
    <w:rsid w:val="006E33E2"/>
    <w:pPr>
      <w:numPr>
        <w:numId w:val="8"/>
      </w:numPr>
      <w:spacing w:before="200"/>
    </w:pPr>
  </w:style>
  <w:style w:type="paragraph" w:customStyle="1" w:styleId="Dash1">
    <w:name w:val="Dash 1"/>
    <w:basedOn w:val="Normal"/>
    <w:rsid w:val="006E33E2"/>
    <w:pPr>
      <w:numPr>
        <w:numId w:val="9"/>
      </w:numPr>
      <w:outlineLvl w:val="0"/>
    </w:pPr>
  </w:style>
  <w:style w:type="paragraph" w:customStyle="1" w:styleId="Dash2">
    <w:name w:val="Dash 2"/>
    <w:basedOn w:val="Normal"/>
    <w:rsid w:val="006E33E2"/>
    <w:pPr>
      <w:numPr>
        <w:numId w:val="10"/>
      </w:numPr>
      <w:outlineLvl w:val="1"/>
    </w:pPr>
  </w:style>
  <w:style w:type="paragraph" w:customStyle="1" w:styleId="Dash3">
    <w:name w:val="Dash 3"/>
    <w:basedOn w:val="Normal"/>
    <w:rsid w:val="006E33E2"/>
    <w:pPr>
      <w:numPr>
        <w:numId w:val="11"/>
      </w:numPr>
      <w:outlineLvl w:val="2"/>
    </w:pPr>
  </w:style>
  <w:style w:type="paragraph" w:customStyle="1" w:styleId="Dash4">
    <w:name w:val="Dash 4"/>
    <w:basedOn w:val="Normal"/>
    <w:rsid w:val="006E33E2"/>
    <w:pPr>
      <w:numPr>
        <w:numId w:val="12"/>
      </w:numPr>
      <w:outlineLvl w:val="3"/>
    </w:pPr>
  </w:style>
  <w:style w:type="paragraph" w:customStyle="1" w:styleId="DashEqual">
    <w:name w:val="Dash Equal"/>
    <w:basedOn w:val="Dash"/>
    <w:rsid w:val="006E33E2"/>
    <w:pPr>
      <w:numPr>
        <w:numId w:val="13"/>
      </w:numPr>
    </w:pPr>
  </w:style>
  <w:style w:type="paragraph" w:customStyle="1" w:styleId="DashEqual1">
    <w:name w:val="Dash Equal 1"/>
    <w:basedOn w:val="Dash1"/>
    <w:rsid w:val="006E33E2"/>
    <w:pPr>
      <w:numPr>
        <w:numId w:val="14"/>
      </w:numPr>
    </w:pPr>
  </w:style>
  <w:style w:type="paragraph" w:customStyle="1" w:styleId="DashEqual2">
    <w:name w:val="Dash Equal 2"/>
    <w:basedOn w:val="Dash2"/>
    <w:rsid w:val="006E33E2"/>
    <w:pPr>
      <w:numPr>
        <w:numId w:val="15"/>
      </w:numPr>
    </w:pPr>
  </w:style>
  <w:style w:type="paragraph" w:customStyle="1" w:styleId="DashEqual3">
    <w:name w:val="Dash Equal 3"/>
    <w:basedOn w:val="Dash3"/>
    <w:rsid w:val="006E33E2"/>
    <w:pPr>
      <w:numPr>
        <w:numId w:val="16"/>
      </w:numPr>
    </w:pPr>
  </w:style>
  <w:style w:type="paragraph" w:customStyle="1" w:styleId="DashEqual4">
    <w:name w:val="Dash Equal 4"/>
    <w:basedOn w:val="Dash4"/>
    <w:rsid w:val="006E33E2"/>
    <w:pPr>
      <w:numPr>
        <w:numId w:val="17"/>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5"/>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6"/>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3</cp:revision>
  <cp:lastPrinted>2016-05-25T09:03:00Z</cp:lastPrinted>
  <dcterms:created xsi:type="dcterms:W3CDTF">2016-05-25T09:03:00Z</dcterms:created>
  <dcterms:modified xsi:type="dcterms:W3CDTF">2016-05-25T09:03:00Z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