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60D" w:rsidRPr="00BE4F3B" w:rsidRDefault="00BE4F3B" w:rsidP="00BE4F3B">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12abe508-4fa6-4a09-8939-8aa82ffef6f0_0" style="width:568.5pt;height:346.9pt">
            <v:imagedata r:id="rId8" o:title=""/>
          </v:shape>
        </w:pict>
      </w:r>
      <w:bookmarkEnd w:id="0"/>
    </w:p>
    <w:p w:rsidR="00FE12F9" w:rsidRPr="00FE12F9" w:rsidRDefault="00FE12F9" w:rsidP="00FE12F9">
      <w:pPr>
        <w:rPr>
          <w:lang w:val="en-US"/>
        </w:rPr>
      </w:pPr>
      <w:r w:rsidRPr="008F1D60">
        <w:rPr>
          <w:rFonts w:asciiTheme="majorBidi" w:eastAsia="Arial Unicode MS" w:hAnsiTheme="majorBidi" w:cstheme="majorBidi"/>
          <w:lang w:val="en-US" w:eastAsia="de-DE"/>
        </w:rPr>
        <w:t>In accordance with Article 15(3) of Council Regulation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 the Council hereby transmits to national Parliaments the</w:t>
      </w:r>
      <w:r>
        <w:rPr>
          <w:rFonts w:asciiTheme="majorBidi" w:eastAsia="Arial Unicode MS" w:hAnsiTheme="majorBidi" w:cstheme="majorBidi"/>
          <w:lang w:val="en-US" w:eastAsia="de-DE"/>
        </w:rPr>
        <w:t xml:space="preserve"> </w:t>
      </w:r>
      <w:r w:rsidRPr="00FE12F9">
        <w:rPr>
          <w:rFonts w:asciiTheme="majorBidi" w:eastAsia="Arial Unicode MS" w:hAnsiTheme="majorBidi" w:cstheme="majorBidi"/>
          <w:lang w:val="en-US" w:eastAsia="de-DE"/>
        </w:rPr>
        <w:t>Council Implementing Decision setting out a Recommendation on addressing the deficiencies identified in the 2015 evaluation of the application of the Schengen acquis in the field of police cooperation by Germany</w:t>
      </w:r>
      <w:r>
        <w:rPr>
          <w:rFonts w:asciiTheme="majorBidi" w:eastAsia="Arial Unicode MS" w:hAnsiTheme="majorBidi" w:cstheme="majorBidi"/>
          <w:lang w:val="en-US" w:eastAsia="de-DE"/>
        </w:rPr>
        <w:t>.</w:t>
      </w:r>
    </w:p>
    <w:p w:rsidR="00FE12F9" w:rsidRDefault="00FE12F9" w:rsidP="0069260D">
      <w:pPr>
        <w:pStyle w:val="FinalLine"/>
      </w:pPr>
    </w:p>
    <w:p w:rsidR="00FE12F9" w:rsidRDefault="00FE12F9" w:rsidP="00FE12F9">
      <w:pPr>
        <w:tabs>
          <w:tab w:val="left" w:pos="3885"/>
        </w:tabs>
      </w:pPr>
      <w:r>
        <w:tab/>
      </w:r>
    </w:p>
    <w:p w:rsidR="00FE12F9" w:rsidRDefault="00FE12F9" w:rsidP="00FE12F9">
      <w:pPr>
        <w:pStyle w:val="Annex"/>
      </w:pPr>
      <w:r>
        <w:br w:type="page"/>
      </w:r>
      <w:r w:rsidRPr="009B760D">
        <w:lastRenderedPageBreak/>
        <w:t>ANNEX</w:t>
      </w:r>
    </w:p>
    <w:p w:rsidR="00FE12F9" w:rsidRDefault="00FE12F9" w:rsidP="00FE12F9">
      <w:pPr>
        <w:pStyle w:val="Statut"/>
        <w:spacing w:line="360" w:lineRule="auto"/>
        <w:rPr>
          <w:noProof/>
        </w:rPr>
      </w:pPr>
      <w:r>
        <w:rPr>
          <w:noProof/>
        </w:rPr>
        <w:t>Council Implementing Decision setting out a</w:t>
      </w:r>
    </w:p>
    <w:p w:rsidR="00FE12F9" w:rsidRDefault="00FE12F9" w:rsidP="00FE12F9">
      <w:pPr>
        <w:pStyle w:val="Typedudocument"/>
        <w:spacing w:line="360" w:lineRule="auto"/>
        <w:rPr>
          <w:noProof/>
        </w:rPr>
      </w:pPr>
      <w:r>
        <w:rPr>
          <w:noProof/>
        </w:rPr>
        <w:t>RECOMMENDATION</w:t>
      </w:r>
    </w:p>
    <w:p w:rsidR="00FE12F9" w:rsidRDefault="00FE12F9" w:rsidP="00FE12F9">
      <w:pPr>
        <w:pStyle w:val="Titreobjet"/>
        <w:spacing w:line="360" w:lineRule="auto"/>
        <w:rPr>
          <w:noProof/>
        </w:rPr>
      </w:pPr>
      <w:r>
        <w:rPr>
          <w:noProof/>
        </w:rPr>
        <w:t xml:space="preserve">on addressing the deficiencies identified in the 2015 evaluation on the application of the Schengen acquis in the field of police cooperation by Germany </w:t>
      </w:r>
    </w:p>
    <w:p w:rsidR="00FE12F9" w:rsidRDefault="00FE12F9" w:rsidP="00FE12F9">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rsidR="00FE12F9" w:rsidRDefault="00FE12F9" w:rsidP="00FE12F9">
      <w:pPr>
        <w:rPr>
          <w:noProof/>
        </w:rPr>
      </w:pPr>
      <w:r>
        <w:rPr>
          <w:noProof/>
        </w:rPr>
        <w:t>Having regard to Council Regulation (EU) No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 </w:t>
      </w:r>
      <w:r>
        <w:rPr>
          <w:rStyle w:val="FootnoteReference"/>
          <w:noProof/>
        </w:rPr>
        <w:footnoteReference w:id="1"/>
      </w:r>
      <w:r>
        <w:rPr>
          <w:noProof/>
        </w:rPr>
        <w:t>, and in particular Article 15 thereof,</w:t>
      </w:r>
    </w:p>
    <w:p w:rsidR="00FE12F9" w:rsidRDefault="00FE12F9" w:rsidP="00FE12F9">
      <w:pPr>
        <w:rPr>
          <w:noProof/>
        </w:rPr>
      </w:pPr>
      <w:r>
        <w:rPr>
          <w:noProof/>
        </w:rPr>
        <w:t>Having regard to the proposal from the European Commission,</w:t>
      </w:r>
    </w:p>
    <w:p w:rsidR="00FE12F9" w:rsidRDefault="00FE12F9" w:rsidP="00FE12F9">
      <w:pPr>
        <w:rPr>
          <w:noProof/>
        </w:rPr>
      </w:pPr>
      <w:r>
        <w:rPr>
          <w:noProof/>
        </w:rPr>
        <w:t>Whereas:</w:t>
      </w:r>
    </w:p>
    <w:p w:rsidR="00FE12F9" w:rsidRDefault="00FE12F9" w:rsidP="00FE12F9">
      <w:pPr>
        <w:pStyle w:val="ManualConsidrant"/>
        <w:spacing w:line="360" w:lineRule="auto"/>
        <w:jc w:val="left"/>
        <w:rPr>
          <w:noProof/>
        </w:rPr>
      </w:pPr>
      <w:r>
        <w:t>(1)</w:t>
      </w:r>
      <w:r>
        <w:tab/>
      </w:r>
      <w:r>
        <w:rPr>
          <w:noProof/>
        </w:rPr>
        <w:t xml:space="preserve">The purpose of this Recommendation is to recommend to Germany remedial actions to address deficiencies identified during the Schengen evaluation in the field of police cooperation carried out in 2015. Following the evaluation, a report covering the findings and assessments, listing best practices and deficiencies identified during the evaluation was adopted by Commission Implementing Decision [C(2016)21]. </w:t>
      </w:r>
    </w:p>
    <w:p w:rsidR="00FE12F9" w:rsidRDefault="00FE12F9" w:rsidP="00FE12F9">
      <w:pPr>
        <w:pStyle w:val="ManualConsidrant"/>
        <w:spacing w:line="360" w:lineRule="auto"/>
        <w:jc w:val="left"/>
        <w:rPr>
          <w:noProof/>
        </w:rPr>
      </w:pPr>
      <w:r>
        <w:t>(2)</w:t>
      </w:r>
      <w:r>
        <w:tab/>
      </w:r>
      <w:r>
        <w:rPr>
          <w:noProof/>
        </w:rPr>
        <w:t xml:space="preserve">Germany has renewed the bilateral police cooperation treaties with Poland and the Czech Republic. They will further improve the already far-reaching practice of cross-border operations and information exchange with these two countries and show the full potential of intra-Schengen police cooperation. </w:t>
      </w:r>
    </w:p>
    <w:p w:rsidR="00FE12F9" w:rsidRDefault="00FE12F9" w:rsidP="00FE12F9">
      <w:pPr>
        <w:pStyle w:val="ManualConsidrant"/>
        <w:spacing w:line="360" w:lineRule="auto"/>
        <w:jc w:val="left"/>
        <w:rPr>
          <w:noProof/>
        </w:rPr>
      </w:pPr>
      <w:r>
        <w:br w:type="page"/>
      </w:r>
      <w:r>
        <w:lastRenderedPageBreak/>
        <w:t>(3)</w:t>
      </w:r>
      <w:r>
        <w:tab/>
      </w:r>
      <w:r>
        <w:rPr>
          <w:noProof/>
        </w:rPr>
        <w:t>It is important to remedy each of the deficiencies identified within the shortest possible timeframe. Therefore no indication of priority for implementation of the recommendations should be given.</w:t>
      </w:r>
    </w:p>
    <w:p w:rsidR="00FE12F9" w:rsidRDefault="00FE12F9" w:rsidP="00FE12F9">
      <w:pPr>
        <w:pStyle w:val="ManualConsidrant"/>
        <w:spacing w:line="360" w:lineRule="auto"/>
        <w:jc w:val="left"/>
        <w:rPr>
          <w:noProof/>
        </w:rPr>
      </w:pPr>
      <w:r>
        <w:t>(4)</w:t>
      </w:r>
      <w:r>
        <w:tab/>
      </w:r>
      <w:r>
        <w:rPr>
          <w:noProof/>
        </w:rPr>
        <w:t>This Recommendation should be transmitted to the European Parliament and to the parliaments of the Member States. Within three months of its adoption, the evaluated Member State shall, pursuant to Article 16 of Regulation (EU) No 1053/2013, establish an action plan to remedy the deficiencies identified in the evaluation report and provide this to the Commission and the Council,</w:t>
      </w:r>
    </w:p>
    <w:p w:rsidR="00FE12F9" w:rsidRDefault="00FE12F9" w:rsidP="00FE12F9">
      <w:pPr>
        <w:ind w:left="709"/>
        <w:rPr>
          <w:noProof/>
          <w:highlight w:val="yellow"/>
        </w:rPr>
      </w:pPr>
    </w:p>
    <w:p w:rsidR="00FE12F9" w:rsidRDefault="00FE12F9" w:rsidP="00FE12F9">
      <w:pPr>
        <w:pStyle w:val="Formuledadoption"/>
        <w:spacing w:line="360" w:lineRule="auto"/>
        <w:jc w:val="left"/>
        <w:rPr>
          <w:noProof/>
        </w:rPr>
      </w:pPr>
      <w:r>
        <w:rPr>
          <w:noProof/>
        </w:rPr>
        <w:t xml:space="preserve">HEREBY RECOMMENDS: </w:t>
      </w:r>
    </w:p>
    <w:p w:rsidR="00FE12F9" w:rsidRDefault="00FE12F9" w:rsidP="00FE12F9">
      <w:pPr>
        <w:keepNext/>
        <w:spacing w:after="0"/>
        <w:rPr>
          <w:noProof/>
        </w:rPr>
      </w:pPr>
      <w:r>
        <w:rPr>
          <w:noProof/>
        </w:rPr>
        <w:t xml:space="preserve">Germany should: </w:t>
      </w:r>
    </w:p>
    <w:p w:rsidR="00FE12F9" w:rsidRDefault="00FE12F9" w:rsidP="00FE12F9">
      <w:pPr>
        <w:pStyle w:val="NumPar1"/>
        <w:spacing w:line="360" w:lineRule="auto"/>
        <w:jc w:val="left"/>
        <w:rPr>
          <w:noProof/>
        </w:rPr>
      </w:pPr>
      <w:r>
        <w:rPr>
          <w:noProof/>
        </w:rPr>
        <w:t>1. further explore the possibility to renew the bilateral police cooperation agreement with France;</w:t>
      </w:r>
    </w:p>
    <w:p w:rsidR="00FE12F9" w:rsidRDefault="00FE12F9" w:rsidP="00FE12F9">
      <w:pPr>
        <w:pStyle w:val="NumPar1"/>
        <w:spacing w:line="360" w:lineRule="auto"/>
        <w:ind w:left="0" w:firstLine="0"/>
        <w:jc w:val="left"/>
        <w:rPr>
          <w:noProof/>
        </w:rPr>
      </w:pPr>
      <w:r>
        <w:rPr>
          <w:noProof/>
        </w:rPr>
        <w:t>2. explore the possibilities to improve the effectiveness regarding hot pursuits, e.g. by re-vision of the bilateral police cooperation agreement with France;</w:t>
      </w:r>
    </w:p>
    <w:p w:rsidR="00FE12F9" w:rsidRDefault="00FE12F9" w:rsidP="00FE12F9">
      <w:pPr>
        <w:pStyle w:val="NumPar1"/>
        <w:spacing w:line="360" w:lineRule="auto"/>
        <w:ind w:left="0" w:firstLine="0"/>
        <w:jc w:val="left"/>
        <w:rPr>
          <w:noProof/>
          <w:szCs w:val="24"/>
        </w:rPr>
      </w:pPr>
      <w:r>
        <w:rPr>
          <w:noProof/>
          <w:szCs w:val="24"/>
        </w:rPr>
        <w:t>3. further explore the added value of the use of trilateral or EU arrangements to fight crime in the German-Polish-Czech border region and possibly transfer this experience to other border regions;</w:t>
      </w:r>
    </w:p>
    <w:p w:rsidR="00FE12F9" w:rsidRDefault="00FE12F9" w:rsidP="00FE12F9">
      <w:pPr>
        <w:pStyle w:val="NumPar1"/>
        <w:spacing w:line="360" w:lineRule="auto"/>
        <w:ind w:left="0" w:firstLine="0"/>
        <w:jc w:val="left"/>
        <w:rPr>
          <w:noProof/>
          <w:szCs w:val="24"/>
        </w:rPr>
      </w:pPr>
      <w:r>
        <w:rPr>
          <w:noProof/>
          <w:szCs w:val="24"/>
        </w:rPr>
        <w:t>4. consider a more systematic collection of statistics of hot pursuits and cross-border surveillance with a view to establishing a better overview about its operational cross-border police cooperation requirements, as well as a better basis for discussion at bilateral or EU level about how to improve these instruments;</w:t>
      </w:r>
    </w:p>
    <w:p w:rsidR="00FE12F9" w:rsidRDefault="00FE12F9" w:rsidP="00FE12F9">
      <w:pPr>
        <w:pStyle w:val="NumPar1"/>
        <w:spacing w:line="360" w:lineRule="auto"/>
        <w:ind w:left="0" w:firstLine="0"/>
        <w:jc w:val="left"/>
        <w:rPr>
          <w:noProof/>
        </w:rPr>
      </w:pPr>
      <w:r w:rsidRPr="00EC2733">
        <w:rPr>
          <w:noProof/>
        </w:rPr>
        <w:t>5. monitor</w:t>
      </w:r>
      <w:r w:rsidRPr="00EC2733">
        <w:rPr>
          <w:b/>
          <w:bCs/>
          <w:noProof/>
        </w:rPr>
        <w:t xml:space="preserve"> </w:t>
      </w:r>
      <w:r w:rsidRPr="00EC2733">
        <w:rPr>
          <w:noProof/>
        </w:rPr>
        <w:t>time-limits as required by the Swedish initiative </w:t>
      </w:r>
      <w:r w:rsidRPr="00EC2733">
        <w:rPr>
          <w:rStyle w:val="FootnoteReference"/>
          <w:noProof/>
        </w:rPr>
        <w:footnoteReference w:id="2"/>
      </w:r>
      <w:r w:rsidRPr="00EC2733">
        <w:rPr>
          <w:noProof/>
        </w:rPr>
        <w:t>;</w:t>
      </w:r>
    </w:p>
    <w:p w:rsidR="00FE12F9" w:rsidRPr="00EC2733" w:rsidRDefault="00FE12F9" w:rsidP="00FE12F9">
      <w:pPr>
        <w:pStyle w:val="NumPar1"/>
        <w:spacing w:line="360" w:lineRule="auto"/>
        <w:ind w:left="0" w:firstLine="0"/>
        <w:jc w:val="left"/>
        <w:rPr>
          <w:noProof/>
        </w:rPr>
      </w:pPr>
      <w:r>
        <w:rPr>
          <w:noProof/>
        </w:rPr>
        <w:br w:type="page"/>
      </w:r>
      <w:bookmarkStart w:id="2" w:name="ControlPages"/>
      <w:bookmarkEnd w:id="2"/>
      <w:r w:rsidRPr="00EC2733">
        <w:rPr>
          <w:noProof/>
        </w:rPr>
        <w:t>6. consider developing SPOC guidelines (listing for instance practical examples) regarding the choice of international police cooperation communication channels or further improve the knowledge of existing EU guidelines on the matter, such as the SPOC Guidelines and the Manual on information exchange;</w:t>
      </w:r>
    </w:p>
    <w:p w:rsidR="00FE12F9" w:rsidRDefault="00FE12F9" w:rsidP="00FE12F9">
      <w:pPr>
        <w:pStyle w:val="NumPar1"/>
        <w:spacing w:line="360" w:lineRule="auto"/>
        <w:ind w:left="0" w:firstLine="0"/>
        <w:jc w:val="left"/>
        <w:rPr>
          <w:noProof/>
        </w:rPr>
      </w:pPr>
      <w:r>
        <w:rPr>
          <w:noProof/>
        </w:rPr>
        <w:t>7. consider further development of e-learning (on-line) platforms in the police training and education system.</w:t>
      </w:r>
    </w:p>
    <w:p w:rsidR="00FE12F9" w:rsidRDefault="00FE12F9" w:rsidP="00FE12F9">
      <w:pPr>
        <w:pStyle w:val="Fait"/>
        <w:spacing w:line="360" w:lineRule="auto"/>
        <w:rPr>
          <w:noProof/>
        </w:rPr>
      </w:pPr>
      <w:r>
        <w:rPr>
          <w:noProof/>
        </w:rPr>
        <w:t>Done at Brussels,</w:t>
      </w:r>
    </w:p>
    <w:p w:rsidR="00FE12F9" w:rsidRDefault="00FE12F9" w:rsidP="00FE12F9">
      <w:pPr>
        <w:pStyle w:val="Institutionquisigne"/>
        <w:spacing w:line="360" w:lineRule="auto"/>
        <w:rPr>
          <w:noProof/>
        </w:rPr>
      </w:pPr>
      <w:r>
        <w:rPr>
          <w:noProof/>
        </w:rPr>
        <w:tab/>
        <w:t>For the Council</w:t>
      </w:r>
    </w:p>
    <w:p w:rsidR="00FE12F9" w:rsidRDefault="00FE12F9" w:rsidP="00B6132F">
      <w:pPr>
        <w:pStyle w:val="Personnequisigne"/>
        <w:keepNext/>
        <w:spacing w:line="360" w:lineRule="auto"/>
        <w:jc w:val="both"/>
        <w:rPr>
          <w:noProof/>
        </w:rPr>
      </w:pPr>
      <w:r>
        <w:rPr>
          <w:noProof/>
        </w:rPr>
        <w:tab/>
        <w:t>The President</w:t>
      </w:r>
    </w:p>
    <w:p w:rsidR="00FE12F9" w:rsidRPr="009B760D" w:rsidRDefault="00FE12F9" w:rsidP="00FE12F9">
      <w:pPr>
        <w:pStyle w:val="FinalLine"/>
      </w:pPr>
    </w:p>
    <w:p w:rsidR="00FC4670" w:rsidRPr="00FE12F9" w:rsidRDefault="00FC4670" w:rsidP="00FE12F9"/>
    <w:sectPr w:rsidR="00FC4670" w:rsidRPr="00FE12F9" w:rsidSect="00B6132F">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60D" w:rsidRDefault="0069260D" w:rsidP="0069260D">
      <w:pPr>
        <w:spacing w:before="0" w:after="0" w:line="240" w:lineRule="auto"/>
      </w:pPr>
      <w:r>
        <w:separator/>
      </w:r>
    </w:p>
  </w:endnote>
  <w:endnote w:type="continuationSeparator" w:id="0">
    <w:p w:rsidR="0069260D" w:rsidRDefault="0069260D" w:rsidP="0069260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60D" w:rsidRPr="00B6132F" w:rsidRDefault="0069260D" w:rsidP="00B613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B6132F" w:rsidRPr="00D94637" w:rsidTr="00B6132F">
      <w:trPr>
        <w:jc w:val="center"/>
      </w:trPr>
      <w:tc>
        <w:tcPr>
          <w:tcW w:w="5000" w:type="pct"/>
          <w:gridSpan w:val="7"/>
          <w:shd w:val="clear" w:color="auto" w:fill="auto"/>
          <w:tcMar>
            <w:top w:w="57" w:type="dxa"/>
          </w:tcMar>
        </w:tcPr>
        <w:p w:rsidR="00B6132F" w:rsidRPr="00D94637" w:rsidRDefault="00B6132F" w:rsidP="00D94637">
          <w:pPr>
            <w:pStyle w:val="FooterText"/>
            <w:pBdr>
              <w:top w:val="single" w:sz="4" w:space="1" w:color="auto"/>
            </w:pBdr>
            <w:spacing w:before="200"/>
            <w:rPr>
              <w:sz w:val="2"/>
              <w:szCs w:val="2"/>
            </w:rPr>
          </w:pPr>
          <w:bookmarkStart w:id="3" w:name="FOOTER_STANDARD"/>
        </w:p>
      </w:tc>
    </w:tr>
    <w:tr w:rsidR="00B6132F" w:rsidRPr="00B310DC" w:rsidTr="00B6132F">
      <w:trPr>
        <w:jc w:val="center"/>
      </w:trPr>
      <w:tc>
        <w:tcPr>
          <w:tcW w:w="2500" w:type="pct"/>
          <w:gridSpan w:val="2"/>
          <w:shd w:val="clear" w:color="auto" w:fill="auto"/>
          <w:tcMar>
            <w:top w:w="0" w:type="dxa"/>
          </w:tcMar>
        </w:tcPr>
        <w:p w:rsidR="00B6132F" w:rsidRPr="00AD7BF2" w:rsidRDefault="00B6132F" w:rsidP="004F54B2">
          <w:pPr>
            <w:pStyle w:val="FooterText"/>
          </w:pPr>
          <w:r>
            <w:t>9400/16</w:t>
          </w:r>
          <w:r w:rsidRPr="002511D8">
            <w:t xml:space="preserve"> </w:t>
          </w:r>
        </w:p>
      </w:tc>
      <w:tc>
        <w:tcPr>
          <w:tcW w:w="625" w:type="pct"/>
          <w:shd w:val="clear" w:color="auto" w:fill="auto"/>
          <w:tcMar>
            <w:top w:w="0" w:type="dxa"/>
          </w:tcMar>
        </w:tcPr>
        <w:p w:rsidR="00B6132F" w:rsidRPr="00AD7BF2" w:rsidRDefault="00B6132F" w:rsidP="00D94637">
          <w:pPr>
            <w:pStyle w:val="FooterText"/>
            <w:jc w:val="center"/>
          </w:pPr>
        </w:p>
      </w:tc>
      <w:tc>
        <w:tcPr>
          <w:tcW w:w="1287" w:type="pct"/>
          <w:gridSpan w:val="3"/>
          <w:shd w:val="clear" w:color="auto" w:fill="auto"/>
          <w:tcMar>
            <w:top w:w="0" w:type="dxa"/>
          </w:tcMar>
        </w:tcPr>
        <w:p w:rsidR="00B6132F" w:rsidRPr="002511D8" w:rsidRDefault="00B6132F" w:rsidP="00D94637">
          <w:pPr>
            <w:pStyle w:val="FooterText"/>
            <w:jc w:val="center"/>
          </w:pPr>
          <w:r>
            <w:t>PS/</w:t>
          </w:r>
          <w:proofErr w:type="spellStart"/>
          <w:r>
            <w:t>ft</w:t>
          </w:r>
          <w:proofErr w:type="spellEnd"/>
        </w:p>
      </w:tc>
      <w:tc>
        <w:tcPr>
          <w:tcW w:w="588" w:type="pct"/>
          <w:shd w:val="clear" w:color="auto" w:fill="auto"/>
          <w:tcMar>
            <w:top w:w="0" w:type="dxa"/>
          </w:tcMar>
        </w:tcPr>
        <w:p w:rsidR="00B6132F" w:rsidRPr="00B310DC" w:rsidRDefault="00B6132F" w:rsidP="00D94637">
          <w:pPr>
            <w:pStyle w:val="FooterText"/>
            <w:jc w:val="right"/>
          </w:pPr>
          <w:r>
            <w:fldChar w:fldCharType="begin"/>
          </w:r>
          <w:r>
            <w:instrText xml:space="preserve"> PAGE  \* MERGEFORMAT </w:instrText>
          </w:r>
          <w:r>
            <w:fldChar w:fldCharType="separate"/>
          </w:r>
          <w:r w:rsidR="00BE4F3B">
            <w:rPr>
              <w:noProof/>
            </w:rPr>
            <w:t>4</w:t>
          </w:r>
          <w:r>
            <w:fldChar w:fldCharType="end"/>
          </w:r>
        </w:p>
      </w:tc>
    </w:tr>
    <w:tr w:rsidR="00B6132F" w:rsidRPr="00D94637" w:rsidTr="00B6132F">
      <w:trPr>
        <w:jc w:val="center"/>
      </w:trPr>
      <w:tc>
        <w:tcPr>
          <w:tcW w:w="1774" w:type="pct"/>
          <w:shd w:val="clear" w:color="auto" w:fill="auto"/>
        </w:tcPr>
        <w:p w:rsidR="00B6132F" w:rsidRPr="00AD7BF2" w:rsidRDefault="00B6132F" w:rsidP="00D94637">
          <w:pPr>
            <w:pStyle w:val="FooterText"/>
            <w:spacing w:before="40"/>
          </w:pPr>
        </w:p>
      </w:tc>
      <w:tc>
        <w:tcPr>
          <w:tcW w:w="1455" w:type="pct"/>
          <w:gridSpan w:val="3"/>
          <w:shd w:val="clear" w:color="auto" w:fill="auto"/>
        </w:tcPr>
        <w:p w:rsidR="00B6132F" w:rsidRPr="00AD7BF2" w:rsidRDefault="00B6132F" w:rsidP="00D204D6">
          <w:pPr>
            <w:pStyle w:val="FooterText"/>
            <w:spacing w:before="40"/>
            <w:jc w:val="center"/>
          </w:pPr>
          <w:r>
            <w:t>DRI</w:t>
          </w:r>
        </w:p>
      </w:tc>
      <w:tc>
        <w:tcPr>
          <w:tcW w:w="1147" w:type="pct"/>
          <w:shd w:val="clear" w:color="auto" w:fill="auto"/>
        </w:tcPr>
        <w:p w:rsidR="00B6132F" w:rsidRPr="00D94637" w:rsidRDefault="00B6132F" w:rsidP="00D94637">
          <w:pPr>
            <w:pStyle w:val="FooterText"/>
            <w:jc w:val="right"/>
            <w:rPr>
              <w:b/>
              <w:position w:val="-4"/>
              <w:sz w:val="36"/>
            </w:rPr>
          </w:pPr>
        </w:p>
      </w:tc>
      <w:tc>
        <w:tcPr>
          <w:tcW w:w="625" w:type="pct"/>
          <w:gridSpan w:val="2"/>
          <w:shd w:val="clear" w:color="auto" w:fill="auto"/>
        </w:tcPr>
        <w:p w:rsidR="00B6132F" w:rsidRPr="00D94637" w:rsidRDefault="00B6132F" w:rsidP="00D94637">
          <w:pPr>
            <w:pStyle w:val="FooterText"/>
            <w:jc w:val="right"/>
            <w:rPr>
              <w:sz w:val="16"/>
            </w:rPr>
          </w:pPr>
          <w:r>
            <w:rPr>
              <w:b/>
              <w:position w:val="-4"/>
              <w:sz w:val="36"/>
            </w:rPr>
            <w:t>EN</w:t>
          </w:r>
        </w:p>
      </w:tc>
    </w:tr>
    <w:bookmarkEnd w:id="3"/>
  </w:tbl>
  <w:p w:rsidR="0069260D" w:rsidRPr="00B6132F" w:rsidRDefault="0069260D" w:rsidP="00B6132F">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B6132F" w:rsidRPr="00D94637" w:rsidTr="00B6132F">
      <w:trPr>
        <w:jc w:val="center"/>
      </w:trPr>
      <w:tc>
        <w:tcPr>
          <w:tcW w:w="5000" w:type="pct"/>
          <w:gridSpan w:val="7"/>
          <w:shd w:val="clear" w:color="auto" w:fill="auto"/>
          <w:tcMar>
            <w:top w:w="57" w:type="dxa"/>
          </w:tcMar>
        </w:tcPr>
        <w:p w:rsidR="00B6132F" w:rsidRPr="00D94637" w:rsidRDefault="00B6132F" w:rsidP="00D94637">
          <w:pPr>
            <w:pStyle w:val="FooterText"/>
            <w:pBdr>
              <w:top w:val="single" w:sz="4" w:space="1" w:color="auto"/>
            </w:pBdr>
            <w:spacing w:before="200"/>
            <w:rPr>
              <w:sz w:val="2"/>
              <w:szCs w:val="2"/>
            </w:rPr>
          </w:pPr>
        </w:p>
      </w:tc>
    </w:tr>
    <w:tr w:rsidR="00B6132F" w:rsidRPr="00B310DC" w:rsidTr="00B6132F">
      <w:trPr>
        <w:jc w:val="center"/>
      </w:trPr>
      <w:tc>
        <w:tcPr>
          <w:tcW w:w="2500" w:type="pct"/>
          <w:gridSpan w:val="2"/>
          <w:shd w:val="clear" w:color="auto" w:fill="auto"/>
          <w:tcMar>
            <w:top w:w="0" w:type="dxa"/>
          </w:tcMar>
        </w:tcPr>
        <w:p w:rsidR="00B6132F" w:rsidRPr="00AD7BF2" w:rsidRDefault="00B6132F" w:rsidP="004F54B2">
          <w:pPr>
            <w:pStyle w:val="FooterText"/>
          </w:pPr>
          <w:r>
            <w:t>9400/16</w:t>
          </w:r>
          <w:r w:rsidRPr="002511D8">
            <w:t xml:space="preserve"> </w:t>
          </w:r>
        </w:p>
      </w:tc>
      <w:tc>
        <w:tcPr>
          <w:tcW w:w="625" w:type="pct"/>
          <w:shd w:val="clear" w:color="auto" w:fill="auto"/>
          <w:tcMar>
            <w:top w:w="0" w:type="dxa"/>
          </w:tcMar>
        </w:tcPr>
        <w:p w:rsidR="00B6132F" w:rsidRPr="00AD7BF2" w:rsidRDefault="00B6132F" w:rsidP="00D94637">
          <w:pPr>
            <w:pStyle w:val="FooterText"/>
            <w:jc w:val="center"/>
          </w:pPr>
        </w:p>
      </w:tc>
      <w:tc>
        <w:tcPr>
          <w:tcW w:w="1287" w:type="pct"/>
          <w:gridSpan w:val="3"/>
          <w:shd w:val="clear" w:color="auto" w:fill="auto"/>
          <w:tcMar>
            <w:top w:w="0" w:type="dxa"/>
          </w:tcMar>
        </w:tcPr>
        <w:p w:rsidR="00B6132F" w:rsidRPr="002511D8" w:rsidRDefault="00B6132F" w:rsidP="00D94637">
          <w:pPr>
            <w:pStyle w:val="FooterText"/>
            <w:jc w:val="center"/>
          </w:pPr>
          <w:r>
            <w:t>PS/</w:t>
          </w:r>
          <w:proofErr w:type="spellStart"/>
          <w:r>
            <w:t>ft</w:t>
          </w:r>
          <w:proofErr w:type="spellEnd"/>
        </w:p>
      </w:tc>
      <w:tc>
        <w:tcPr>
          <w:tcW w:w="588" w:type="pct"/>
          <w:shd w:val="clear" w:color="auto" w:fill="auto"/>
          <w:tcMar>
            <w:top w:w="0" w:type="dxa"/>
          </w:tcMar>
        </w:tcPr>
        <w:p w:rsidR="00B6132F" w:rsidRPr="00B310DC" w:rsidRDefault="00B6132F" w:rsidP="00D94637">
          <w:pPr>
            <w:pStyle w:val="FooterText"/>
            <w:jc w:val="right"/>
          </w:pPr>
          <w:r>
            <w:fldChar w:fldCharType="begin"/>
          </w:r>
          <w:r>
            <w:instrText xml:space="preserve"> PAGE  \* MERGEFORMAT </w:instrText>
          </w:r>
          <w:r>
            <w:fldChar w:fldCharType="separate"/>
          </w:r>
          <w:r w:rsidR="00BE4F3B">
            <w:rPr>
              <w:noProof/>
            </w:rPr>
            <w:t>1</w:t>
          </w:r>
          <w:r>
            <w:fldChar w:fldCharType="end"/>
          </w:r>
        </w:p>
      </w:tc>
    </w:tr>
    <w:tr w:rsidR="00B6132F" w:rsidRPr="00D94637" w:rsidTr="00B6132F">
      <w:trPr>
        <w:jc w:val="center"/>
      </w:trPr>
      <w:tc>
        <w:tcPr>
          <w:tcW w:w="1774" w:type="pct"/>
          <w:shd w:val="clear" w:color="auto" w:fill="auto"/>
        </w:tcPr>
        <w:p w:rsidR="00B6132F" w:rsidRPr="00AD7BF2" w:rsidRDefault="00B6132F" w:rsidP="00D94637">
          <w:pPr>
            <w:pStyle w:val="FooterText"/>
            <w:spacing w:before="40"/>
          </w:pPr>
        </w:p>
      </w:tc>
      <w:tc>
        <w:tcPr>
          <w:tcW w:w="1455" w:type="pct"/>
          <w:gridSpan w:val="3"/>
          <w:shd w:val="clear" w:color="auto" w:fill="auto"/>
        </w:tcPr>
        <w:p w:rsidR="00B6132F" w:rsidRPr="00AD7BF2" w:rsidRDefault="00B6132F" w:rsidP="00D204D6">
          <w:pPr>
            <w:pStyle w:val="FooterText"/>
            <w:spacing w:before="40"/>
            <w:jc w:val="center"/>
          </w:pPr>
          <w:r>
            <w:t>DRI</w:t>
          </w:r>
        </w:p>
      </w:tc>
      <w:tc>
        <w:tcPr>
          <w:tcW w:w="1147" w:type="pct"/>
          <w:shd w:val="clear" w:color="auto" w:fill="auto"/>
        </w:tcPr>
        <w:p w:rsidR="00B6132F" w:rsidRPr="00D94637" w:rsidRDefault="00B6132F" w:rsidP="00D94637">
          <w:pPr>
            <w:pStyle w:val="FooterText"/>
            <w:jc w:val="right"/>
            <w:rPr>
              <w:b/>
              <w:position w:val="-4"/>
              <w:sz w:val="36"/>
            </w:rPr>
          </w:pPr>
        </w:p>
      </w:tc>
      <w:tc>
        <w:tcPr>
          <w:tcW w:w="625" w:type="pct"/>
          <w:gridSpan w:val="2"/>
          <w:shd w:val="clear" w:color="auto" w:fill="auto"/>
        </w:tcPr>
        <w:p w:rsidR="00B6132F" w:rsidRPr="00D94637" w:rsidRDefault="00B6132F" w:rsidP="00D94637">
          <w:pPr>
            <w:pStyle w:val="FooterText"/>
            <w:jc w:val="right"/>
            <w:rPr>
              <w:sz w:val="16"/>
            </w:rPr>
          </w:pPr>
          <w:r>
            <w:rPr>
              <w:b/>
              <w:position w:val="-4"/>
              <w:sz w:val="36"/>
            </w:rPr>
            <w:t>EN</w:t>
          </w:r>
        </w:p>
      </w:tc>
    </w:tr>
  </w:tbl>
  <w:p w:rsidR="0069260D" w:rsidRPr="00B6132F" w:rsidRDefault="0069260D" w:rsidP="00B6132F">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60D" w:rsidRDefault="0069260D" w:rsidP="0069260D">
      <w:pPr>
        <w:spacing w:before="0" w:after="0" w:line="240" w:lineRule="auto"/>
      </w:pPr>
      <w:r>
        <w:separator/>
      </w:r>
    </w:p>
  </w:footnote>
  <w:footnote w:type="continuationSeparator" w:id="0">
    <w:p w:rsidR="0069260D" w:rsidRDefault="0069260D" w:rsidP="0069260D">
      <w:pPr>
        <w:spacing w:before="0" w:after="0" w:line="240" w:lineRule="auto"/>
      </w:pPr>
      <w:r>
        <w:continuationSeparator/>
      </w:r>
    </w:p>
  </w:footnote>
  <w:footnote w:id="1">
    <w:p w:rsidR="00FE12F9" w:rsidRDefault="00FE12F9" w:rsidP="00FE12F9">
      <w:pPr>
        <w:pStyle w:val="FootnoteText"/>
      </w:pPr>
      <w:r>
        <w:rPr>
          <w:rStyle w:val="FootnoteReference"/>
        </w:rPr>
        <w:footnoteRef/>
      </w:r>
      <w:r>
        <w:tab/>
        <w:t>OJ L 295, 6.11.2013, p. 27.</w:t>
      </w:r>
    </w:p>
  </w:footnote>
  <w:footnote w:id="2">
    <w:p w:rsidR="00FE12F9" w:rsidRPr="0032269B" w:rsidRDefault="00FE12F9" w:rsidP="00FE12F9">
      <w:pPr>
        <w:pStyle w:val="FootnoteText"/>
        <w:rPr>
          <w:szCs w:val="24"/>
        </w:rPr>
      </w:pPr>
      <w:r w:rsidRPr="0032269B">
        <w:rPr>
          <w:rStyle w:val="FootnoteReference"/>
          <w:szCs w:val="24"/>
        </w:rPr>
        <w:footnoteRef/>
      </w:r>
      <w:r w:rsidRPr="0032269B">
        <w:rPr>
          <w:szCs w:val="24"/>
        </w:rPr>
        <w:tab/>
        <w:t>Council Framework Decision 2006/960/JHA of 18 December 2006</w:t>
      </w:r>
      <w:r>
        <w:rPr>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60D" w:rsidRPr="00B6132F" w:rsidRDefault="0069260D" w:rsidP="00B613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60D" w:rsidRPr="00B6132F" w:rsidRDefault="0069260D" w:rsidP="00B6132F">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60D" w:rsidRPr="00B6132F" w:rsidRDefault="0069260D" w:rsidP="00B6132F">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5">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7">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8">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9">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0">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1">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2">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3">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5">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7">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8">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19">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0">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6"/>
  </w:num>
  <w:num w:numId="2">
    <w:abstractNumId w:val="11"/>
  </w:num>
  <w:num w:numId="3">
    <w:abstractNumId w:val="10"/>
  </w:num>
  <w:num w:numId="4">
    <w:abstractNumId w:val="12"/>
  </w:num>
  <w:num w:numId="5">
    <w:abstractNumId w:val="8"/>
  </w:num>
  <w:num w:numId="6">
    <w:abstractNumId w:val="2"/>
  </w:num>
  <w:num w:numId="7">
    <w:abstractNumId w:val="7"/>
  </w:num>
  <w:num w:numId="8">
    <w:abstractNumId w:val="6"/>
  </w:num>
  <w:num w:numId="9">
    <w:abstractNumId w:val="4"/>
  </w:num>
  <w:num w:numId="10">
    <w:abstractNumId w:val="18"/>
  </w:num>
  <w:num w:numId="11">
    <w:abstractNumId w:val="19"/>
  </w:num>
  <w:num w:numId="12">
    <w:abstractNumId w:val="1"/>
  </w:num>
  <w:num w:numId="13">
    <w:abstractNumId w:val="21"/>
  </w:num>
  <w:num w:numId="14">
    <w:abstractNumId w:val="17"/>
  </w:num>
  <w:num w:numId="15">
    <w:abstractNumId w:val="14"/>
  </w:num>
  <w:num w:numId="16">
    <w:abstractNumId w:val="9"/>
  </w:num>
  <w:num w:numId="17">
    <w:abstractNumId w:val="15"/>
  </w:num>
  <w:num w:numId="18">
    <w:abstractNumId w:val="3"/>
  </w:num>
  <w:num w:numId="19">
    <w:abstractNumId w:val="2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7.7&quot; technicalblockguid=&quot;12abe508-4fa6-4a09-8939-8aa82ffef6f0&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6-05-25&lt;/text&gt;_x000d__x000a_  &lt;/metadata&gt;_x000d__x000a_  &lt;metadata key=&quot;md_Prefix&quot;&gt;_x000d__x000a_    &lt;text&gt;&lt;/text&gt;_x000d__x000a_  &lt;/metadata&gt;_x000d__x000a_  &lt;metadata key=&quot;md_DocumentNumber&quot;&gt;_x000d__x000a_    &lt;text&gt;9400&lt;/text&gt;_x000d__x000a_  &lt;/metadata&gt;_x000d__x000a_  &lt;metadata key=&quot;md_YearDocumentNumber&quot;&gt;_x000d__x000a_    &lt;text&gt;2016&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ARLNAT 16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6/0022 (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xaml text=&quot;General Secretariat of the Council&quot;&gt;&amp;lt;FlowDocument FontFamily=&quot;Arial Unicode MS&quot; FontSize=&quot;12&quot; PageWidth=&quot;116&quot; PagePadding=&quot;5,0,5,0&quot; AllowDrop=&quot;True&quot; xmlns=&quot;http://schemas.microsoft.com/winfx/2006/xaml/presentation&quot;&amp;gt;&amp;lt;Paragraph&amp;gt;&amp;lt;Run xml:lang=&quot;fr-be&quot;&amp;gt;General Secretariat of the Council&amp;lt;/Run&amp;gt;&amp;lt;/Paragraph&amp;gt;&amp;lt;/FlowDocument&amp;gt;&lt;/xaml&gt;_x000d__x000a_    &lt;/basicdatatype&gt;_x000d__x000a_  &lt;/metadata&gt;_x000d__x000a_  &lt;metadata key=&quot;md_Recipient&quot;&gt;_x000d__x000a_    &lt;basicdatatype&gt;_x000d__x000a_      &lt;xaml text=&quot;National Parliaments&quot;&gt;&amp;lt;FlowDocument FontFamily=&quot;Arial Unicode MS&quot; FontSize=&quot;12&quot; PageWidth=&quot;116&quot; PagePadding=&quot;5,0,5,0&quot; AllowDrop=&quot;True&quot; NumberSubstitution.CultureSource=&quot;User&quot; xmlns=&quot;http://schemas.microsoft.com/winfx/2006/xaml/presentation&quot;&amp;gt;&amp;lt;Paragraph&amp;gt;&amp;lt;Run xml:lang=&quot;fr-be&quot;&amp;gt;National Parliaments&amp;lt;/Run&amp;gt;&amp;lt;/Paragraph&amp;gt;&amp;lt;/FlowDocument&amp;gt;&lt;/xaml&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Council Implementing Decision setting out a Recommendation on addressing the deficiencies identified in the 2015 evaluation of the application of the Schengen acquis in the field of police cooperation by Germany&quot;&gt;&amp;lt;FlowDocument FontFamily=&quot;Arial Unicode MS&quot; FontSize=&quot;12&quot; PageWidth=&quot;329&quot; PagePadding=&quot;5,0,5,0&quot; AllowDrop=&quot;False&quot; xmlns=&quot;http://schemas.microsoft.com/winfx/2006/xaml/presentation&quot;&amp;gt;&amp;lt;Paragraph FontFamily=&quot;Georgia&quot; FontSize=&quot;16&quot;&amp;gt;&amp;lt;Run FontFamily=&quot;Arial Unicode MS&quot;&amp;gt;Council Implementing Decision setting out a Recommendation on addressing the deficiencies identified in the 2015 evaluation of the application of the Schengen acquis in the field of police cooperation by Germany&amp;lt;/Run&amp;gt;&amp;lt;/Paragraph&amp;gt;&amp;lt;/FlowDocument&amp;gt;&lt;/xaml&gt;_x000d__x000a_  &lt;/metadata&gt;_x000d__x000a_  &lt;metadata key=&quot;md_SubjectFootnote&quot; /&gt;_x000d__x000a_  &lt;metadata key=&quot;md_DG&quot;&gt;_x000d__x000a_    &lt;text&gt;DRI&lt;/text&gt;_x000d__x000a_  &lt;/metadata&gt;_x000d__x000a_  &lt;metadata key=&quot;md_Initials&quot;&gt;_x000d__x000a_    &lt;text&gt;PS/f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COUNCIL"/>
    <w:docVar w:name="VSSDB_IniPath" w:val="\\at100\user\wovo\SEILEG\vss\srcsafe.ini"/>
    <w:docVar w:name="VSSDB_ProjectPath" w:val="$/DocuWrite/DOT/DW_COUNCIL"/>
  </w:docVars>
  <w:rsids>
    <w:rsidRoot w:val="0069260D"/>
    <w:rsid w:val="00096B04"/>
    <w:rsid w:val="00130CD9"/>
    <w:rsid w:val="00182F2F"/>
    <w:rsid w:val="002345D5"/>
    <w:rsid w:val="00356F5F"/>
    <w:rsid w:val="00414945"/>
    <w:rsid w:val="004A5CE6"/>
    <w:rsid w:val="00563B44"/>
    <w:rsid w:val="00625999"/>
    <w:rsid w:val="006351BB"/>
    <w:rsid w:val="0069260D"/>
    <w:rsid w:val="007161AD"/>
    <w:rsid w:val="00901450"/>
    <w:rsid w:val="00986FD6"/>
    <w:rsid w:val="009B07D1"/>
    <w:rsid w:val="00A30641"/>
    <w:rsid w:val="00A93207"/>
    <w:rsid w:val="00AF3113"/>
    <w:rsid w:val="00B54F86"/>
    <w:rsid w:val="00B6132F"/>
    <w:rsid w:val="00BE4F3B"/>
    <w:rsid w:val="00BE6E3D"/>
    <w:rsid w:val="00D13316"/>
    <w:rsid w:val="00DC5EF5"/>
    <w:rsid w:val="00E5767B"/>
    <w:rsid w:val="00E80814"/>
    <w:rsid w:val="00F86DEA"/>
    <w:rsid w:val="00FC4670"/>
    <w:rsid w:val="00FE12F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uiPriority w:val="99"/>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BE4F3B"/>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69260D"/>
    <w:pPr>
      <w:spacing w:before="0" w:after="440"/>
      <w:ind w:left="-1134" w:right="-1134"/>
    </w:pPr>
    <w:rPr>
      <w:sz w:val="2"/>
    </w:rPr>
  </w:style>
  <w:style w:type="character" w:customStyle="1" w:styleId="TechnicalBlockChar">
    <w:name w:val="Technical Block Char"/>
    <w:basedOn w:val="DefaultParagraphFont"/>
    <w:link w:val="TechnicalBlock"/>
    <w:rsid w:val="0069260D"/>
    <w:rPr>
      <w:sz w:val="24"/>
      <w:szCs w:val="24"/>
      <w:lang w:val="en-GB" w:eastAsia="en-US"/>
    </w:rPr>
  </w:style>
  <w:style w:type="character" w:customStyle="1" w:styleId="HeaderCouncilLargeChar">
    <w:name w:val="Header Council Large Char"/>
    <w:basedOn w:val="TechnicalBlockChar"/>
    <w:link w:val="HeaderCouncilLarge"/>
    <w:rsid w:val="0069260D"/>
    <w:rPr>
      <w:sz w:val="2"/>
      <w:szCs w:val="24"/>
      <w:lang w:val="en-GB" w:eastAsia="en-US"/>
    </w:rPr>
  </w:style>
  <w:style w:type="paragraph" w:customStyle="1" w:styleId="FooterText">
    <w:name w:val="Footer Text"/>
    <w:basedOn w:val="Normal"/>
    <w:rsid w:val="0069260D"/>
    <w:pPr>
      <w:spacing w:before="0" w:after="0" w:line="240" w:lineRule="auto"/>
    </w:pPr>
  </w:style>
  <w:style w:type="character" w:customStyle="1" w:styleId="FootnoteTextChar">
    <w:name w:val="Footnote Text Char"/>
    <w:basedOn w:val="DefaultParagraphFont"/>
    <w:link w:val="FootnoteText"/>
    <w:uiPriority w:val="99"/>
    <w:rsid w:val="00FE12F9"/>
    <w:rPr>
      <w:sz w:val="24"/>
      <w:lang w:val="en-GB" w:eastAsia="en-US"/>
    </w:rPr>
  </w:style>
  <w:style w:type="paragraph" w:customStyle="1" w:styleId="Fait">
    <w:name w:val="Fait à"/>
    <w:basedOn w:val="Normal"/>
    <w:next w:val="Institutionquisigne"/>
    <w:rsid w:val="00FE12F9"/>
    <w:pPr>
      <w:keepNext/>
      <w:spacing w:after="0" w:line="240" w:lineRule="auto"/>
      <w:jc w:val="both"/>
    </w:pPr>
    <w:rPr>
      <w:rFonts w:eastAsiaTheme="minorHAnsi"/>
      <w:szCs w:val="22"/>
    </w:rPr>
  </w:style>
  <w:style w:type="paragraph" w:customStyle="1" w:styleId="Formuledadoption">
    <w:name w:val="Formule d'adoption"/>
    <w:basedOn w:val="Normal"/>
    <w:next w:val="Normal"/>
    <w:rsid w:val="00FE12F9"/>
    <w:pPr>
      <w:keepNext/>
      <w:spacing w:line="240" w:lineRule="auto"/>
      <w:jc w:val="both"/>
    </w:pPr>
    <w:rPr>
      <w:rFonts w:eastAsiaTheme="minorHAnsi"/>
      <w:szCs w:val="22"/>
    </w:rPr>
  </w:style>
  <w:style w:type="paragraph" w:customStyle="1" w:styleId="Institutionquiagit">
    <w:name w:val="Institution qui agit"/>
    <w:basedOn w:val="Normal"/>
    <w:next w:val="Normal"/>
    <w:rsid w:val="00FE12F9"/>
    <w:pPr>
      <w:keepNext/>
      <w:spacing w:before="600" w:line="240" w:lineRule="auto"/>
      <w:jc w:val="both"/>
    </w:pPr>
    <w:rPr>
      <w:rFonts w:eastAsiaTheme="minorHAnsi"/>
      <w:szCs w:val="22"/>
    </w:rPr>
  </w:style>
  <w:style w:type="paragraph" w:customStyle="1" w:styleId="Institutionquisigne">
    <w:name w:val="Institution qui signe"/>
    <w:basedOn w:val="Normal"/>
    <w:next w:val="Personnequisigne"/>
    <w:rsid w:val="00FE12F9"/>
    <w:pPr>
      <w:keepNext/>
      <w:tabs>
        <w:tab w:val="left" w:pos="4252"/>
      </w:tabs>
      <w:spacing w:before="720" w:after="0" w:line="240" w:lineRule="auto"/>
      <w:jc w:val="both"/>
    </w:pPr>
    <w:rPr>
      <w:rFonts w:eastAsiaTheme="minorHAnsi"/>
      <w:i/>
      <w:szCs w:val="22"/>
    </w:rPr>
  </w:style>
  <w:style w:type="paragraph" w:customStyle="1" w:styleId="ManualConsidrant">
    <w:name w:val="Manual Considérant"/>
    <w:basedOn w:val="Normal"/>
    <w:rsid w:val="00FE12F9"/>
    <w:pPr>
      <w:spacing w:line="240" w:lineRule="auto"/>
      <w:ind w:left="709" w:hanging="709"/>
      <w:jc w:val="both"/>
    </w:pPr>
    <w:rPr>
      <w:rFonts w:eastAsiaTheme="minorHAnsi"/>
      <w:szCs w:val="22"/>
    </w:rPr>
  </w:style>
  <w:style w:type="paragraph" w:customStyle="1" w:styleId="Personnequisigne">
    <w:name w:val="Personne qui signe"/>
    <w:basedOn w:val="Normal"/>
    <w:next w:val="Institutionquisigne"/>
    <w:rsid w:val="00FE12F9"/>
    <w:pPr>
      <w:tabs>
        <w:tab w:val="left" w:pos="4252"/>
      </w:tabs>
      <w:spacing w:before="0" w:after="0" w:line="240" w:lineRule="auto"/>
    </w:pPr>
    <w:rPr>
      <w:rFonts w:eastAsiaTheme="minorHAnsi"/>
      <w:i/>
      <w:szCs w:val="22"/>
    </w:rPr>
  </w:style>
  <w:style w:type="paragraph" w:customStyle="1" w:styleId="Statut">
    <w:name w:val="Statut"/>
    <w:basedOn w:val="Normal"/>
    <w:next w:val="Typedudocument"/>
    <w:rsid w:val="00FE12F9"/>
    <w:pPr>
      <w:spacing w:before="360" w:after="0" w:line="240" w:lineRule="auto"/>
      <w:jc w:val="center"/>
    </w:pPr>
    <w:rPr>
      <w:rFonts w:eastAsiaTheme="minorHAnsi"/>
      <w:szCs w:val="22"/>
    </w:rPr>
  </w:style>
  <w:style w:type="paragraph" w:customStyle="1" w:styleId="Titreobjet">
    <w:name w:val="Titre objet"/>
    <w:basedOn w:val="Normal"/>
    <w:next w:val="Normal"/>
    <w:rsid w:val="00FE12F9"/>
    <w:pPr>
      <w:spacing w:before="360" w:after="360" w:line="240" w:lineRule="auto"/>
      <w:jc w:val="center"/>
    </w:pPr>
    <w:rPr>
      <w:rFonts w:eastAsiaTheme="minorHAnsi"/>
      <w:b/>
      <w:szCs w:val="22"/>
    </w:rPr>
  </w:style>
  <w:style w:type="paragraph" w:customStyle="1" w:styleId="Typedudocument">
    <w:name w:val="Type du document"/>
    <w:basedOn w:val="Normal"/>
    <w:next w:val="Titreobjet"/>
    <w:rsid w:val="00FE12F9"/>
    <w:pPr>
      <w:spacing w:before="360" w:after="0" w:line="240" w:lineRule="auto"/>
      <w:jc w:val="center"/>
    </w:pPr>
    <w:rPr>
      <w:rFonts w:eastAsiaTheme="minorHAnsi"/>
      <w:b/>
      <w:szCs w:val="22"/>
    </w:rPr>
  </w:style>
  <w:style w:type="paragraph" w:customStyle="1" w:styleId="NumPar1">
    <w:name w:val="NumPar1"/>
    <w:basedOn w:val="Normal"/>
    <w:rsid w:val="00FE12F9"/>
    <w:pPr>
      <w:spacing w:line="240" w:lineRule="auto"/>
      <w:ind w:left="709" w:hanging="709"/>
      <w:jc w:val="both"/>
    </w:pPr>
    <w:rPr>
      <w:rFonts w:eastAsia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uiPriority w:val="99"/>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BE4F3B"/>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69260D"/>
    <w:pPr>
      <w:spacing w:before="0" w:after="440"/>
      <w:ind w:left="-1134" w:right="-1134"/>
    </w:pPr>
    <w:rPr>
      <w:sz w:val="2"/>
    </w:rPr>
  </w:style>
  <w:style w:type="character" w:customStyle="1" w:styleId="TechnicalBlockChar">
    <w:name w:val="Technical Block Char"/>
    <w:basedOn w:val="DefaultParagraphFont"/>
    <w:link w:val="TechnicalBlock"/>
    <w:rsid w:val="0069260D"/>
    <w:rPr>
      <w:sz w:val="24"/>
      <w:szCs w:val="24"/>
      <w:lang w:val="en-GB" w:eastAsia="en-US"/>
    </w:rPr>
  </w:style>
  <w:style w:type="character" w:customStyle="1" w:styleId="HeaderCouncilLargeChar">
    <w:name w:val="Header Council Large Char"/>
    <w:basedOn w:val="TechnicalBlockChar"/>
    <w:link w:val="HeaderCouncilLarge"/>
    <w:rsid w:val="0069260D"/>
    <w:rPr>
      <w:sz w:val="2"/>
      <w:szCs w:val="24"/>
      <w:lang w:val="en-GB" w:eastAsia="en-US"/>
    </w:rPr>
  </w:style>
  <w:style w:type="paragraph" w:customStyle="1" w:styleId="FooterText">
    <w:name w:val="Footer Text"/>
    <w:basedOn w:val="Normal"/>
    <w:rsid w:val="0069260D"/>
    <w:pPr>
      <w:spacing w:before="0" w:after="0" w:line="240" w:lineRule="auto"/>
    </w:pPr>
  </w:style>
  <w:style w:type="character" w:customStyle="1" w:styleId="FootnoteTextChar">
    <w:name w:val="Footnote Text Char"/>
    <w:basedOn w:val="DefaultParagraphFont"/>
    <w:link w:val="FootnoteText"/>
    <w:uiPriority w:val="99"/>
    <w:rsid w:val="00FE12F9"/>
    <w:rPr>
      <w:sz w:val="24"/>
      <w:lang w:val="en-GB" w:eastAsia="en-US"/>
    </w:rPr>
  </w:style>
  <w:style w:type="paragraph" w:customStyle="1" w:styleId="Fait">
    <w:name w:val="Fait à"/>
    <w:basedOn w:val="Normal"/>
    <w:next w:val="Institutionquisigne"/>
    <w:rsid w:val="00FE12F9"/>
    <w:pPr>
      <w:keepNext/>
      <w:spacing w:after="0" w:line="240" w:lineRule="auto"/>
      <w:jc w:val="both"/>
    </w:pPr>
    <w:rPr>
      <w:rFonts w:eastAsiaTheme="minorHAnsi"/>
      <w:szCs w:val="22"/>
    </w:rPr>
  </w:style>
  <w:style w:type="paragraph" w:customStyle="1" w:styleId="Formuledadoption">
    <w:name w:val="Formule d'adoption"/>
    <w:basedOn w:val="Normal"/>
    <w:next w:val="Normal"/>
    <w:rsid w:val="00FE12F9"/>
    <w:pPr>
      <w:keepNext/>
      <w:spacing w:line="240" w:lineRule="auto"/>
      <w:jc w:val="both"/>
    </w:pPr>
    <w:rPr>
      <w:rFonts w:eastAsiaTheme="minorHAnsi"/>
      <w:szCs w:val="22"/>
    </w:rPr>
  </w:style>
  <w:style w:type="paragraph" w:customStyle="1" w:styleId="Institutionquiagit">
    <w:name w:val="Institution qui agit"/>
    <w:basedOn w:val="Normal"/>
    <w:next w:val="Normal"/>
    <w:rsid w:val="00FE12F9"/>
    <w:pPr>
      <w:keepNext/>
      <w:spacing w:before="600" w:line="240" w:lineRule="auto"/>
      <w:jc w:val="both"/>
    </w:pPr>
    <w:rPr>
      <w:rFonts w:eastAsiaTheme="minorHAnsi"/>
      <w:szCs w:val="22"/>
    </w:rPr>
  </w:style>
  <w:style w:type="paragraph" w:customStyle="1" w:styleId="Institutionquisigne">
    <w:name w:val="Institution qui signe"/>
    <w:basedOn w:val="Normal"/>
    <w:next w:val="Personnequisigne"/>
    <w:rsid w:val="00FE12F9"/>
    <w:pPr>
      <w:keepNext/>
      <w:tabs>
        <w:tab w:val="left" w:pos="4252"/>
      </w:tabs>
      <w:spacing w:before="720" w:after="0" w:line="240" w:lineRule="auto"/>
      <w:jc w:val="both"/>
    </w:pPr>
    <w:rPr>
      <w:rFonts w:eastAsiaTheme="minorHAnsi"/>
      <w:i/>
      <w:szCs w:val="22"/>
    </w:rPr>
  </w:style>
  <w:style w:type="paragraph" w:customStyle="1" w:styleId="ManualConsidrant">
    <w:name w:val="Manual Considérant"/>
    <w:basedOn w:val="Normal"/>
    <w:rsid w:val="00FE12F9"/>
    <w:pPr>
      <w:spacing w:line="240" w:lineRule="auto"/>
      <w:ind w:left="709" w:hanging="709"/>
      <w:jc w:val="both"/>
    </w:pPr>
    <w:rPr>
      <w:rFonts w:eastAsiaTheme="minorHAnsi"/>
      <w:szCs w:val="22"/>
    </w:rPr>
  </w:style>
  <w:style w:type="paragraph" w:customStyle="1" w:styleId="Personnequisigne">
    <w:name w:val="Personne qui signe"/>
    <w:basedOn w:val="Normal"/>
    <w:next w:val="Institutionquisigne"/>
    <w:rsid w:val="00FE12F9"/>
    <w:pPr>
      <w:tabs>
        <w:tab w:val="left" w:pos="4252"/>
      </w:tabs>
      <w:spacing w:before="0" w:after="0" w:line="240" w:lineRule="auto"/>
    </w:pPr>
    <w:rPr>
      <w:rFonts w:eastAsiaTheme="minorHAnsi"/>
      <w:i/>
      <w:szCs w:val="22"/>
    </w:rPr>
  </w:style>
  <w:style w:type="paragraph" w:customStyle="1" w:styleId="Statut">
    <w:name w:val="Statut"/>
    <w:basedOn w:val="Normal"/>
    <w:next w:val="Typedudocument"/>
    <w:rsid w:val="00FE12F9"/>
    <w:pPr>
      <w:spacing w:before="360" w:after="0" w:line="240" w:lineRule="auto"/>
      <w:jc w:val="center"/>
    </w:pPr>
    <w:rPr>
      <w:rFonts w:eastAsiaTheme="minorHAnsi"/>
      <w:szCs w:val="22"/>
    </w:rPr>
  </w:style>
  <w:style w:type="paragraph" w:customStyle="1" w:styleId="Titreobjet">
    <w:name w:val="Titre objet"/>
    <w:basedOn w:val="Normal"/>
    <w:next w:val="Normal"/>
    <w:rsid w:val="00FE12F9"/>
    <w:pPr>
      <w:spacing w:before="360" w:after="360" w:line="240" w:lineRule="auto"/>
      <w:jc w:val="center"/>
    </w:pPr>
    <w:rPr>
      <w:rFonts w:eastAsiaTheme="minorHAnsi"/>
      <w:b/>
      <w:szCs w:val="22"/>
    </w:rPr>
  </w:style>
  <w:style w:type="paragraph" w:customStyle="1" w:styleId="Typedudocument">
    <w:name w:val="Type du document"/>
    <w:basedOn w:val="Normal"/>
    <w:next w:val="Titreobjet"/>
    <w:rsid w:val="00FE12F9"/>
    <w:pPr>
      <w:spacing w:before="360" w:after="0" w:line="240" w:lineRule="auto"/>
      <w:jc w:val="center"/>
    </w:pPr>
    <w:rPr>
      <w:rFonts w:eastAsiaTheme="minorHAnsi"/>
      <w:b/>
      <w:szCs w:val="22"/>
    </w:rPr>
  </w:style>
  <w:style w:type="paragraph" w:customStyle="1" w:styleId="NumPar1">
    <w:name w:val="NumPar1"/>
    <w:basedOn w:val="Normal"/>
    <w:rsid w:val="00FE12F9"/>
    <w:pPr>
      <w:spacing w:line="240" w:lineRule="auto"/>
      <w:ind w:left="709" w:hanging="709"/>
      <w:jc w:val="both"/>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DW_COUNCIL.dotm</Template>
  <TotalTime>4</TotalTime>
  <Pages>4</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KONTOGIANNI Elpida</cp:lastModifiedBy>
  <cp:revision>6</cp:revision>
  <dcterms:created xsi:type="dcterms:W3CDTF">2016-05-24T14:28:00Z</dcterms:created>
  <dcterms:modified xsi:type="dcterms:W3CDTF">2016-05-25T13:09:00Z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3.7.7, Build 20151207</vt:lpwstr>
  </property>
  <property fmtid="{D5CDD505-2E9C-101B-9397-08002B2CF9AE}" pid="5" name="SkipControlLengthPage">
    <vt:lpwstr/>
  </property>
</Properties>
</file>