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88" w:rsidRPr="009E1351" w:rsidRDefault="002566D9" w:rsidP="009E1351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7a116fcd-fe76-4189-bb34-8362cd9d347c_0" style="width:568.5pt;height:489.6pt">
            <v:imagedata r:id="rId8" o:title=""/>
          </v:shape>
        </w:pict>
      </w:r>
      <w:bookmarkEnd w:id="0"/>
    </w:p>
    <w:p w:rsidR="00BD0C9B" w:rsidRPr="00B76304" w:rsidRDefault="00BD0C9B" w:rsidP="002566D9">
      <w:pPr>
        <w:pStyle w:val="PointManual"/>
        <w:spacing w:before="120"/>
      </w:pPr>
      <w:r w:rsidRPr="00B76304">
        <w:t>-</w:t>
      </w:r>
      <w:r w:rsidRPr="00B76304">
        <w:tab/>
        <w:t>Adoption de l'ordre du jour</w:t>
      </w:r>
    </w:p>
    <w:p w:rsidR="00BD0C9B" w:rsidRPr="00B76304" w:rsidRDefault="00BD0C9B" w:rsidP="00BF1281">
      <w:pPr>
        <w:spacing w:before="360"/>
        <w:jc w:val="center"/>
        <w:rPr>
          <w:b/>
          <w:bCs/>
          <w:u w:val="single"/>
        </w:rPr>
      </w:pPr>
      <w:r w:rsidRPr="00B76304">
        <w:rPr>
          <w:b/>
          <w:bCs/>
          <w:u w:val="single"/>
        </w:rPr>
        <w:t>Délibérations législatives</w:t>
      </w:r>
    </w:p>
    <w:p w:rsidR="00BD0C9B" w:rsidRPr="00B76304" w:rsidRDefault="00BD0C9B" w:rsidP="00BD0C9B">
      <w:pPr>
        <w:jc w:val="center"/>
      </w:pPr>
      <w:r w:rsidRPr="00B76304">
        <w:rPr>
          <w:b/>
          <w:bCs/>
        </w:rPr>
        <w:t xml:space="preserve">(Délibération publique conformément à l'article 16, paragraphe 8, </w:t>
      </w:r>
      <w:r w:rsidR="009F3FE1">
        <w:rPr>
          <w:b/>
          <w:bCs/>
        </w:rPr>
        <w:br/>
      </w:r>
      <w:r w:rsidRPr="00B76304">
        <w:rPr>
          <w:b/>
          <w:bCs/>
        </w:rPr>
        <w:t>du traité sur l'Union européenne)</w:t>
      </w:r>
    </w:p>
    <w:p w:rsidR="00BD0C9B" w:rsidRPr="00B76304" w:rsidRDefault="00BD0C9B" w:rsidP="006975E7">
      <w:pPr>
        <w:pStyle w:val="PointManual"/>
        <w:spacing w:before="360"/>
      </w:pPr>
      <w:r w:rsidRPr="00B76304">
        <w:t>-</w:t>
      </w:r>
      <w:r w:rsidRPr="00B76304">
        <w:tab/>
        <w:t xml:space="preserve">Approbation de la liste des points "A" </w:t>
      </w:r>
    </w:p>
    <w:p w:rsidR="00BD0C9B" w:rsidRPr="00B76304" w:rsidRDefault="00BD0C9B" w:rsidP="00BF1281">
      <w:pPr>
        <w:pStyle w:val="PointManual"/>
        <w:spacing w:before="360"/>
      </w:pPr>
      <w:r w:rsidRPr="00B76304">
        <w:t>-</w:t>
      </w:r>
      <w:r w:rsidRPr="00B76304">
        <w:tab/>
        <w:t>Directive sur la lutte contre l'évasion fiscale</w:t>
      </w:r>
    </w:p>
    <w:p w:rsidR="00BD0C9B" w:rsidRPr="00B76304" w:rsidRDefault="00BD0C9B" w:rsidP="00911BD1">
      <w:pPr>
        <w:pStyle w:val="Dash1"/>
      </w:pPr>
      <w:r w:rsidRPr="00B76304">
        <w:t>Proposition de directive du Conseil établissant des règles pour lutter contre les pratiques d'évasion fiscale qui o</w:t>
      </w:r>
      <w:bookmarkStart w:id="1" w:name="_GoBack"/>
      <w:bookmarkEnd w:id="1"/>
      <w:r w:rsidRPr="00B76304">
        <w:t>nt une incidence directe sur le fonctionnement du marché intérieur (*)</w:t>
      </w:r>
    </w:p>
    <w:p w:rsidR="00224E36" w:rsidRPr="00B76304" w:rsidRDefault="00BD0C9B" w:rsidP="00BF1281">
      <w:pPr>
        <w:pStyle w:val="DashEqual2"/>
      </w:pPr>
      <w:r w:rsidRPr="00B76304">
        <w:t>Accord politique</w:t>
      </w:r>
    </w:p>
    <w:p w:rsidR="00BD0C9B" w:rsidRPr="00B76304" w:rsidRDefault="00224E36" w:rsidP="00224E36">
      <w:r w:rsidRPr="00B76304">
        <w:br w:type="page"/>
      </w:r>
      <w:r w:rsidRPr="00B76304">
        <w:lastRenderedPageBreak/>
        <w:t>-</w:t>
      </w:r>
      <w:r w:rsidRPr="00B76304">
        <w:tab/>
        <w:t>Coopération renforcée dans le domaine de la taxe sur les transactions financières</w:t>
      </w:r>
    </w:p>
    <w:p w:rsidR="00BD0C9B" w:rsidRPr="00B76304" w:rsidRDefault="00BD0C9B" w:rsidP="00911BD1">
      <w:pPr>
        <w:pStyle w:val="Dash1"/>
      </w:pPr>
      <w:r w:rsidRPr="00B76304">
        <w:t>Proposition de directive du Conseil mettant en œuvre un</w:t>
      </w:r>
      <w:r w:rsidR="009F3FE1">
        <w:t>e coopération renforcée dans le </w:t>
      </w:r>
      <w:r w:rsidRPr="00B76304">
        <w:t>domaine de la taxe sur les transactions financières</w:t>
      </w:r>
    </w:p>
    <w:p w:rsidR="00BD0C9B" w:rsidRPr="00B76304" w:rsidRDefault="00BD0C9B" w:rsidP="00BF1281">
      <w:pPr>
        <w:pStyle w:val="DashEqual2"/>
      </w:pPr>
      <w:r w:rsidRPr="00B76304">
        <w:t>État d'avancement des travaux</w:t>
      </w:r>
    </w:p>
    <w:p w:rsidR="00BD0C9B" w:rsidRPr="00B76304" w:rsidRDefault="00BD0C9B" w:rsidP="00BF1281">
      <w:pPr>
        <w:pStyle w:val="PointManual"/>
        <w:spacing w:before="360"/>
      </w:pPr>
      <w:r w:rsidRPr="00B76304">
        <w:t>-</w:t>
      </w:r>
      <w:r w:rsidRPr="00B76304">
        <w:tab/>
        <w:t>Renforcement de l'union bancaire</w:t>
      </w:r>
    </w:p>
    <w:p w:rsidR="00BD0C9B" w:rsidRPr="00B76304" w:rsidRDefault="00BD0C9B" w:rsidP="00911BD1">
      <w:pPr>
        <w:pStyle w:val="Dash1"/>
      </w:pPr>
      <w:r w:rsidRPr="00B76304">
        <w:t xml:space="preserve">Proposition de règlement du Parlement européen et du Conseil modifiant le règlement (UE) n° 806/2014 afin d'établir un système européen d'assurance des dépôts </w:t>
      </w:r>
      <w:r w:rsidRPr="00B76304">
        <w:rPr>
          <w:b/>
        </w:rPr>
        <w:t>(première lecture)</w:t>
      </w:r>
    </w:p>
    <w:p w:rsidR="00BD0C9B" w:rsidRPr="00B76304" w:rsidRDefault="00BD0C9B" w:rsidP="00911BD1">
      <w:pPr>
        <w:pStyle w:val="Dash1"/>
      </w:pPr>
      <w:r w:rsidRPr="00B76304">
        <w:t xml:space="preserve">Communication de la Commission au Parlement européen, au Conseil, à la Banque centrale européenne, au Comité économique et social européen et au Comité des régions intitulée "Vers l'achèvement de l'union bancaire" </w:t>
      </w:r>
    </w:p>
    <w:p w:rsidR="00BD0C9B" w:rsidRPr="00B76304" w:rsidRDefault="00224E36" w:rsidP="00BF1281">
      <w:pPr>
        <w:pStyle w:val="DashEqual2"/>
      </w:pPr>
      <w:r w:rsidRPr="00B76304">
        <w:t>Rapport sur l'état d'avancement des travaux (état du dossier)</w:t>
      </w:r>
    </w:p>
    <w:p w:rsidR="00BD0C9B" w:rsidRPr="00B76304" w:rsidRDefault="00BD0C9B" w:rsidP="00BF1281">
      <w:pPr>
        <w:pStyle w:val="DashEqual2"/>
      </w:pPr>
      <w:r w:rsidRPr="00B76304">
        <w:t>Conclusions du Conseil (feuille de route)</w:t>
      </w:r>
    </w:p>
    <w:p w:rsidR="00BD0C9B" w:rsidRPr="00B76304" w:rsidRDefault="00BD0C9B" w:rsidP="00BF1281">
      <w:pPr>
        <w:pStyle w:val="PointManual"/>
        <w:spacing w:before="360"/>
      </w:pPr>
      <w:r w:rsidRPr="00B76304">
        <w:t>-</w:t>
      </w:r>
      <w:r w:rsidRPr="00B76304">
        <w:tab/>
        <w:t>(évent.) Règlement sur les prospectus</w:t>
      </w:r>
    </w:p>
    <w:p w:rsidR="00BD0C9B" w:rsidRPr="00B76304" w:rsidRDefault="00BD0C9B" w:rsidP="00911BD1">
      <w:pPr>
        <w:pStyle w:val="Dash1"/>
      </w:pPr>
      <w:r w:rsidRPr="00B76304">
        <w:t xml:space="preserve">Proposition de règlement du Parlement européen et du Conseil concernant le prospectus à publier en cas d'offre au public de valeurs mobilières ou en vue de l'admission de valeurs mobilières à la négociation </w:t>
      </w:r>
      <w:r w:rsidRPr="00B76304">
        <w:rPr>
          <w:b/>
        </w:rPr>
        <w:t>(première lecture)</w:t>
      </w:r>
    </w:p>
    <w:p w:rsidR="00BD0C9B" w:rsidRPr="00B76304" w:rsidRDefault="00BD0C9B" w:rsidP="00BF1281">
      <w:pPr>
        <w:pStyle w:val="DashEqual2"/>
      </w:pPr>
      <w:r w:rsidRPr="00B76304">
        <w:t>Orientation générale</w:t>
      </w:r>
    </w:p>
    <w:p w:rsidR="00BD0C9B" w:rsidRPr="00B76304" w:rsidRDefault="00BD0C9B" w:rsidP="00BF1281">
      <w:pPr>
        <w:pStyle w:val="PointManual"/>
        <w:spacing w:before="360"/>
      </w:pPr>
      <w:r w:rsidRPr="00B76304">
        <w:t>-</w:t>
      </w:r>
      <w:r w:rsidRPr="00B76304">
        <w:tab/>
        <w:t>(évent.) Fonds monétaires</w:t>
      </w:r>
    </w:p>
    <w:p w:rsidR="00BD0C9B" w:rsidRPr="00B76304" w:rsidRDefault="00BD0C9B" w:rsidP="00911BD1">
      <w:pPr>
        <w:pStyle w:val="Dash1"/>
      </w:pPr>
      <w:r w:rsidRPr="00B76304">
        <w:t xml:space="preserve">Proposition de règlement du Parlement européen et du Conseil sur les fonds monétaires </w:t>
      </w:r>
      <w:r w:rsidRPr="00B76304">
        <w:rPr>
          <w:b/>
        </w:rPr>
        <w:t>(première lecture)</w:t>
      </w:r>
    </w:p>
    <w:p w:rsidR="00BD0C9B" w:rsidRPr="00B76304" w:rsidRDefault="00BD0C9B" w:rsidP="00BF1281">
      <w:pPr>
        <w:pStyle w:val="DashEqual2"/>
      </w:pPr>
      <w:r w:rsidRPr="00B76304">
        <w:t>Orientation générale</w:t>
      </w:r>
    </w:p>
    <w:p w:rsidR="00BD0C9B" w:rsidRPr="00B76304" w:rsidRDefault="00BD0C9B" w:rsidP="00BF1281">
      <w:pPr>
        <w:pStyle w:val="PointManual"/>
        <w:spacing w:before="360"/>
      </w:pPr>
      <w:r w:rsidRPr="00B76304">
        <w:t>-</w:t>
      </w:r>
      <w:r w:rsidRPr="00B76304">
        <w:tab/>
        <w:t>Divers</w:t>
      </w:r>
    </w:p>
    <w:p w:rsidR="00BD0C9B" w:rsidRPr="00B76304" w:rsidRDefault="00BD0C9B" w:rsidP="00911BD1">
      <w:pPr>
        <w:pStyle w:val="Dash1"/>
      </w:pPr>
      <w:r w:rsidRPr="00B76304">
        <w:t>Propositions législatives en cours d'examen</w:t>
      </w:r>
    </w:p>
    <w:p w:rsidR="00BD0C9B" w:rsidRPr="00B76304" w:rsidRDefault="00BD0C9B" w:rsidP="00BF1281">
      <w:pPr>
        <w:pStyle w:val="DashEqual2"/>
      </w:pPr>
      <w:r w:rsidRPr="00B76304">
        <w:t>Informations communiquées par la présidence</w:t>
      </w:r>
    </w:p>
    <w:p w:rsidR="00BD0C9B" w:rsidRPr="00B76304" w:rsidRDefault="00BD0C9B" w:rsidP="00224E36">
      <w:pPr>
        <w:pStyle w:val="NormalCentered"/>
        <w:spacing w:before="480"/>
        <w:rPr>
          <w:b/>
          <w:bCs/>
          <w:u w:val="single"/>
        </w:rPr>
      </w:pPr>
      <w:r w:rsidRPr="00B76304">
        <w:rPr>
          <w:b/>
          <w:bCs/>
          <w:u w:val="single"/>
        </w:rPr>
        <w:t>Activités non législatives</w:t>
      </w:r>
    </w:p>
    <w:p w:rsidR="00BD0C9B" w:rsidRPr="00B76304" w:rsidRDefault="00224E36" w:rsidP="00BF1281">
      <w:pPr>
        <w:pStyle w:val="PointManual"/>
        <w:spacing w:before="360"/>
      </w:pPr>
      <w:r w:rsidRPr="00B76304">
        <w:t>-</w:t>
      </w:r>
      <w:r w:rsidRPr="00B76304">
        <w:tab/>
        <w:t xml:space="preserve">Approbation de la liste des points "A" </w:t>
      </w:r>
    </w:p>
    <w:p w:rsidR="00BD0C9B" w:rsidRPr="00B76304" w:rsidRDefault="00BD0C9B" w:rsidP="00BF1281">
      <w:pPr>
        <w:pStyle w:val="PointManual"/>
        <w:spacing w:before="360"/>
      </w:pPr>
      <w:r w:rsidRPr="00B76304">
        <w:t>-</w:t>
      </w:r>
      <w:r w:rsidRPr="00B76304">
        <w:tab/>
        <w:t>Mise en œuvre de l'union bancaire</w:t>
      </w:r>
    </w:p>
    <w:p w:rsidR="00BD0C9B" w:rsidRPr="00B76304" w:rsidRDefault="00BD0C9B" w:rsidP="00BF1281">
      <w:pPr>
        <w:pStyle w:val="DashEqual1"/>
        <w:rPr>
          <w:bCs/>
        </w:rPr>
      </w:pPr>
      <w:r w:rsidRPr="00B76304">
        <w:t>État d'avancement des travaux</w:t>
      </w:r>
    </w:p>
    <w:p w:rsidR="00BD0C9B" w:rsidRPr="00B76304" w:rsidRDefault="00BD0C9B" w:rsidP="006975E7">
      <w:pPr>
        <w:pStyle w:val="PointManual"/>
        <w:spacing w:before="360"/>
      </w:pPr>
      <w:r w:rsidRPr="00B76304">
        <w:t>-</w:t>
      </w:r>
      <w:r w:rsidRPr="00B76304">
        <w:tab/>
        <w:t>Lutte contre le financement du terrorisme (plan d'action de la Commission)</w:t>
      </w:r>
    </w:p>
    <w:p w:rsidR="00BD0C9B" w:rsidRPr="00B76304" w:rsidRDefault="00BD0C9B" w:rsidP="00BF1281">
      <w:pPr>
        <w:pStyle w:val="DashEqual1"/>
      </w:pPr>
      <w:r w:rsidRPr="00B76304">
        <w:t xml:space="preserve">État des lieux / rapport sur l'état d'avancement des </w:t>
      </w:r>
      <w:r w:rsidR="0039407A">
        <w:t>travaux: présentation par la </w:t>
      </w:r>
      <w:r w:rsidRPr="00B76304">
        <w:t>Commission et échange de vues</w:t>
      </w:r>
    </w:p>
    <w:p w:rsidR="00BD0C9B" w:rsidRPr="00B76304" w:rsidRDefault="00BD0C9B" w:rsidP="00BF1281">
      <w:pPr>
        <w:pStyle w:val="PointManual"/>
        <w:spacing w:before="360"/>
      </w:pPr>
      <w:r w:rsidRPr="00B76304">
        <w:t>-</w:t>
      </w:r>
      <w:r w:rsidRPr="00B76304">
        <w:tab/>
        <w:t>Étude de la Commission sur les dérogations tempo</w:t>
      </w:r>
      <w:r w:rsidR="009F3FE1">
        <w:t>raires au régime TVA (mécanisme </w:t>
      </w:r>
      <w:r w:rsidRPr="00B76304">
        <w:t>d'autoliquidation)</w:t>
      </w:r>
    </w:p>
    <w:p w:rsidR="00BD0C9B" w:rsidRPr="00B76304" w:rsidRDefault="00BD0C9B" w:rsidP="00BF1281">
      <w:pPr>
        <w:pStyle w:val="DashEqual1"/>
      </w:pPr>
      <w:r w:rsidRPr="00B76304">
        <w:t>Présentation par la Commission</w:t>
      </w:r>
    </w:p>
    <w:p w:rsidR="00BD0C9B" w:rsidRPr="00B76304" w:rsidRDefault="00BD0C9B" w:rsidP="00BF1281">
      <w:pPr>
        <w:pStyle w:val="DashEqual1"/>
      </w:pPr>
      <w:r w:rsidRPr="00B76304">
        <w:t>Échange de vues</w:t>
      </w:r>
    </w:p>
    <w:p w:rsidR="00BD0C9B" w:rsidRPr="00B76304" w:rsidRDefault="00224E36" w:rsidP="00BF1281">
      <w:pPr>
        <w:pStyle w:val="PointManual"/>
        <w:spacing w:before="360"/>
      </w:pPr>
      <w:r w:rsidRPr="00B76304">
        <w:br w:type="page"/>
      </w:r>
      <w:r w:rsidRPr="00B76304">
        <w:lastRenderedPageBreak/>
        <w:t>-</w:t>
      </w:r>
      <w:r w:rsidRPr="00B76304">
        <w:tab/>
        <w:t>(évent.) Code de conduite (fiscalité des entreprises)</w:t>
      </w:r>
    </w:p>
    <w:p w:rsidR="00BD0C9B" w:rsidRPr="00B76304" w:rsidRDefault="00BD0C9B" w:rsidP="00911BD1">
      <w:pPr>
        <w:pStyle w:val="Dash1"/>
      </w:pPr>
      <w:r w:rsidRPr="00B76304">
        <w:t>Rapport au Conseil</w:t>
      </w:r>
    </w:p>
    <w:p w:rsidR="00BD0C9B" w:rsidRPr="00B76304" w:rsidRDefault="00BD0C9B" w:rsidP="00911BD1">
      <w:pPr>
        <w:pStyle w:val="Dash1"/>
      </w:pPr>
      <w:r w:rsidRPr="00B76304">
        <w:t>Conclusions du Conseil</w:t>
      </w:r>
    </w:p>
    <w:p w:rsidR="00BD0C9B" w:rsidRPr="00B76304" w:rsidRDefault="00BD0C9B" w:rsidP="00BF1281">
      <w:pPr>
        <w:pStyle w:val="DashEqual2"/>
      </w:pPr>
      <w:r w:rsidRPr="00B76304">
        <w:t xml:space="preserve">Approbation   </w:t>
      </w:r>
    </w:p>
    <w:p w:rsidR="00BD0C9B" w:rsidRPr="00B76304" w:rsidRDefault="00BD0C9B" w:rsidP="00BF1281">
      <w:pPr>
        <w:pStyle w:val="PointManual"/>
        <w:spacing w:before="360"/>
      </w:pPr>
      <w:r w:rsidRPr="00B76304">
        <w:t>-</w:t>
      </w:r>
      <w:r w:rsidRPr="00B76304">
        <w:tab/>
        <w:t>(évent.) Rapport ECOFIN sur les questions fiscales adressé au Conseil européen</w:t>
      </w:r>
    </w:p>
    <w:p w:rsidR="00BD0C9B" w:rsidRPr="00B76304" w:rsidRDefault="00BD0C9B" w:rsidP="00224E36">
      <w:pPr>
        <w:pStyle w:val="DashEqual1"/>
      </w:pPr>
      <w:r w:rsidRPr="00B76304">
        <w:t>Approbation</w:t>
      </w:r>
    </w:p>
    <w:p w:rsidR="00BD0C9B" w:rsidRPr="00B76304" w:rsidRDefault="00BD0C9B" w:rsidP="00BF1281">
      <w:pPr>
        <w:pStyle w:val="PointManual"/>
        <w:spacing w:before="360"/>
      </w:pPr>
      <w:r w:rsidRPr="00B76304">
        <w:t>-</w:t>
      </w:r>
      <w:r w:rsidRPr="00B76304">
        <w:tab/>
        <w:t>(évent.) Rapport des ministres des finances sur les questions fiscales dans le cadre du pacte pour l'euro plus</w:t>
      </w:r>
    </w:p>
    <w:p w:rsidR="00BD0C9B" w:rsidRPr="00B76304" w:rsidRDefault="00BD0C9B" w:rsidP="00224E36">
      <w:pPr>
        <w:pStyle w:val="DashEqual1"/>
      </w:pPr>
      <w:r w:rsidRPr="00B76304">
        <w:t>Approbation</w:t>
      </w:r>
    </w:p>
    <w:p w:rsidR="00BD0C9B" w:rsidRPr="00B76304" w:rsidRDefault="00BD0C9B" w:rsidP="00BF1281">
      <w:pPr>
        <w:pStyle w:val="PointManual"/>
        <w:spacing w:before="360"/>
      </w:pPr>
      <w:r w:rsidRPr="00B76304">
        <w:t>-</w:t>
      </w:r>
      <w:r w:rsidRPr="00B76304">
        <w:tab/>
        <w:t>Mise en œuvre du pacte de stabilité et de croissance</w:t>
      </w:r>
    </w:p>
    <w:p w:rsidR="00BD0C9B" w:rsidRPr="00B76304" w:rsidRDefault="00BD0C9B" w:rsidP="00224E36">
      <w:pPr>
        <w:pStyle w:val="DashEqual1"/>
        <w:rPr>
          <w:i/>
        </w:rPr>
      </w:pPr>
      <w:r w:rsidRPr="00B76304">
        <w:t xml:space="preserve">Projets de décisions du Conseil </w:t>
      </w:r>
    </w:p>
    <w:p w:rsidR="00BD0C9B" w:rsidRPr="00B76304" w:rsidRDefault="00BD0C9B" w:rsidP="00BF1281">
      <w:pPr>
        <w:pStyle w:val="PointManual"/>
        <w:spacing w:before="360"/>
      </w:pPr>
      <w:r w:rsidRPr="00B76304">
        <w:t>-</w:t>
      </w:r>
      <w:r w:rsidRPr="00B76304">
        <w:tab/>
        <w:t>(évent.) Rapport de la Cour des comptes européenne sur la procédure concernant les déficits excessifs</w:t>
      </w:r>
    </w:p>
    <w:p w:rsidR="00BD0C9B" w:rsidRPr="00B76304" w:rsidRDefault="00BD0C9B" w:rsidP="00224E36">
      <w:pPr>
        <w:pStyle w:val="DashEqual1"/>
      </w:pPr>
      <w:r w:rsidRPr="00B76304">
        <w:t>Conclusions du Conseil</w:t>
      </w:r>
    </w:p>
    <w:p w:rsidR="00BD0C9B" w:rsidRPr="00B76304" w:rsidRDefault="00BD0C9B" w:rsidP="00BF1281">
      <w:pPr>
        <w:pStyle w:val="PointManual"/>
        <w:spacing w:before="360"/>
      </w:pPr>
      <w:r w:rsidRPr="00B76304">
        <w:t>-</w:t>
      </w:r>
      <w:r w:rsidRPr="00B76304">
        <w:tab/>
        <w:t xml:space="preserve">Contribution à la réunion du Conseil européen des 28 et 29 juin 2016  </w:t>
      </w:r>
    </w:p>
    <w:p w:rsidR="00BD0C9B" w:rsidRPr="00B76304" w:rsidRDefault="00BD0C9B" w:rsidP="009F3FE1">
      <w:pPr>
        <w:pStyle w:val="Text1"/>
        <w:ind w:left="1134" w:hanging="567"/>
      </w:pPr>
      <w:r w:rsidRPr="00B76304">
        <w:t>a)</w:t>
      </w:r>
      <w:r w:rsidRPr="00B76304">
        <w:tab/>
        <w:t>Recommandations du Conseil concernant les progr</w:t>
      </w:r>
      <w:r w:rsidR="009F3FE1">
        <w:t>ammes nationaux de réforme pour </w:t>
      </w:r>
      <w:r w:rsidRPr="00B76304">
        <w:t>2016 à l'intention de chaque État membre et projets d'avis du Conseil concernant les programmes de stabilité ou de convergence actualisés</w:t>
      </w:r>
    </w:p>
    <w:p w:rsidR="00BD0C9B" w:rsidRPr="00B76304" w:rsidRDefault="00BD0C9B" w:rsidP="00BF1281">
      <w:pPr>
        <w:pStyle w:val="DashEqual2"/>
      </w:pPr>
      <w:r w:rsidRPr="00B76304">
        <w:t>Approbation</w:t>
      </w:r>
    </w:p>
    <w:p w:rsidR="00BD0C9B" w:rsidRPr="00B76304" w:rsidRDefault="00BD0C9B" w:rsidP="009F3FE1">
      <w:pPr>
        <w:pStyle w:val="Text1"/>
        <w:ind w:left="1134" w:hanging="567"/>
        <w:rPr>
          <w:bCs/>
        </w:rPr>
      </w:pPr>
      <w:r w:rsidRPr="00B76304">
        <w:t>b)</w:t>
      </w:r>
      <w:r w:rsidRPr="00B76304">
        <w:tab/>
        <w:t>(évent.) Proposition de recommandation du Conseil sur la création de conseils nationaux de la compétitivité et de la productivité dans la zone euro</w:t>
      </w:r>
    </w:p>
    <w:p w:rsidR="00BD0C9B" w:rsidRPr="00B76304" w:rsidRDefault="00BD0C9B" w:rsidP="00BF1281">
      <w:pPr>
        <w:pStyle w:val="DashEqual2"/>
        <w:rPr>
          <w:bCs/>
        </w:rPr>
      </w:pPr>
      <w:r w:rsidRPr="00B76304">
        <w:t>Transmission au Conseil européen</w:t>
      </w:r>
    </w:p>
    <w:p w:rsidR="00BD0C9B" w:rsidRPr="00B76304" w:rsidRDefault="00BD0C9B" w:rsidP="009F3FE1">
      <w:pPr>
        <w:pStyle w:val="Text1"/>
        <w:ind w:left="1134" w:hanging="567"/>
      </w:pPr>
      <w:r w:rsidRPr="00B76304">
        <w:t>c)</w:t>
      </w:r>
      <w:r w:rsidRPr="00B76304">
        <w:tab/>
        <w:t xml:space="preserve">Progrès accomplis vers un renforcement de l'efficacité </w:t>
      </w:r>
      <w:r w:rsidR="0039407A">
        <w:t>de la gouvernance économique et </w:t>
      </w:r>
      <w:r w:rsidRPr="00B76304">
        <w:t>budgétaire</w:t>
      </w:r>
    </w:p>
    <w:p w:rsidR="00BD0C9B" w:rsidRPr="00B76304" w:rsidRDefault="00BD0C9B" w:rsidP="00BF1281">
      <w:pPr>
        <w:pStyle w:val="DashEqual2"/>
        <w:rPr>
          <w:bCs/>
          <w:i/>
          <w:iCs/>
        </w:rPr>
      </w:pPr>
      <w:r w:rsidRPr="00B76304">
        <w:t>Échange de vues</w:t>
      </w:r>
    </w:p>
    <w:p w:rsidR="00BD0C9B" w:rsidRPr="00B76304" w:rsidRDefault="00BD0C9B" w:rsidP="00BF1281">
      <w:pPr>
        <w:pStyle w:val="Text1"/>
        <w:rPr>
          <w:bCs/>
        </w:rPr>
      </w:pPr>
      <w:r w:rsidRPr="00B76304">
        <w:t>d)</w:t>
      </w:r>
      <w:r w:rsidRPr="00B76304">
        <w:tab/>
        <w:t>Progrès accomplis en matière de représentation extérieure de la zone euro</w:t>
      </w:r>
    </w:p>
    <w:p w:rsidR="00BD0C9B" w:rsidRPr="00B76304" w:rsidRDefault="00BD0C9B" w:rsidP="00BF1281">
      <w:pPr>
        <w:pStyle w:val="DashEqual2"/>
        <w:rPr>
          <w:i/>
        </w:rPr>
      </w:pPr>
      <w:r w:rsidRPr="00B76304">
        <w:t>Échange de vues</w:t>
      </w:r>
    </w:p>
    <w:p w:rsidR="006975E7" w:rsidRPr="00B76304" w:rsidRDefault="006975E7" w:rsidP="00AE0595">
      <w:pPr>
        <w:pStyle w:val="Text1"/>
      </w:pPr>
      <w:r w:rsidRPr="00B76304">
        <w:t>e)</w:t>
      </w:r>
      <w:r w:rsidRPr="00B76304">
        <w:tab/>
        <w:t>(évent.) Autres points en rapport avec la réunion du Conseil européen</w:t>
      </w:r>
    </w:p>
    <w:p w:rsidR="006975E7" w:rsidRPr="00B76304" w:rsidRDefault="006975E7" w:rsidP="006975E7">
      <w:pPr>
        <w:pStyle w:val="DashEqual2"/>
      </w:pPr>
      <w:r w:rsidRPr="00B76304">
        <w:t>Échange de vues</w:t>
      </w:r>
    </w:p>
    <w:p w:rsidR="00BD0C9B" w:rsidRPr="00B76304" w:rsidRDefault="00BD0C9B" w:rsidP="00BF1281">
      <w:pPr>
        <w:pStyle w:val="PointManual"/>
        <w:spacing w:before="360"/>
        <w:rPr>
          <w:u w:val="single"/>
        </w:rPr>
      </w:pPr>
      <w:r w:rsidRPr="00B76304">
        <w:t>-</w:t>
      </w:r>
      <w:r w:rsidRPr="00B76304">
        <w:tab/>
        <w:t>Divers</w:t>
      </w:r>
    </w:p>
    <w:p w:rsidR="009771CD" w:rsidRPr="00B76304" w:rsidRDefault="009771CD" w:rsidP="009771CD">
      <w:pPr>
        <w:spacing w:before="960"/>
      </w:pPr>
      <w:r w:rsidRPr="00B76304">
        <w:t>____________________</w:t>
      </w:r>
    </w:p>
    <w:p w:rsidR="00BD0C9B" w:rsidRPr="00B76304" w:rsidRDefault="00BD0C9B" w:rsidP="00BD0C9B">
      <w:pPr>
        <w:pStyle w:val="PointManual"/>
      </w:pPr>
      <w:r w:rsidRPr="00B76304">
        <w:t>(*)</w:t>
      </w:r>
      <w:r w:rsidRPr="00B76304">
        <w:tab/>
        <w:t>Point sur lequel un vote peut être demandé.</w:t>
      </w:r>
    </w:p>
    <w:p w:rsidR="00BF1281" w:rsidRPr="00B76304" w:rsidRDefault="00BF1281" w:rsidP="00224E36">
      <w:pPr>
        <w:spacing w:before="600"/>
        <w:jc w:val="center"/>
        <w:rPr>
          <w:snapToGrid w:val="0"/>
          <w:lang w:val="pt-PT"/>
        </w:rPr>
      </w:pPr>
      <w:r w:rsidRPr="00B76304">
        <w:rPr>
          <w:snapToGrid w:val="0"/>
          <w:lang w:val="pt-PT"/>
        </w:rPr>
        <w:t>o</w:t>
      </w:r>
    </w:p>
    <w:p w:rsidR="00BF1281" w:rsidRPr="00B76304" w:rsidRDefault="00BF1281" w:rsidP="00BF1281">
      <w:pPr>
        <w:spacing w:before="120"/>
        <w:jc w:val="center"/>
        <w:rPr>
          <w:snapToGrid w:val="0"/>
          <w:lang w:val="pt-PT"/>
        </w:rPr>
      </w:pPr>
      <w:r w:rsidRPr="00B76304">
        <w:rPr>
          <w:snapToGrid w:val="0"/>
          <w:lang w:val="pt-PT"/>
        </w:rPr>
        <w:t>o</w:t>
      </w:r>
      <w:r w:rsidRPr="00B76304">
        <w:rPr>
          <w:snapToGrid w:val="0"/>
          <w:lang w:val="pt-PT"/>
        </w:rPr>
        <w:tab/>
        <w:t>o</w:t>
      </w:r>
    </w:p>
    <w:p w:rsidR="00BD0C9B" w:rsidRPr="00B76304" w:rsidRDefault="00224E36" w:rsidP="00BD0C9B">
      <w:pPr>
        <w:pStyle w:val="PointManual"/>
        <w:rPr>
          <w:b/>
          <w:bCs/>
          <w:lang w:val="pt-PT"/>
        </w:rPr>
      </w:pPr>
      <w:r w:rsidRPr="00B76304">
        <w:rPr>
          <w:lang w:val="pt-PT"/>
        </w:rPr>
        <w:br w:type="page"/>
      </w:r>
      <w:bookmarkStart w:id="2" w:name="ControlPages"/>
      <w:bookmarkEnd w:id="2"/>
      <w:r w:rsidRPr="00B76304">
        <w:rPr>
          <w:b/>
          <w:bCs/>
          <w:lang w:val="pt-PT"/>
        </w:rPr>
        <w:lastRenderedPageBreak/>
        <w:t>p.m.:</w:t>
      </w:r>
    </w:p>
    <w:p w:rsidR="00BD0C9B" w:rsidRPr="00B76304" w:rsidRDefault="00BD0C9B" w:rsidP="00BF1281">
      <w:pPr>
        <w:pStyle w:val="PointManual"/>
        <w:spacing w:before="360"/>
        <w:rPr>
          <w:b/>
          <w:bCs/>
          <w:u w:val="single"/>
          <w:lang w:val="pt-PT"/>
        </w:rPr>
      </w:pPr>
      <w:r w:rsidRPr="00B76304">
        <w:rPr>
          <w:b/>
          <w:bCs/>
          <w:u w:val="single"/>
          <w:lang w:val="pt-PT"/>
        </w:rPr>
        <w:t>Jeudi 16 juin 2016</w:t>
      </w:r>
    </w:p>
    <w:p w:rsidR="00BD0C9B" w:rsidRPr="00B76304" w:rsidRDefault="00BD0C9B" w:rsidP="00BF1281">
      <w:pPr>
        <w:pStyle w:val="PointManual"/>
        <w:spacing w:before="360"/>
        <w:rPr>
          <w:lang w:val="pt-PT"/>
        </w:rPr>
      </w:pPr>
      <w:r w:rsidRPr="00B76304">
        <w:rPr>
          <w:lang w:val="pt-PT"/>
        </w:rPr>
        <w:t>15 h 00</w:t>
      </w:r>
      <w:r w:rsidRPr="00B76304">
        <w:rPr>
          <w:lang w:val="pt-PT"/>
        </w:rPr>
        <w:tab/>
      </w:r>
      <w:r w:rsidRPr="00B76304">
        <w:rPr>
          <w:lang w:val="pt-PT"/>
        </w:rPr>
        <w:tab/>
        <w:t>Eurogroupe</w:t>
      </w:r>
    </w:p>
    <w:p w:rsidR="00BD0C9B" w:rsidRPr="00B76304" w:rsidRDefault="00BD0C9B" w:rsidP="00BF1281">
      <w:pPr>
        <w:pStyle w:val="PointManual"/>
        <w:spacing w:before="360"/>
        <w:rPr>
          <w:b/>
          <w:bCs/>
          <w:u w:val="single"/>
        </w:rPr>
      </w:pPr>
      <w:r w:rsidRPr="00B76304">
        <w:rPr>
          <w:b/>
          <w:bCs/>
          <w:u w:val="single"/>
        </w:rPr>
        <w:t>Vendredi 17 juin 2016</w:t>
      </w:r>
    </w:p>
    <w:p w:rsidR="00BD0C9B" w:rsidRPr="00B76304" w:rsidRDefault="00BD0C9B" w:rsidP="00BF1281">
      <w:pPr>
        <w:pStyle w:val="PointManual"/>
        <w:spacing w:before="360"/>
      </w:pPr>
      <w:r w:rsidRPr="00B76304">
        <w:t>9 h 00</w:t>
      </w:r>
      <w:r w:rsidRPr="00B76304">
        <w:tab/>
      </w:r>
      <w:r w:rsidRPr="00B76304">
        <w:tab/>
        <w:t>Petit-déjeuner ECOFIN</w:t>
      </w:r>
    </w:p>
    <w:p w:rsidR="00BD0C9B" w:rsidRPr="00B76304" w:rsidRDefault="00BD0C9B" w:rsidP="00BF1281">
      <w:pPr>
        <w:pStyle w:val="PointManual"/>
        <w:spacing w:before="360"/>
      </w:pPr>
      <w:r w:rsidRPr="00B76304">
        <w:t>10 h 00</w:t>
      </w:r>
      <w:r w:rsidRPr="00B76304">
        <w:tab/>
      </w:r>
      <w:r w:rsidRPr="00B76304">
        <w:tab/>
        <w:t>Conseil ECOFIN</w:t>
      </w:r>
    </w:p>
    <w:p w:rsidR="00662D88" w:rsidRPr="00B76304" w:rsidRDefault="00662D88" w:rsidP="00662D88">
      <w:pPr>
        <w:pStyle w:val="FinalLine"/>
      </w:pPr>
    </w:p>
    <w:p w:rsidR="00662D88" w:rsidRPr="00B76304" w:rsidRDefault="005A0B5E" w:rsidP="005A0B5E">
      <w:pPr>
        <w:pStyle w:val="NB"/>
      </w:pPr>
      <w:r w:rsidRPr="00B76304">
        <w:t>NB:</w:t>
      </w:r>
      <w:r w:rsidRPr="00B76304">
        <w:tab/>
        <w:t>Veuillez transmettre au service du protocole, aussi rapidement que possible, une liste des délégués qui participeront à cette réunion. Adresse électronique: protocole.participants@consilium.europa.eu</w:t>
      </w:r>
    </w:p>
    <w:p w:rsidR="00FC4670" w:rsidRPr="005A0B5E" w:rsidRDefault="005A0B5E" w:rsidP="005A0B5E">
      <w:pPr>
        <w:pStyle w:val="NB"/>
      </w:pPr>
      <w:r w:rsidRPr="00B76304">
        <w:t>NB:</w:t>
      </w:r>
      <w:r w:rsidRPr="00B76304">
        <w:tab/>
        <w:t>Il est recommandé aux délégués devant obtenir un badge journalier pour assister aux réunions de consulter le document 14387/1/12 REV 1 afin de prendre connaissance des modalités d'obtention de ce badge.</w:t>
      </w:r>
    </w:p>
    <w:sectPr w:rsidR="00FC4670" w:rsidRPr="005A0B5E" w:rsidSect="003C11E6">
      <w:footerReference w:type="default" r:id="rId9"/>
      <w:footerReference w:type="first" r:id="rId10"/>
      <w:pgSz w:w="11907" w:h="16840" w:code="9"/>
      <w:pgMar w:top="113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D88" w:rsidRDefault="00662D88" w:rsidP="00662D88">
      <w:r>
        <w:separator/>
      </w:r>
    </w:p>
  </w:endnote>
  <w:endnote w:type="continuationSeparator" w:id="0">
    <w:p w:rsidR="00662D88" w:rsidRDefault="00662D88" w:rsidP="0066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76304" w:rsidRPr="00D94637" w:rsidTr="00B7630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76304" w:rsidRPr="00D94637" w:rsidRDefault="00B7630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B76304" w:rsidRPr="00B310DC" w:rsidTr="00B7630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76304" w:rsidRPr="00AD7BF2" w:rsidRDefault="00B76304" w:rsidP="004F54B2">
          <w:pPr>
            <w:pStyle w:val="FooterText"/>
          </w:pPr>
          <w:r>
            <w:t>CM 2949/16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76304" w:rsidRPr="00AD7BF2" w:rsidRDefault="00B7630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76304" w:rsidRPr="002511D8" w:rsidRDefault="00B76304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76304" w:rsidRPr="00B310DC" w:rsidRDefault="00B7630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2566D9">
            <w:rPr>
              <w:noProof/>
            </w:rPr>
            <w:t>4</w:t>
          </w:r>
          <w:r>
            <w:fldChar w:fldCharType="end"/>
          </w:r>
        </w:p>
      </w:tc>
    </w:tr>
    <w:tr w:rsidR="00B76304" w:rsidRPr="00D94637" w:rsidTr="00B76304">
      <w:trPr>
        <w:jc w:val="center"/>
      </w:trPr>
      <w:tc>
        <w:tcPr>
          <w:tcW w:w="1774" w:type="pct"/>
          <w:shd w:val="clear" w:color="auto" w:fill="auto"/>
        </w:tcPr>
        <w:p w:rsidR="00B76304" w:rsidRPr="00AD7BF2" w:rsidRDefault="00B7630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76304" w:rsidRPr="00AD7BF2" w:rsidRDefault="00B76304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B76304" w:rsidRPr="00D94637" w:rsidRDefault="00B7630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76304" w:rsidRPr="00D94637" w:rsidRDefault="00B7630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3"/>
  </w:tbl>
  <w:p w:rsidR="00662D88" w:rsidRPr="00B76304" w:rsidRDefault="00662D88" w:rsidP="00B76304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76304" w:rsidRPr="00D94637" w:rsidTr="00B7630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76304" w:rsidRPr="00D94637" w:rsidRDefault="00B7630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B76304" w:rsidRPr="00B310DC" w:rsidTr="00B7630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76304" w:rsidRPr="00B76304" w:rsidRDefault="00B76304" w:rsidP="004F54B2">
          <w:pPr>
            <w:pStyle w:val="FooterText"/>
            <w:rPr>
              <w:lang w:val="en-GB"/>
            </w:rPr>
          </w:pPr>
          <w:r>
            <w:rPr>
              <w:lang w:val="en-GB"/>
            </w:rPr>
            <w:t>CM 2949</w:t>
          </w:r>
          <w:r w:rsidRPr="00B76304">
            <w:rPr>
              <w:lang w:val="en-GB"/>
            </w:rPr>
            <w:t>/</w:t>
          </w:r>
          <w:r>
            <w:rPr>
              <w:lang w:val="en-GB"/>
            </w:rPr>
            <w:t>16</w:t>
          </w:r>
          <w:r w:rsidRPr="00B76304">
            <w:rPr>
              <w:lang w:val="en-GB"/>
            </w:rPr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76304" w:rsidRPr="00B76304" w:rsidRDefault="00B76304" w:rsidP="00D94637">
          <w:pPr>
            <w:pStyle w:val="FooterText"/>
            <w:jc w:val="center"/>
            <w:rPr>
              <w:lang w:val="en-GB"/>
            </w:rPr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76304" w:rsidRPr="002511D8" w:rsidRDefault="00B76304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76304" w:rsidRPr="00B310DC" w:rsidRDefault="00B7630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2566D9">
            <w:rPr>
              <w:noProof/>
            </w:rPr>
            <w:t>1</w:t>
          </w:r>
          <w:r>
            <w:fldChar w:fldCharType="end"/>
          </w:r>
        </w:p>
      </w:tc>
    </w:tr>
    <w:tr w:rsidR="00B76304" w:rsidRPr="00D94637" w:rsidTr="00B76304">
      <w:trPr>
        <w:jc w:val="center"/>
      </w:trPr>
      <w:tc>
        <w:tcPr>
          <w:tcW w:w="1774" w:type="pct"/>
          <w:shd w:val="clear" w:color="auto" w:fill="auto"/>
        </w:tcPr>
        <w:p w:rsidR="00B76304" w:rsidRPr="00AD7BF2" w:rsidRDefault="00B7630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76304" w:rsidRPr="00AD7BF2" w:rsidRDefault="00B76304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B76304" w:rsidRPr="00D94637" w:rsidRDefault="00B7630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76304" w:rsidRPr="00D94637" w:rsidRDefault="00B7630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662D88" w:rsidRPr="00B76304" w:rsidRDefault="00662D88" w:rsidP="00B76304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D88" w:rsidRDefault="00662D88" w:rsidP="00662D88">
      <w:r>
        <w:separator/>
      </w:r>
    </w:p>
  </w:footnote>
  <w:footnote w:type="continuationSeparator" w:id="0">
    <w:p w:rsidR="00662D88" w:rsidRDefault="00662D88" w:rsidP="00662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</w:num>
  <w:num w:numId="31">
    <w:abstractNumId w:val="29"/>
  </w:num>
  <w:num w:numId="32">
    <w:abstractNumId w:val="29"/>
  </w:num>
  <w:num w:numId="33">
    <w:abstractNumId w:val="29"/>
  </w:num>
  <w:num w:numId="34">
    <w:abstractNumId w:val="29"/>
  </w:num>
  <w:num w:numId="35">
    <w:abstractNumId w:val="29"/>
  </w:num>
  <w:num w:numId="36">
    <w:abstractNumId w:val="21"/>
  </w:num>
  <w:num w:numId="37">
    <w:abstractNumId w:val="21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7a116fcd-fe76-4189-bb34-8362cd9d347c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 translate=&quot;false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6-06-02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2949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ECOFIN&lt;/text&gt;_x000d__x000a_    &lt;/textlist&gt;_x000d__x000a_  &lt;/metadata&gt;_x000d__x000a_  &lt;metadata key=&quot;md_Contact&quot; translate=&quot;false&quot;&gt;_x000d__x000a_    &lt;text&gt;Mr Hans GILBERS_x000d__x000a_hans.gilbers@consilium.europa.eu&lt;/text&gt;_x000d__x000a_  &lt;/metadata&gt;_x000d__x000a_  &lt;metadata key=&quot;md_ContactPhoneFax&quot; translate=&quot;false&quot;&gt;_x000d__x000a_    &lt;text&gt;+32.2-281.9891/6685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75e session du CONSEIL DE L'UNION EUROPÉENNE (Affaires économiques et financières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3475&amp;lt;Run BaselineAlignment=&quot;Superscript&quot;&amp;gt;e&amp;lt;/Run&amp;gt; session du CONSEIL DE L'UNION EUROPÉENNE&amp;lt;LineBreak /&amp;gt;(Affaires économiques et financière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6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6-06-17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662D88"/>
    <w:rsid w:val="00010C1D"/>
    <w:rsid w:val="0009656C"/>
    <w:rsid w:val="00146760"/>
    <w:rsid w:val="00165755"/>
    <w:rsid w:val="00182F2F"/>
    <w:rsid w:val="001C1958"/>
    <w:rsid w:val="00213F1F"/>
    <w:rsid w:val="00224E36"/>
    <w:rsid w:val="002566D9"/>
    <w:rsid w:val="002A2AE8"/>
    <w:rsid w:val="0039407A"/>
    <w:rsid w:val="003C11E6"/>
    <w:rsid w:val="003C6E8B"/>
    <w:rsid w:val="005157F5"/>
    <w:rsid w:val="005A0B5E"/>
    <w:rsid w:val="0063379B"/>
    <w:rsid w:val="00662D88"/>
    <w:rsid w:val="006975E7"/>
    <w:rsid w:val="006A38C5"/>
    <w:rsid w:val="006C1AD4"/>
    <w:rsid w:val="006E33E2"/>
    <w:rsid w:val="006F4741"/>
    <w:rsid w:val="0075756A"/>
    <w:rsid w:val="007B2983"/>
    <w:rsid w:val="00825503"/>
    <w:rsid w:val="00841F27"/>
    <w:rsid w:val="008826F8"/>
    <w:rsid w:val="00911BD1"/>
    <w:rsid w:val="009771CD"/>
    <w:rsid w:val="009E1351"/>
    <w:rsid w:val="009F3FE1"/>
    <w:rsid w:val="00A469D7"/>
    <w:rsid w:val="00AE0595"/>
    <w:rsid w:val="00B76304"/>
    <w:rsid w:val="00BD0C9B"/>
    <w:rsid w:val="00BE1373"/>
    <w:rsid w:val="00BF10B3"/>
    <w:rsid w:val="00BF1281"/>
    <w:rsid w:val="00D1211D"/>
    <w:rsid w:val="00D451E4"/>
    <w:rsid w:val="00E658DA"/>
    <w:rsid w:val="00F31CDC"/>
    <w:rsid w:val="00F31D08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9E1351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link w:val="PointManual2Char"/>
    <w:uiPriority w:val="99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62D8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662D88"/>
    <w:rPr>
      <w:sz w:val="24"/>
      <w:szCs w:val="24"/>
      <w:lang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62D88"/>
    <w:rPr>
      <w:sz w:val="2"/>
      <w:szCs w:val="24"/>
      <w:lang w:eastAsia="en-US"/>
    </w:rPr>
  </w:style>
  <w:style w:type="paragraph" w:customStyle="1" w:styleId="FooterText">
    <w:name w:val="Footer Text"/>
    <w:basedOn w:val="Normal"/>
    <w:rsid w:val="00662D88"/>
  </w:style>
  <w:style w:type="character" w:customStyle="1" w:styleId="PointManualChar">
    <w:name w:val="Point Manual Char"/>
    <w:link w:val="PointManual"/>
    <w:locked/>
    <w:rsid w:val="00BD0C9B"/>
    <w:rPr>
      <w:sz w:val="24"/>
      <w:szCs w:val="24"/>
      <w:lang w:val="fr-FR" w:eastAsia="en-US"/>
    </w:rPr>
  </w:style>
  <w:style w:type="character" w:customStyle="1" w:styleId="PointManual1Char">
    <w:name w:val="Point Manual (1) Char"/>
    <w:link w:val="PointManual1"/>
    <w:rsid w:val="00BD0C9B"/>
    <w:rPr>
      <w:sz w:val="24"/>
      <w:szCs w:val="24"/>
      <w:lang w:val="fr-FR" w:eastAsia="en-US"/>
    </w:rPr>
  </w:style>
  <w:style w:type="character" w:customStyle="1" w:styleId="PointManual2Char">
    <w:name w:val="Point Manual (2) Char"/>
    <w:link w:val="PointManual2"/>
    <w:uiPriority w:val="99"/>
    <w:rsid w:val="00BD0C9B"/>
    <w:rPr>
      <w:sz w:val="24"/>
      <w:szCs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9E1351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link w:val="PointManual2Char"/>
    <w:uiPriority w:val="99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62D8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662D88"/>
    <w:rPr>
      <w:sz w:val="24"/>
      <w:szCs w:val="24"/>
      <w:lang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62D88"/>
    <w:rPr>
      <w:sz w:val="2"/>
      <w:szCs w:val="24"/>
      <w:lang w:eastAsia="en-US"/>
    </w:rPr>
  </w:style>
  <w:style w:type="paragraph" w:customStyle="1" w:styleId="FooterText">
    <w:name w:val="Footer Text"/>
    <w:basedOn w:val="Normal"/>
    <w:rsid w:val="00662D88"/>
  </w:style>
  <w:style w:type="character" w:customStyle="1" w:styleId="PointManualChar">
    <w:name w:val="Point Manual Char"/>
    <w:link w:val="PointManual"/>
    <w:locked/>
    <w:rsid w:val="00BD0C9B"/>
    <w:rPr>
      <w:sz w:val="24"/>
      <w:szCs w:val="24"/>
      <w:lang w:val="fr-FR" w:eastAsia="en-US"/>
    </w:rPr>
  </w:style>
  <w:style w:type="character" w:customStyle="1" w:styleId="PointManual1Char">
    <w:name w:val="Point Manual (1) Char"/>
    <w:link w:val="PointManual1"/>
    <w:rsid w:val="00BD0C9B"/>
    <w:rPr>
      <w:sz w:val="24"/>
      <w:szCs w:val="24"/>
      <w:lang w:val="fr-FR" w:eastAsia="en-US"/>
    </w:rPr>
  </w:style>
  <w:style w:type="character" w:customStyle="1" w:styleId="PointManual2Char">
    <w:name w:val="Point Manual (2) Char"/>
    <w:link w:val="PointManual2"/>
    <w:uiPriority w:val="99"/>
    <w:rsid w:val="00BD0C9B"/>
    <w:rPr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SNACKEN Veronique</dc:creator>
  <cp:lastModifiedBy>CARNEIRO Suzana Claudia</cp:lastModifiedBy>
  <cp:revision>5</cp:revision>
  <cp:lastPrinted>2016-06-02T13:18:00Z</cp:lastPrinted>
  <dcterms:created xsi:type="dcterms:W3CDTF">2016-06-03T15:47:00Z</dcterms:created>
  <dcterms:modified xsi:type="dcterms:W3CDTF">2016-06-03T15:47:00Z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  <property fmtid="{D5CDD505-2E9C-101B-9397-08002B2CF9AE}" pid="5" name="SkipControlLengthPage">
    <vt:lpwstr/>
  </property>
</Properties>
</file>