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0F" w:rsidRPr="0051484B" w:rsidRDefault="00E70774" w:rsidP="0051484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868ccfb-f2be-4a8b-a5cb-0a76f7546193_0" style="width:568.5pt;height:492.1pt">
            <v:imagedata r:id="rId9" o:title=""/>
          </v:shape>
        </w:pict>
      </w:r>
      <w:bookmarkEnd w:id="0"/>
    </w:p>
    <w:p w:rsidR="00AB1FB5" w:rsidRPr="00F575EE" w:rsidRDefault="00AB1FB5" w:rsidP="00732037">
      <w:pPr>
        <w:spacing w:after="240"/>
        <w:rPr>
          <w:b/>
          <w:bCs/>
          <w:u w:val="single"/>
        </w:rPr>
      </w:pPr>
      <w:r w:rsidRPr="00F575EE">
        <w:rPr>
          <w:b/>
          <w:bCs/>
          <w:u w:val="single"/>
        </w:rPr>
        <w:t>ЗАСЕДАНИЕ НА 16 ЮНИ 2016 г., ЧЕТВЪРТЪК (9,30 ч.)</w:t>
      </w:r>
    </w:p>
    <w:p w:rsidR="009577E3" w:rsidRPr="00F575EE" w:rsidRDefault="009577E3" w:rsidP="0030311D">
      <w:pPr>
        <w:pStyle w:val="PointManual"/>
        <w:spacing w:before="240" w:after="240"/>
      </w:pPr>
      <w:r w:rsidRPr="00F575EE">
        <w:t>1.</w:t>
      </w:r>
      <w:r w:rsidRPr="00F575EE">
        <w:tab/>
        <w:t>Приемане на дневния ред</w:t>
      </w:r>
    </w:p>
    <w:p w:rsidR="009577E3" w:rsidRPr="00F575EE" w:rsidRDefault="009577E3" w:rsidP="00732037">
      <w:pPr>
        <w:spacing w:before="240" w:after="240"/>
        <w:rPr>
          <w:b/>
          <w:bCs/>
          <w:szCs w:val="32"/>
          <w:u w:val="single"/>
        </w:rPr>
      </w:pPr>
      <w:r w:rsidRPr="00F575EE">
        <w:rPr>
          <w:b/>
          <w:bCs/>
          <w:szCs w:val="32"/>
          <w:u w:val="single"/>
        </w:rPr>
        <w:t>Незаконодателни дейности</w:t>
      </w:r>
    </w:p>
    <w:p w:rsidR="009577E3" w:rsidRPr="00F575EE" w:rsidRDefault="009577E3" w:rsidP="009457F2">
      <w:pPr>
        <w:pStyle w:val="PointManual"/>
        <w:spacing w:before="0" w:after="240"/>
      </w:pPr>
      <w:r w:rsidRPr="00F575EE">
        <w:t>2.</w:t>
      </w:r>
      <w:r w:rsidRPr="00F575EE">
        <w:tab/>
        <w:t>(евентуално) Одобряване на списъка на точки А</w:t>
      </w:r>
    </w:p>
    <w:p w:rsidR="009577E3" w:rsidRPr="00F575EE" w:rsidRDefault="009577E3" w:rsidP="00732037">
      <w:pPr>
        <w:spacing w:before="240"/>
        <w:jc w:val="both"/>
        <w:rPr>
          <w:b/>
          <w:bCs/>
          <w:i/>
          <w:iCs/>
          <w:color w:val="000000"/>
        </w:rPr>
      </w:pPr>
      <w:r w:rsidRPr="00F575EE">
        <w:rPr>
          <w:b/>
          <w:bCs/>
          <w:color w:val="000000"/>
          <w:u w:val="single"/>
        </w:rPr>
        <w:t>Обсъждания на законодателни актове</w:t>
      </w:r>
    </w:p>
    <w:p w:rsidR="009577E3" w:rsidRPr="00F575EE" w:rsidRDefault="009577E3" w:rsidP="00732037">
      <w:pPr>
        <w:spacing w:after="240"/>
        <w:rPr>
          <w:b/>
          <w:bCs/>
          <w:color w:val="000000"/>
        </w:rPr>
      </w:pPr>
      <w:r w:rsidRPr="00F575EE">
        <w:rPr>
          <w:b/>
          <w:bCs/>
          <w:color w:val="000000"/>
        </w:rPr>
        <w:t>(открито обсъждане съгласно член 16, параграф 8 от Договора за Европейския съюз)</w:t>
      </w:r>
    </w:p>
    <w:p w:rsidR="009577E3" w:rsidRPr="00F575EE" w:rsidRDefault="009577E3" w:rsidP="003D1287">
      <w:pPr>
        <w:pStyle w:val="PointManual"/>
        <w:spacing w:before="0"/>
      </w:pPr>
      <w:r w:rsidRPr="00F575EE">
        <w:t>3.</w:t>
      </w:r>
      <w:r w:rsidRPr="00F575EE">
        <w:tab/>
        <w:t>(евентуално) Одобряване на списъка на точки А</w:t>
      </w:r>
    </w:p>
    <w:p w:rsidR="00732037" w:rsidRPr="00F575EE" w:rsidRDefault="00732037" w:rsidP="0030311D">
      <w:pPr>
        <w:spacing w:after="240"/>
        <w:rPr>
          <w:caps/>
          <w:u w:val="single"/>
        </w:rPr>
      </w:pPr>
      <w:r w:rsidRPr="00F575EE">
        <w:br w:type="page"/>
      </w:r>
      <w:r w:rsidRPr="00F575EE">
        <w:rPr>
          <w:caps/>
          <w:u w:val="single"/>
        </w:rPr>
        <w:lastRenderedPageBreak/>
        <w:t>ЗАЕТОСТ И СОЦИАЛНА ПОЛИТИКА</w:t>
      </w:r>
    </w:p>
    <w:p w:rsidR="009577E3" w:rsidRPr="00F575EE" w:rsidRDefault="009577E3" w:rsidP="00661B74">
      <w:pPr>
        <w:pStyle w:val="PointManual"/>
      </w:pPr>
      <w:r w:rsidRPr="00F575EE">
        <w:t>4.</w:t>
      </w:r>
      <w:r w:rsidRPr="00F575EE">
        <w:tab/>
        <w:t xml:space="preserve">Предложение за директива на Европейския парламент и на Съвета за сближаване на законовите, подзаконовите и административните разпоредби на държавите членки по отношение на изискванията за достъпност за продукти и услуги </w:t>
      </w:r>
      <w:r w:rsidRPr="00F575EE">
        <w:rPr>
          <w:b/>
          <w:bCs/>
        </w:rPr>
        <w:t>(първо четене)</w:t>
      </w:r>
    </w:p>
    <w:p w:rsidR="009577E3" w:rsidRPr="00F575EE" w:rsidRDefault="009577E3" w:rsidP="009577E3">
      <w:pPr>
        <w:pStyle w:val="Text1"/>
      </w:pPr>
      <w:r w:rsidRPr="00F575EE">
        <w:t>Междуинституционално досие: 2015/0278 (COD)</w:t>
      </w:r>
    </w:p>
    <w:p w:rsidR="009577E3" w:rsidRPr="00F575EE" w:rsidRDefault="009577E3" w:rsidP="000B7A36">
      <w:pPr>
        <w:pStyle w:val="DashEqual1"/>
        <w:numPr>
          <w:ilvl w:val="0"/>
          <w:numId w:val="20"/>
        </w:numPr>
      </w:pPr>
      <w:r w:rsidRPr="00F575EE">
        <w:t>Доклад за напредъка</w:t>
      </w:r>
    </w:p>
    <w:p w:rsidR="00740E0A" w:rsidRPr="00F575EE" w:rsidRDefault="00740E0A" w:rsidP="000F687D">
      <w:pPr>
        <w:pStyle w:val="Text3"/>
      </w:pPr>
      <w:r w:rsidRPr="00F575EE">
        <w:t>14799/15 SOC 700 MI 770 ANTIDISCRIM 15 AUDIO 34 CODEC 1774</w:t>
      </w:r>
    </w:p>
    <w:p w:rsidR="000872C7" w:rsidRPr="00F575EE" w:rsidRDefault="000872C7" w:rsidP="000872C7">
      <w:pPr>
        <w:pStyle w:val="Text4"/>
      </w:pPr>
      <w:r w:rsidRPr="00F575EE">
        <w:t>+ COR 1</w:t>
      </w:r>
    </w:p>
    <w:p w:rsidR="000872C7" w:rsidRPr="00F575EE" w:rsidRDefault="000872C7" w:rsidP="000872C7">
      <w:pPr>
        <w:pStyle w:val="Text4"/>
      </w:pPr>
      <w:r w:rsidRPr="00F575EE">
        <w:t>+ COR 2</w:t>
      </w:r>
    </w:p>
    <w:p w:rsidR="000872C7" w:rsidRPr="00F575EE" w:rsidRDefault="00740E0A" w:rsidP="000872C7">
      <w:pPr>
        <w:pStyle w:val="Text4"/>
      </w:pPr>
      <w:r w:rsidRPr="00F575EE">
        <w:t>+ ADD 1</w:t>
      </w:r>
    </w:p>
    <w:p w:rsidR="000872C7" w:rsidRPr="00F575EE" w:rsidRDefault="000872C7" w:rsidP="000872C7">
      <w:pPr>
        <w:pStyle w:val="Text4"/>
      </w:pPr>
      <w:r w:rsidRPr="00F575EE">
        <w:t>+ ADD 1 COR 1</w:t>
      </w:r>
    </w:p>
    <w:p w:rsidR="003C5EA8" w:rsidRPr="00F575EE" w:rsidRDefault="003C5EA8" w:rsidP="000872C7">
      <w:pPr>
        <w:pStyle w:val="Text4"/>
      </w:pPr>
      <w:r w:rsidRPr="00F575EE">
        <w:t>+ ADD 2</w:t>
      </w:r>
    </w:p>
    <w:p w:rsidR="000872C7" w:rsidRPr="00F575EE" w:rsidRDefault="000872C7" w:rsidP="000872C7">
      <w:pPr>
        <w:pStyle w:val="Text4"/>
      </w:pPr>
      <w:r w:rsidRPr="00F575EE">
        <w:t>+ ADD 2 COR 1</w:t>
      </w:r>
    </w:p>
    <w:p w:rsidR="003C5EA8" w:rsidRPr="00F575EE" w:rsidRDefault="003C5EA8" w:rsidP="000872C7">
      <w:pPr>
        <w:pStyle w:val="Text4"/>
      </w:pPr>
      <w:r w:rsidRPr="00F575EE">
        <w:t>+ ADD 3</w:t>
      </w:r>
    </w:p>
    <w:p w:rsidR="000872C7" w:rsidRPr="00F575EE" w:rsidRDefault="000872C7" w:rsidP="000872C7">
      <w:pPr>
        <w:pStyle w:val="Text4"/>
        <w:spacing w:after="240"/>
      </w:pPr>
      <w:r w:rsidRPr="00F575EE">
        <w:t>+ ADD 3 COR 1</w:t>
      </w:r>
    </w:p>
    <w:p w:rsidR="009577E3" w:rsidRPr="00F575EE" w:rsidRDefault="009577E3" w:rsidP="009577E3">
      <w:pPr>
        <w:pStyle w:val="PointManual"/>
      </w:pPr>
      <w:r w:rsidRPr="00F575EE">
        <w:t>5.</w:t>
      </w:r>
      <w:r w:rsidRPr="00F575EE">
        <w:tab/>
        <w:t xml:space="preserve">Предложение за директива на Европейския парламент и на Съвета за изменение на Директива 96/71/ЕО на Европейския парламент и на Съвета от 16 декември 1996 г. относно командироването на работници в рамките на предоставянето на услуги </w:t>
      </w:r>
      <w:r w:rsidRPr="00F575EE">
        <w:rPr>
          <w:b/>
          <w:bCs/>
        </w:rPr>
        <w:t>(първо четене)</w:t>
      </w:r>
    </w:p>
    <w:p w:rsidR="009577E3" w:rsidRPr="00F575EE" w:rsidRDefault="009577E3" w:rsidP="009577E3">
      <w:pPr>
        <w:pStyle w:val="Text1"/>
        <w:rPr>
          <w:iCs/>
          <w:color w:val="000000"/>
        </w:rPr>
      </w:pPr>
      <w:r w:rsidRPr="00F575EE">
        <w:t>Междуинституционално досие: 2016/0070 (COD)</w:t>
      </w:r>
    </w:p>
    <w:p w:rsidR="009577E3" w:rsidRPr="00F575EE" w:rsidRDefault="009577E3" w:rsidP="009577E3">
      <w:pPr>
        <w:pStyle w:val="DashEqual1"/>
      </w:pPr>
      <w:r w:rsidRPr="00F575EE">
        <w:t>Доклад за напредъка</w:t>
      </w:r>
    </w:p>
    <w:p w:rsidR="009577E3" w:rsidRPr="00F575EE" w:rsidRDefault="009577E3" w:rsidP="000F687D">
      <w:pPr>
        <w:pStyle w:val="DashEqual1"/>
      </w:pPr>
      <w:r w:rsidRPr="00F575EE">
        <w:t>Актуализирана информация от Комисията относно актуалното състояние</w:t>
      </w:r>
    </w:p>
    <w:p w:rsidR="00740E0A" w:rsidRPr="00F575EE" w:rsidRDefault="00740E0A" w:rsidP="003C5EA8">
      <w:pPr>
        <w:pStyle w:val="Text3"/>
        <w:spacing w:after="240"/>
      </w:pPr>
      <w:r w:rsidRPr="00F575EE">
        <w:t>6987/16 SOC 144 EMPL 97 MI 142 COMPET 118 CODEC 279</w:t>
      </w:r>
    </w:p>
    <w:p w:rsidR="009577E3" w:rsidRPr="00F575EE" w:rsidRDefault="009577E3" w:rsidP="009577E3">
      <w:pPr>
        <w:pStyle w:val="PointManual"/>
      </w:pPr>
      <w:r w:rsidRPr="00F575EE">
        <w:t>6.</w:t>
      </w:r>
      <w:r w:rsidRPr="00F575EE">
        <w:tab/>
        <w:t xml:space="preserve">Преразглеждане на Директива 2004/37/ЕО на Европейския парламент и на Съвета от 29 април 2004 г. относно защитата на работниците от рискове, свързани с експозицията на канцерогени или мутагени по време на работа </w:t>
      </w:r>
      <w:r w:rsidRPr="00F575EE">
        <w:rPr>
          <w:b/>
          <w:bCs/>
        </w:rPr>
        <w:t>(първо четене)</w:t>
      </w:r>
    </w:p>
    <w:p w:rsidR="009577E3" w:rsidRPr="00F575EE" w:rsidRDefault="009577E3" w:rsidP="009577E3">
      <w:pPr>
        <w:pStyle w:val="Text1"/>
      </w:pPr>
      <w:r w:rsidRPr="00F575EE">
        <w:t>Междуинституционално досие: 2016/0130 (COD)</w:t>
      </w:r>
    </w:p>
    <w:p w:rsidR="009577E3" w:rsidRPr="00F575EE" w:rsidRDefault="009577E3" w:rsidP="000F687D">
      <w:pPr>
        <w:pStyle w:val="DashEqual1"/>
      </w:pPr>
      <w:r w:rsidRPr="00F575EE">
        <w:t>Общ подход/Доклад за напредъка</w:t>
      </w:r>
    </w:p>
    <w:p w:rsidR="00740E0A" w:rsidRPr="00F575EE" w:rsidRDefault="00740E0A" w:rsidP="000F687D">
      <w:pPr>
        <w:pStyle w:val="Text3"/>
      </w:pPr>
      <w:r w:rsidRPr="00F575EE">
        <w:t>8962/16 SOC 255 EMPL 158 SAN 187 IA 23 CODEC 666</w:t>
      </w:r>
    </w:p>
    <w:p w:rsidR="00223615" w:rsidRPr="00F575EE" w:rsidRDefault="00223615" w:rsidP="00223615">
      <w:pPr>
        <w:pStyle w:val="Text4"/>
      </w:pPr>
      <w:r w:rsidRPr="00F575EE">
        <w:t>+ REV 1 (mt)</w:t>
      </w:r>
    </w:p>
    <w:p w:rsidR="00740E0A" w:rsidRPr="00F575EE" w:rsidRDefault="00BB2B4D" w:rsidP="000F687D">
      <w:pPr>
        <w:pStyle w:val="Text4"/>
        <w:spacing w:after="240"/>
      </w:pPr>
      <w:r w:rsidRPr="00F575EE">
        <w:t>+ ADD 1</w:t>
      </w:r>
    </w:p>
    <w:p w:rsidR="009577E3" w:rsidRPr="00F575EE" w:rsidRDefault="009577E3" w:rsidP="009577E3">
      <w:pPr>
        <w:pStyle w:val="PointManual"/>
      </w:pPr>
      <w:r w:rsidRPr="00F575EE">
        <w:t>7.</w:t>
      </w:r>
      <w:r w:rsidRPr="00F575EE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9577E3" w:rsidRPr="00F575EE" w:rsidRDefault="009577E3" w:rsidP="009577E3">
      <w:pPr>
        <w:pStyle w:val="Text1"/>
      </w:pPr>
      <w:r w:rsidRPr="00F575EE">
        <w:t>Междуинституционално досие: 2008/0140 (CNS)</w:t>
      </w:r>
    </w:p>
    <w:p w:rsidR="009577E3" w:rsidRPr="00F575EE" w:rsidRDefault="009577E3" w:rsidP="000F687D">
      <w:pPr>
        <w:pStyle w:val="DashEqual1"/>
      </w:pPr>
      <w:r w:rsidRPr="00F575EE">
        <w:t>Доклад за напредъка</w:t>
      </w:r>
    </w:p>
    <w:p w:rsidR="002A7FD1" w:rsidRPr="00F575EE" w:rsidRDefault="00740E0A" w:rsidP="000F687D">
      <w:pPr>
        <w:pStyle w:val="Text3"/>
        <w:spacing w:after="240"/>
      </w:pPr>
      <w:r w:rsidRPr="00F575EE">
        <w:t>11531/08 SOC 411 JAI 368 MI 246</w:t>
      </w:r>
    </w:p>
    <w:p w:rsidR="009577E3" w:rsidRPr="00F575EE" w:rsidRDefault="002A7FD1" w:rsidP="002A7FD1">
      <w:pPr>
        <w:rPr>
          <w:b/>
          <w:bCs/>
          <w:i/>
          <w:iCs/>
          <w:color w:val="000000"/>
        </w:rPr>
      </w:pPr>
      <w:r w:rsidRPr="00F575EE">
        <w:br w:type="page"/>
      </w:r>
      <w:r w:rsidRPr="00F575EE">
        <w:rPr>
          <w:b/>
          <w:bCs/>
          <w:u w:val="single"/>
        </w:rPr>
        <w:t>Незаконодателни дейности</w:t>
      </w:r>
    </w:p>
    <w:p w:rsidR="009577E3" w:rsidRPr="00F575EE" w:rsidRDefault="009577E3" w:rsidP="009577E3">
      <w:pPr>
        <w:rPr>
          <w:b/>
          <w:bCs/>
        </w:rPr>
      </w:pPr>
      <w:r w:rsidRPr="00F575EE">
        <w:rPr>
          <w:b/>
          <w:bCs/>
        </w:rPr>
        <w:t>(открит дебат съгласно член 8, параграф 2 от Процедурния правилник на Съвета</w:t>
      </w:r>
    </w:p>
    <w:p w:rsidR="009577E3" w:rsidRPr="00F575EE" w:rsidRDefault="009577E3" w:rsidP="000B7A36">
      <w:pPr>
        <w:spacing w:after="240"/>
        <w:rPr>
          <w:bCs/>
          <w:iCs/>
          <w:color w:val="000000"/>
        </w:rPr>
      </w:pPr>
      <w:bookmarkStart w:id="2" w:name="DQCErrorScope83efa3a295ba4c15ad9d2c501d9"/>
      <w:r w:rsidRPr="00F575EE">
        <w:rPr>
          <w:b/>
          <w:color w:val="000000"/>
        </w:rPr>
        <w:t>[по предложение на председателството] по точки 8, 9, 11, 12 и 13)</w:t>
      </w:r>
    </w:p>
    <w:bookmarkEnd w:id="2"/>
    <w:p w:rsidR="009577E3" w:rsidRPr="00F575EE" w:rsidRDefault="009577E3" w:rsidP="009577E3">
      <w:pPr>
        <w:pStyle w:val="PointManual"/>
      </w:pPr>
      <w:r w:rsidRPr="00F575EE">
        <w:t>8.</w:t>
      </w:r>
      <w:r w:rsidRPr="00F575EE">
        <w:tab/>
        <w:t>Европейски семестър през 2016 г.: Принос за заседанието на Европейския съвет (Брюксел, 28—29 юни 2016 г.)</w:t>
      </w:r>
    </w:p>
    <w:p w:rsidR="009577E3" w:rsidRPr="00F575EE" w:rsidRDefault="009577E3" w:rsidP="009577E3">
      <w:pPr>
        <w:pStyle w:val="DashEqual1"/>
      </w:pPr>
      <w:r w:rsidRPr="00F575EE">
        <w:t>Ориентационен дебат</w:t>
      </w:r>
    </w:p>
    <w:p w:rsidR="009577E3" w:rsidRPr="00F575EE" w:rsidRDefault="009577E3" w:rsidP="009457F2">
      <w:pPr>
        <w:pStyle w:val="PointManual1"/>
        <w:spacing w:before="200"/>
        <w:rPr>
          <w:rFonts w:eastAsia="Calibri"/>
        </w:rPr>
      </w:pPr>
      <w:r w:rsidRPr="00F575EE">
        <w:t>а)</w:t>
      </w:r>
      <w:r w:rsidRPr="00F575EE">
        <w:tab/>
        <w:t>Проект за препоръки на Съвета относно националните програми за реформи за 2015 г. към всяка държава членка и проект за обяснителна бележка</w:t>
      </w:r>
    </w:p>
    <w:p w:rsidR="009577E3" w:rsidRPr="00F575EE" w:rsidRDefault="009577E3" w:rsidP="000B7A36">
      <w:pPr>
        <w:pStyle w:val="DashEqual2"/>
        <w:numPr>
          <w:ilvl w:val="0"/>
          <w:numId w:val="21"/>
        </w:numPr>
      </w:pPr>
      <w:r w:rsidRPr="00F575EE">
        <w:t>Одобряване</w:t>
      </w:r>
    </w:p>
    <w:p w:rsidR="009577E3" w:rsidRPr="00F575EE" w:rsidRDefault="009577E3" w:rsidP="009457F2">
      <w:pPr>
        <w:pStyle w:val="PointManual1"/>
        <w:spacing w:before="200"/>
        <w:rPr>
          <w:rFonts w:eastAsia="Calibri"/>
        </w:rPr>
      </w:pPr>
      <w:r w:rsidRPr="00F575EE">
        <w:t>б)</w:t>
      </w:r>
      <w:r w:rsidRPr="00F575EE">
        <w:tab/>
        <w:t>Оценка на специфичните за всяка държава препоръки за 2016 г. и на изпълнението на специфичните за всяка държава препоръки за 2015 г.</w:t>
      </w:r>
    </w:p>
    <w:p w:rsidR="002020E3" w:rsidRPr="00F575EE" w:rsidRDefault="009577E3" w:rsidP="0030311D">
      <w:pPr>
        <w:pStyle w:val="DashEqual2"/>
        <w:spacing w:after="240"/>
      </w:pPr>
      <w:r w:rsidRPr="00F575EE">
        <w:t>Одобряване на становищата на Комитета по заетостта и Комитета за социална закрила</w:t>
      </w:r>
    </w:p>
    <w:p w:rsidR="009577E3" w:rsidRPr="00F575EE" w:rsidRDefault="009577E3" w:rsidP="002020E3">
      <w:pPr>
        <w:pStyle w:val="PointManual"/>
        <w:spacing w:before="360"/>
      </w:pPr>
      <w:r w:rsidRPr="00F575EE">
        <w:t>9.</w:t>
      </w:r>
      <w:r w:rsidRPr="00F575EE">
        <w:tab/>
        <w:t>(евентуално) Пакет за уменията</w:t>
      </w:r>
    </w:p>
    <w:p w:rsidR="0030311D" w:rsidRPr="00F575EE" w:rsidRDefault="009577E3" w:rsidP="002020E3">
      <w:pPr>
        <w:pStyle w:val="DashEqual1"/>
        <w:spacing w:after="240"/>
      </w:pPr>
      <w:r w:rsidRPr="00F575EE">
        <w:t>Представяне от Комисията</w:t>
      </w:r>
    </w:p>
    <w:p w:rsidR="009577E3" w:rsidRPr="00F575EE" w:rsidRDefault="009577E3" w:rsidP="00913510">
      <w:pPr>
        <w:pStyle w:val="PointManual"/>
        <w:rPr>
          <w:b/>
          <w:bCs/>
        </w:rPr>
      </w:pPr>
      <w:r w:rsidRPr="00F575EE">
        <w:t>10.</w:t>
      </w:r>
      <w:r w:rsidRPr="00F575EE">
        <w:tab/>
        <w:t xml:space="preserve">(евентуално) Предложение за директива на Съвета за изпълнение на споразумението, сключено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 на 21 май 2012 г., изменено на 8 май 2013 г., във връзка с изпълнението на Конвенцията относно условията на труд в сектора на риболова от 2007 г. на Международната организация на труда </w:t>
      </w:r>
      <w:r w:rsidRPr="00F575EE">
        <w:rPr>
          <w:b/>
          <w:bCs/>
        </w:rPr>
        <w:t>(*)</w:t>
      </w:r>
    </w:p>
    <w:p w:rsidR="00760B3A" w:rsidRPr="00F575EE" w:rsidRDefault="00760B3A" w:rsidP="00DC3767">
      <w:pPr>
        <w:pStyle w:val="Text1"/>
        <w:rPr>
          <w:b/>
          <w:bCs/>
        </w:rPr>
      </w:pPr>
      <w:bookmarkStart w:id="3" w:name="DQCErrorScope9cd4b27e43a04e7197cc8820b7d"/>
      <w:r w:rsidRPr="00F575EE">
        <w:t>(правно основание, предложено от Комисията: член 155, параграф 2 от ДФЕС)</w:t>
      </w:r>
    </w:p>
    <w:bookmarkEnd w:id="3"/>
    <w:p w:rsidR="000E3EAF" w:rsidRPr="00F575EE" w:rsidRDefault="009577E3" w:rsidP="000E3EAF">
      <w:pPr>
        <w:pStyle w:val="DashEqual1"/>
      </w:pPr>
      <w:r w:rsidRPr="00F575EE">
        <w:t>Политическо споразумение/Доклад за напредъка</w:t>
      </w:r>
    </w:p>
    <w:p w:rsidR="000E3EAF" w:rsidRPr="00F575EE" w:rsidRDefault="000E3EAF" w:rsidP="00CD6F99">
      <w:pPr>
        <w:pStyle w:val="Text2"/>
      </w:pPr>
      <w:r w:rsidRPr="00F575EE">
        <w:t xml:space="preserve">(открито обсъждане съгласно член 8, параграф 1 от Процедурния правилник на Съвета </w:t>
      </w:r>
      <w:r w:rsidRPr="00F575EE">
        <w:rPr>
          <w:bCs/>
          <w:iCs/>
          <w:color w:val="000000"/>
        </w:rPr>
        <w:t>[по предложение на председателството])</w:t>
      </w:r>
    </w:p>
    <w:p w:rsidR="00740E0A" w:rsidRPr="00F575EE" w:rsidRDefault="00740E0A" w:rsidP="000F687D">
      <w:pPr>
        <w:pStyle w:val="Text3"/>
      </w:pPr>
      <w:r w:rsidRPr="00F575EE">
        <w:t>8535/16 SOC 214 EMPL 131 PECHE 150</w:t>
      </w:r>
    </w:p>
    <w:p w:rsidR="00740E0A" w:rsidRPr="00F575EE" w:rsidRDefault="004145D1" w:rsidP="000F687D">
      <w:pPr>
        <w:pStyle w:val="Text4"/>
        <w:spacing w:after="240"/>
      </w:pPr>
      <w:r w:rsidRPr="00F575EE">
        <w:t>+ ADD 3</w:t>
      </w:r>
    </w:p>
    <w:p w:rsidR="009577E3" w:rsidRPr="00F575EE" w:rsidRDefault="009577E3" w:rsidP="009577E3">
      <w:pPr>
        <w:pStyle w:val="PointManual"/>
      </w:pPr>
      <w:r w:rsidRPr="00F575EE">
        <w:t>11.</w:t>
      </w:r>
      <w:r w:rsidRPr="00F575EE">
        <w:tab/>
        <w:t>Проект за заключения на Съвета относно борбата с бедността и социалното изключване: Интегриран подход</w:t>
      </w:r>
    </w:p>
    <w:p w:rsidR="009577E3" w:rsidRPr="00F575EE" w:rsidRDefault="009577E3" w:rsidP="00913510">
      <w:pPr>
        <w:pStyle w:val="DashEqual1"/>
        <w:spacing w:after="240"/>
      </w:pPr>
      <w:r w:rsidRPr="00F575EE">
        <w:t>Приемане</w:t>
      </w:r>
    </w:p>
    <w:p w:rsidR="009577E3" w:rsidRPr="00F575EE" w:rsidRDefault="009577E3" w:rsidP="009577E3">
      <w:pPr>
        <w:pStyle w:val="PointManual"/>
      </w:pPr>
      <w:r w:rsidRPr="00F575EE">
        <w:t>12.</w:t>
      </w:r>
      <w:r w:rsidRPr="00F575EE">
        <w:tab/>
        <w:t>Проект за заключения на Съвета относно ново начало за силен социален диалог</w:t>
      </w:r>
    </w:p>
    <w:p w:rsidR="00D874D7" w:rsidRPr="00F575EE" w:rsidRDefault="009577E3" w:rsidP="00913510">
      <w:pPr>
        <w:pStyle w:val="DashEqual1"/>
        <w:spacing w:after="240"/>
      </w:pPr>
      <w:r w:rsidRPr="00F575EE">
        <w:t>Приемане</w:t>
      </w:r>
    </w:p>
    <w:p w:rsidR="009577E3" w:rsidRPr="00F575EE" w:rsidRDefault="00D874D7" w:rsidP="00D874D7">
      <w:pPr>
        <w:pStyle w:val="PointManual"/>
        <w:spacing w:before="240"/>
      </w:pPr>
      <w:r w:rsidRPr="00F575EE">
        <w:br w:type="page"/>
        <w:t>13.</w:t>
      </w:r>
      <w:r w:rsidRPr="00F575EE">
        <w:tab/>
        <w:t>Равнопоставеност</w:t>
      </w:r>
    </w:p>
    <w:p w:rsidR="009577E3" w:rsidRPr="00F575EE" w:rsidRDefault="009577E3" w:rsidP="00913510">
      <w:pPr>
        <w:pStyle w:val="PointManual1"/>
        <w:spacing w:before="200"/>
      </w:pPr>
      <w:r w:rsidRPr="00F575EE">
        <w:t>а)</w:t>
      </w:r>
      <w:r w:rsidRPr="00F575EE">
        <w:tab/>
        <w:t>Проект за заключения на Съвета: Отговор на стратегическия ангажимент на Комисията за равенство между половете</w:t>
      </w:r>
    </w:p>
    <w:p w:rsidR="009577E3" w:rsidRPr="00F575EE" w:rsidRDefault="009577E3" w:rsidP="00913510">
      <w:pPr>
        <w:pStyle w:val="PointManual1"/>
        <w:spacing w:before="200"/>
      </w:pPr>
      <w:r w:rsidRPr="00F575EE">
        <w:t>б)</w:t>
      </w:r>
      <w:r w:rsidRPr="00F575EE">
        <w:tab/>
        <w:t>Проект за заключения на Съвета: Ответни действия по списъка на Комисията за постигане на напредък по отношение на равнопоставеността на ЛГБТИ</w:t>
      </w:r>
    </w:p>
    <w:p w:rsidR="002A7FD1" w:rsidRPr="00F575EE" w:rsidRDefault="009577E3" w:rsidP="00A05C7B">
      <w:pPr>
        <w:pStyle w:val="DashEqual1"/>
        <w:spacing w:before="120" w:after="240"/>
      </w:pPr>
      <w:r w:rsidRPr="00F575EE">
        <w:t>Приемане</w:t>
      </w:r>
    </w:p>
    <w:p w:rsidR="009577E3" w:rsidRPr="00F575EE" w:rsidRDefault="009577E3" w:rsidP="00D874D7">
      <w:pPr>
        <w:spacing w:before="240"/>
        <w:rPr>
          <w:b/>
          <w:iCs/>
          <w:color w:val="000000"/>
          <w:u w:val="single"/>
        </w:rPr>
      </w:pPr>
      <w:r w:rsidRPr="00F575EE">
        <w:rPr>
          <w:b/>
          <w:iCs/>
          <w:color w:val="000000"/>
          <w:u w:val="single"/>
        </w:rPr>
        <w:t>Други въпроси</w:t>
      </w:r>
    </w:p>
    <w:p w:rsidR="009577E3" w:rsidRPr="00F575EE" w:rsidRDefault="009577E3" w:rsidP="00A05C7B">
      <w:pPr>
        <w:pStyle w:val="PointDoubleManual"/>
        <w:rPr>
          <w:bCs/>
        </w:rPr>
      </w:pPr>
      <w:r w:rsidRPr="00F575EE">
        <w:t>14.</w:t>
      </w:r>
      <w:r w:rsidRPr="00F575EE">
        <w:tab/>
        <w:t>а)</w:t>
      </w:r>
      <w:r w:rsidRPr="00F575EE">
        <w:tab/>
        <w:t>Международно измерение на политиките по заетостта и социалните политики</w:t>
      </w:r>
    </w:p>
    <w:p w:rsidR="009577E3" w:rsidRPr="00F575EE" w:rsidRDefault="009577E3" w:rsidP="00A05C7B">
      <w:pPr>
        <w:pStyle w:val="DashEqual2"/>
      </w:pPr>
      <w:r w:rsidRPr="00F575EE">
        <w:t>Информация от Комисията</w:t>
      </w:r>
    </w:p>
    <w:p w:rsidR="009577E3" w:rsidRPr="00F575EE" w:rsidRDefault="00A05C7B" w:rsidP="00A05C7B">
      <w:pPr>
        <w:pStyle w:val="PointManual1"/>
        <w:spacing w:before="200"/>
      </w:pPr>
      <w:r w:rsidRPr="00F575EE">
        <w:t>б)</w:t>
      </w:r>
      <w:r w:rsidRPr="00F575EE">
        <w:tab/>
        <w:t>Последващи действия във връзка със заседанието на Комисията за положението на жените</w:t>
      </w:r>
    </w:p>
    <w:p w:rsidR="009577E3" w:rsidRPr="00F575EE" w:rsidRDefault="009577E3" w:rsidP="00A05C7B">
      <w:pPr>
        <w:pStyle w:val="DashEqual2"/>
      </w:pPr>
      <w:r w:rsidRPr="00F575EE">
        <w:t>Информация от Комисията</w:t>
      </w:r>
    </w:p>
    <w:p w:rsidR="009577E3" w:rsidRPr="00F575EE" w:rsidRDefault="00A05C7B" w:rsidP="00A05C7B">
      <w:pPr>
        <w:pStyle w:val="PointManual1"/>
        <w:spacing w:before="200"/>
      </w:pPr>
      <w:r w:rsidRPr="00F575EE">
        <w:t>в)</w:t>
      </w:r>
      <w:r w:rsidRPr="00F575EE">
        <w:tab/>
        <w:t>Работна програма на предстоящото председателство</w:t>
      </w:r>
    </w:p>
    <w:p w:rsidR="009577E3" w:rsidRPr="00F575EE" w:rsidRDefault="009577E3" w:rsidP="00A05C7B">
      <w:pPr>
        <w:pStyle w:val="DashEqual2"/>
      </w:pPr>
      <w:r w:rsidRPr="00F575EE">
        <w:t>Информация от делегацията на Словакия</w:t>
      </w:r>
    </w:p>
    <w:p w:rsidR="009577E3" w:rsidRPr="00F575EE" w:rsidRDefault="009577E3" w:rsidP="0051484B">
      <w:pPr>
        <w:spacing w:after="240" w:line="240" w:lineRule="exact"/>
        <w:rPr>
          <w:b/>
          <w:u w:val="single"/>
        </w:rPr>
      </w:pPr>
      <w:r w:rsidRPr="00F575EE">
        <w:br w:type="page"/>
      </w:r>
      <w:r w:rsidRPr="00F575EE">
        <w:rPr>
          <w:b/>
          <w:u w:val="single"/>
        </w:rPr>
        <w:t>ЗАСЕДАНИЕ НА 17 ЮНИ 2016 г., ПЕТЪК (10,00 ч.)</w:t>
      </w:r>
    </w:p>
    <w:p w:rsidR="009577E3" w:rsidRPr="00F575EE" w:rsidRDefault="009577E3" w:rsidP="0051484B">
      <w:pPr>
        <w:spacing w:after="240" w:line="240" w:lineRule="exact"/>
        <w:outlineLvl w:val="0"/>
        <w:rPr>
          <w:b/>
          <w:caps/>
          <w:u w:val="single"/>
        </w:rPr>
      </w:pPr>
      <w:r w:rsidRPr="00F575EE">
        <w:rPr>
          <w:b/>
          <w:caps/>
          <w:u w:val="single"/>
        </w:rPr>
        <w:t>ЗДРАВЕОПАЗВАНЕ</w:t>
      </w:r>
    </w:p>
    <w:p w:rsidR="009577E3" w:rsidRPr="00F575EE" w:rsidRDefault="009577E3" w:rsidP="0051484B">
      <w:pPr>
        <w:spacing w:line="240" w:lineRule="exact"/>
        <w:rPr>
          <w:b/>
          <w:iCs/>
          <w:color w:val="000000"/>
          <w:u w:val="single"/>
        </w:rPr>
      </w:pPr>
      <w:bookmarkStart w:id="4" w:name="DQCErrorScope16a4994973a84f62883efa12ea2"/>
      <w:r w:rsidRPr="00F575EE">
        <w:rPr>
          <w:b/>
          <w:iCs/>
          <w:color w:val="000000"/>
          <w:u w:val="single"/>
        </w:rPr>
        <w:t>Незаконодателни дейности</w:t>
      </w:r>
    </w:p>
    <w:p w:rsidR="009577E3" w:rsidRPr="00F575EE" w:rsidRDefault="009577E3" w:rsidP="0051484B">
      <w:pPr>
        <w:spacing w:line="240" w:lineRule="exact"/>
        <w:rPr>
          <w:b/>
          <w:iCs/>
          <w:color w:val="000000"/>
        </w:rPr>
      </w:pPr>
      <w:bookmarkStart w:id="5" w:name="DQCErrorScope3863aa4a071f4a95ab3f86ad9a8"/>
      <w:bookmarkEnd w:id="4"/>
      <w:r w:rsidRPr="00F575EE">
        <w:rPr>
          <w:b/>
          <w:iCs/>
          <w:color w:val="000000"/>
        </w:rPr>
        <w:t>(открит дебат съгласно член 8, параграф 2 от Процедурния правилник на Съвета)</w:t>
      </w:r>
    </w:p>
    <w:p w:rsidR="009577E3" w:rsidRPr="00F575EE" w:rsidRDefault="009577E3" w:rsidP="0051484B">
      <w:pPr>
        <w:spacing w:after="240" w:line="240" w:lineRule="exact"/>
        <w:rPr>
          <w:bCs/>
          <w:iCs/>
          <w:color w:val="000000"/>
        </w:rPr>
      </w:pPr>
      <w:bookmarkStart w:id="6" w:name="DQCErrorScoped40a45d55bec40c8878abe7fb2d"/>
      <w:bookmarkEnd w:id="5"/>
      <w:r w:rsidRPr="00F575EE">
        <w:rPr>
          <w:b/>
          <w:iCs/>
          <w:color w:val="000000"/>
        </w:rPr>
        <w:t>[по предложение на председателството] по точки 15—17)</w:t>
      </w:r>
    </w:p>
    <w:bookmarkEnd w:id="6"/>
    <w:p w:rsidR="009577E3" w:rsidRPr="00F575EE" w:rsidRDefault="009577E3" w:rsidP="0051484B">
      <w:pPr>
        <w:pStyle w:val="PointManual"/>
        <w:spacing w:line="240" w:lineRule="exact"/>
      </w:pPr>
      <w:r w:rsidRPr="00F575EE">
        <w:t>15.</w:t>
      </w:r>
      <w:r w:rsidRPr="00F575EE">
        <w:tab/>
        <w:t>Проект за заключения на Съвета относно подобряването на хранителните продукти</w:t>
      </w:r>
    </w:p>
    <w:p w:rsidR="009577E3" w:rsidRPr="00F575EE" w:rsidRDefault="009577E3" w:rsidP="0051484B">
      <w:pPr>
        <w:pStyle w:val="DashEqual1"/>
        <w:spacing w:after="240" w:line="240" w:lineRule="exact"/>
      </w:pPr>
      <w:r w:rsidRPr="00F575EE">
        <w:t>Приемане</w:t>
      </w:r>
    </w:p>
    <w:p w:rsidR="009577E3" w:rsidRPr="00F575EE" w:rsidRDefault="00A05C7B" w:rsidP="0051484B">
      <w:pPr>
        <w:pStyle w:val="PointManual"/>
        <w:spacing w:line="240" w:lineRule="exact"/>
      </w:pPr>
      <w:r w:rsidRPr="00F575EE">
        <w:t>16.</w:t>
      </w:r>
      <w:r w:rsidRPr="00F575EE">
        <w:tab/>
        <w:t>Проект за заключения на Съвета относно следващите стъпки в рамките на подход „Едно здраве“ за борба с антимикробната резистентност</w:t>
      </w:r>
    </w:p>
    <w:p w:rsidR="009577E3" w:rsidRPr="00F575EE" w:rsidRDefault="009577E3" w:rsidP="0051484B">
      <w:pPr>
        <w:pStyle w:val="DashEqual1"/>
        <w:spacing w:after="240" w:line="240" w:lineRule="exact"/>
      </w:pPr>
      <w:r w:rsidRPr="00F575EE">
        <w:t>Приемане</w:t>
      </w:r>
    </w:p>
    <w:p w:rsidR="009577E3" w:rsidRPr="00F575EE" w:rsidRDefault="00A05C7B" w:rsidP="0051484B">
      <w:pPr>
        <w:pStyle w:val="PointManual"/>
        <w:spacing w:line="240" w:lineRule="exact"/>
      </w:pPr>
      <w:r w:rsidRPr="00F575EE">
        <w:t>17.</w:t>
      </w:r>
      <w:r w:rsidRPr="00F575EE">
        <w:tab/>
        <w:t>Проект за заключения на Съвета относно укрепването на баланса във фармацевтичната система в ЕС и неговите държави членки</w:t>
      </w:r>
    </w:p>
    <w:p w:rsidR="006C0757" w:rsidRPr="00F575EE" w:rsidRDefault="009577E3" w:rsidP="0051484B">
      <w:pPr>
        <w:pStyle w:val="DashEqual1"/>
        <w:spacing w:after="240" w:line="240" w:lineRule="exact"/>
      </w:pPr>
      <w:r w:rsidRPr="00F575EE">
        <w:t>Приемане</w:t>
      </w:r>
    </w:p>
    <w:p w:rsidR="009577E3" w:rsidRPr="00F575EE" w:rsidRDefault="009577E3" w:rsidP="0051484B">
      <w:pPr>
        <w:widowControl w:val="0"/>
        <w:tabs>
          <w:tab w:val="left" w:pos="567"/>
        </w:tabs>
        <w:spacing w:before="240" w:line="240" w:lineRule="exact"/>
        <w:rPr>
          <w:b/>
          <w:iCs/>
          <w:color w:val="000000"/>
          <w:u w:val="single"/>
        </w:rPr>
      </w:pPr>
      <w:r w:rsidRPr="00F575EE">
        <w:rPr>
          <w:b/>
          <w:iCs/>
          <w:color w:val="000000"/>
          <w:u w:val="single"/>
        </w:rPr>
        <w:t>Други въпроси</w:t>
      </w:r>
    </w:p>
    <w:p w:rsidR="009577E3" w:rsidRPr="00F575EE" w:rsidRDefault="009577E3" w:rsidP="0051484B">
      <w:pPr>
        <w:pStyle w:val="PointDoubleManual"/>
        <w:spacing w:line="240" w:lineRule="exact"/>
      </w:pPr>
      <w:r w:rsidRPr="00F575EE">
        <w:t>18.</w:t>
      </w:r>
      <w:r w:rsidRPr="00F575EE">
        <w:tab/>
        <w:t>а)</w:t>
      </w:r>
      <w:r w:rsidRPr="00F575EE">
        <w:tab/>
        <w:t>Законодателно предложение в процес на обсъждане</w:t>
      </w:r>
    </w:p>
    <w:p w:rsidR="009577E3" w:rsidRPr="00F575EE" w:rsidRDefault="009577E3" w:rsidP="0051484B">
      <w:pPr>
        <w:pStyle w:val="Text2"/>
        <w:spacing w:line="240" w:lineRule="exact"/>
      </w:pPr>
      <w:bookmarkStart w:id="7" w:name="DQCErrorScope0cc64c1e6e1849efa92c8c927f2"/>
      <w:r w:rsidRPr="00F575EE">
        <w:t>(открито обсъждане съгласно член 16, параграф 8 от Договора за Европейския съюз)</w:t>
      </w:r>
    </w:p>
    <w:bookmarkEnd w:id="7"/>
    <w:p w:rsidR="009577E3" w:rsidRPr="00F575EE" w:rsidRDefault="009577E3" w:rsidP="0051484B">
      <w:pPr>
        <w:pStyle w:val="Bullet2"/>
        <w:numPr>
          <w:ilvl w:val="0"/>
          <w:numId w:val="22"/>
        </w:numPr>
        <w:spacing w:before="120" w:line="240" w:lineRule="exact"/>
      </w:pPr>
      <w:r w:rsidRPr="00F575EE">
        <w:t xml:space="preserve">Предложение за регламент на Европейския парламент и на Съвета за медицинските изделия и за изменение на Директива 2001/83/ЕО, Регламент (ЕО) № 178/2002 и Регламент (ЕО) № 1223/2009 </w:t>
      </w:r>
      <w:r w:rsidRPr="00F575EE">
        <w:rPr>
          <w:b/>
          <w:bCs/>
        </w:rPr>
        <w:t>(първо четене)</w:t>
      </w:r>
    </w:p>
    <w:p w:rsidR="009577E3" w:rsidRPr="00F575EE" w:rsidRDefault="009577E3" w:rsidP="0051484B">
      <w:pPr>
        <w:pStyle w:val="Text3"/>
        <w:spacing w:line="240" w:lineRule="exact"/>
      </w:pPr>
      <w:r w:rsidRPr="00F575EE">
        <w:t>Междуинституционално досие: 2012/0266 (COD)</w:t>
      </w:r>
    </w:p>
    <w:p w:rsidR="009577E3" w:rsidRPr="00F575EE" w:rsidRDefault="009577E3" w:rsidP="0051484B">
      <w:pPr>
        <w:pStyle w:val="Text3"/>
        <w:spacing w:line="240" w:lineRule="exact"/>
      </w:pPr>
      <w:r w:rsidRPr="00F575EE">
        <w:t>и</w:t>
      </w:r>
    </w:p>
    <w:p w:rsidR="009577E3" w:rsidRPr="00F575EE" w:rsidRDefault="009577E3" w:rsidP="0051484B">
      <w:pPr>
        <w:pStyle w:val="Text3"/>
        <w:spacing w:line="240" w:lineRule="exact"/>
      </w:pPr>
      <w:r w:rsidRPr="00F575EE">
        <w:t xml:space="preserve">Предложение за регламент на Европейския парламент и на Съвета относно ин витро диагностичните медицински изделия </w:t>
      </w:r>
      <w:r w:rsidRPr="00F575EE">
        <w:rPr>
          <w:b/>
          <w:bCs/>
        </w:rPr>
        <w:t>(първо четене)</w:t>
      </w:r>
    </w:p>
    <w:p w:rsidR="009577E3" w:rsidRPr="00F575EE" w:rsidRDefault="009577E3" w:rsidP="0051484B">
      <w:pPr>
        <w:pStyle w:val="Text3"/>
        <w:spacing w:line="240" w:lineRule="exact"/>
      </w:pPr>
      <w:r w:rsidRPr="00F575EE">
        <w:t>Междуинституционално досие: 2012/0267 (COD)</w:t>
      </w:r>
    </w:p>
    <w:p w:rsidR="009577E3" w:rsidRPr="00F575EE" w:rsidRDefault="009577E3" w:rsidP="0051484B">
      <w:pPr>
        <w:pStyle w:val="DashEqual3"/>
        <w:numPr>
          <w:ilvl w:val="0"/>
          <w:numId w:val="23"/>
        </w:numPr>
        <w:spacing w:line="240" w:lineRule="exact"/>
      </w:pPr>
      <w:r w:rsidRPr="00F575EE">
        <w:t>Информация от председателството</w:t>
      </w:r>
    </w:p>
    <w:p w:rsidR="00CD6F99" w:rsidRPr="00F575EE" w:rsidRDefault="005D01F5" w:rsidP="0051484B">
      <w:pPr>
        <w:pStyle w:val="Text3"/>
        <w:spacing w:line="240" w:lineRule="exact"/>
      </w:pPr>
      <w:r w:rsidRPr="00F575EE">
        <w:t>14493/12 PHARM 71 SAN 215 MI 597 COMPET 600 CODEC 2305</w:t>
      </w:r>
    </w:p>
    <w:p w:rsidR="005D01F5" w:rsidRPr="00F575EE" w:rsidRDefault="005D01F5" w:rsidP="0051484B">
      <w:pPr>
        <w:pStyle w:val="Text4"/>
        <w:spacing w:line="240" w:lineRule="exact"/>
      </w:pPr>
      <w:r w:rsidRPr="00F575EE">
        <w:t>+ COR 1</w:t>
      </w:r>
    </w:p>
    <w:p w:rsidR="00CD6F99" w:rsidRPr="00F575EE" w:rsidRDefault="005D01F5" w:rsidP="0051484B">
      <w:pPr>
        <w:pStyle w:val="Text3"/>
        <w:spacing w:line="240" w:lineRule="exact"/>
      </w:pPr>
      <w:r w:rsidRPr="00F575EE">
        <w:t>14499/12 PHARM 72 SAN 216 MI 598 COMPET 599 CODEC 2312</w:t>
      </w:r>
    </w:p>
    <w:p w:rsidR="005D01F5" w:rsidRPr="00F575EE" w:rsidRDefault="005D01F5" w:rsidP="0051484B">
      <w:pPr>
        <w:pStyle w:val="Text4"/>
        <w:spacing w:line="240" w:lineRule="exact"/>
      </w:pPr>
      <w:r w:rsidRPr="00F575EE">
        <w:t>+ COR 1</w:t>
      </w:r>
    </w:p>
    <w:p w:rsidR="009577E3" w:rsidRPr="00F575EE" w:rsidRDefault="009577E3" w:rsidP="0051484B">
      <w:pPr>
        <w:pStyle w:val="PointManual1"/>
        <w:spacing w:before="200" w:line="240" w:lineRule="exact"/>
      </w:pPr>
      <w:r w:rsidRPr="00F575EE">
        <w:t>б)</w:t>
      </w:r>
      <w:r w:rsidRPr="00F575EE">
        <w:tab/>
        <w:t>Регламент (ЕС) № 609/2013 на Европейския парламент и на Съвета от 12 юни 2013 г.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</w:t>
      </w:r>
    </w:p>
    <w:p w:rsidR="009577E3" w:rsidRPr="00F575EE" w:rsidRDefault="009577E3" w:rsidP="0051484B">
      <w:pPr>
        <w:pStyle w:val="PointManual2"/>
        <w:spacing w:before="120" w:line="240" w:lineRule="exact"/>
      </w:pPr>
      <w:r w:rsidRPr="00F575EE">
        <w:t>i)</w:t>
      </w:r>
      <w:r w:rsidRPr="00F575EE">
        <w:tab/>
        <w:t>Доклад на Комисията относно напитките на млечна основа и подобни продукти, предназначени за малки деца</w:t>
      </w:r>
    </w:p>
    <w:p w:rsidR="00F85271" w:rsidRPr="00F575EE" w:rsidRDefault="00F85271" w:rsidP="0051484B">
      <w:pPr>
        <w:pStyle w:val="Text3"/>
        <w:spacing w:line="240" w:lineRule="exact"/>
      </w:pPr>
      <w:r w:rsidRPr="00F575EE">
        <w:t>7489/16 DENLEG 24 AGRI 158</w:t>
      </w:r>
    </w:p>
    <w:p w:rsidR="009577E3" w:rsidRPr="00F575EE" w:rsidRDefault="009577E3" w:rsidP="0051484B">
      <w:pPr>
        <w:pStyle w:val="PointManual2"/>
        <w:spacing w:before="120" w:line="240" w:lineRule="exact"/>
      </w:pPr>
      <w:r w:rsidRPr="00F575EE">
        <w:t>ii)</w:t>
      </w:r>
      <w:r w:rsidRPr="00F575EE">
        <w:tab/>
        <w:t>(евентуално) Доклад на Комисията относно храните, предназначени за спортисти</w:t>
      </w:r>
    </w:p>
    <w:p w:rsidR="009577E3" w:rsidRPr="00F575EE" w:rsidRDefault="00D04DEB" w:rsidP="0051484B">
      <w:pPr>
        <w:pStyle w:val="DashEqual2"/>
        <w:spacing w:before="120" w:line="240" w:lineRule="exact"/>
        <w:rPr>
          <w:bCs/>
        </w:rPr>
      </w:pPr>
      <w:r w:rsidRPr="00F575EE">
        <w:t>Представяне от Комисията</w:t>
      </w:r>
    </w:p>
    <w:p w:rsidR="009577E3" w:rsidRPr="00F575EE" w:rsidRDefault="00760B3A" w:rsidP="00671055">
      <w:pPr>
        <w:pStyle w:val="PointManual1"/>
        <w:spacing w:before="200"/>
      </w:pPr>
      <w:r w:rsidRPr="00F575EE">
        <w:br w:type="page"/>
        <w:t>в)</w:t>
      </w:r>
      <w:r w:rsidRPr="00F575EE">
        <w:tab/>
        <w:t>Стандартизация на здравните услуги</w:t>
      </w:r>
    </w:p>
    <w:p w:rsidR="009577E3" w:rsidRPr="00F575EE" w:rsidRDefault="009577E3" w:rsidP="00671055">
      <w:pPr>
        <w:pStyle w:val="DashEqual2"/>
      </w:pPr>
      <w:r w:rsidRPr="00F575EE">
        <w:t>Информация от делегацията на Полша</w:t>
      </w:r>
    </w:p>
    <w:p w:rsidR="00F85271" w:rsidRPr="00F575EE" w:rsidRDefault="00F85271" w:rsidP="000F687D">
      <w:pPr>
        <w:pStyle w:val="Text3"/>
      </w:pPr>
      <w:r w:rsidRPr="00F575EE">
        <w:t>9487/16 SAN 221</w:t>
      </w:r>
    </w:p>
    <w:p w:rsidR="009577E3" w:rsidRPr="00F575EE" w:rsidRDefault="009577E3" w:rsidP="000E5042">
      <w:pPr>
        <w:pStyle w:val="PointManual1"/>
        <w:spacing w:before="200"/>
      </w:pPr>
      <w:r w:rsidRPr="00F575EE">
        <w:t>г)</w:t>
      </w:r>
      <w:r w:rsidRPr="00F575EE">
        <w:tab/>
        <w:t>Избор на генерален секретар на СТО</w:t>
      </w:r>
    </w:p>
    <w:p w:rsidR="00671055" w:rsidRPr="00F575EE" w:rsidRDefault="009577E3" w:rsidP="00671055">
      <w:pPr>
        <w:pStyle w:val="DashEqual2"/>
      </w:pPr>
      <w:r w:rsidRPr="00F575EE">
        <w:t>Информация от делегацията на Франция</w:t>
      </w:r>
    </w:p>
    <w:p w:rsidR="00737F7A" w:rsidRPr="00F575EE" w:rsidRDefault="00737F7A" w:rsidP="007C18DF">
      <w:pPr>
        <w:pStyle w:val="PointDoubleManual1"/>
        <w:spacing w:before="200"/>
      </w:pPr>
      <w:r w:rsidRPr="00F575EE">
        <w:t>д)</w:t>
      </w:r>
      <w:r w:rsidRPr="00F575EE">
        <w:tab/>
        <w:t>Състояние на здравеопазването в ЕС</w:t>
      </w:r>
    </w:p>
    <w:p w:rsidR="00737F7A" w:rsidRPr="00F575EE" w:rsidRDefault="00737F7A" w:rsidP="00737F7A">
      <w:pPr>
        <w:pStyle w:val="DashEqual2"/>
      </w:pPr>
      <w:r w:rsidRPr="00F575EE">
        <w:t>Информация от Комисията</w:t>
      </w:r>
    </w:p>
    <w:p w:rsidR="00020FBC" w:rsidRPr="00F575EE" w:rsidRDefault="00020FBC" w:rsidP="00020FBC">
      <w:pPr>
        <w:pStyle w:val="Text3"/>
      </w:pPr>
      <w:r w:rsidRPr="00F575EE">
        <w:t>9589/16 SAN 226</w:t>
      </w:r>
    </w:p>
    <w:p w:rsidR="00020FBC" w:rsidRPr="00F575EE" w:rsidRDefault="009577E3" w:rsidP="00020FBC">
      <w:pPr>
        <w:pStyle w:val="PointDoubleManual1"/>
        <w:spacing w:before="200"/>
      </w:pPr>
      <w:r w:rsidRPr="00F575EE">
        <w:t>е)</w:t>
      </w:r>
      <w:r w:rsidRPr="00F575EE">
        <w:tab/>
        <w:t>Европейски фонд за стратегически инвестиции и План за инвестиции за Европа</w:t>
      </w:r>
    </w:p>
    <w:p w:rsidR="009577E3" w:rsidRPr="00F575EE" w:rsidRDefault="00737F7A" w:rsidP="000E5042">
      <w:pPr>
        <w:pStyle w:val="DashEqual2"/>
      </w:pPr>
      <w:r w:rsidRPr="00F575EE">
        <w:t>Информация от Комисията</w:t>
      </w:r>
    </w:p>
    <w:p w:rsidR="00020FBC" w:rsidRPr="00F575EE" w:rsidRDefault="00020FBC" w:rsidP="00020FBC">
      <w:pPr>
        <w:pStyle w:val="Text3"/>
      </w:pPr>
      <w:r w:rsidRPr="00F575EE">
        <w:t>9590/16 SAN 227</w:t>
      </w:r>
    </w:p>
    <w:p w:rsidR="00737F7A" w:rsidRPr="00F575EE" w:rsidRDefault="00737F7A" w:rsidP="00737F7A">
      <w:pPr>
        <w:pStyle w:val="PointManual1"/>
        <w:spacing w:before="200"/>
      </w:pPr>
      <w:r w:rsidRPr="00F575EE">
        <w:t>ж)</w:t>
      </w:r>
      <w:r w:rsidRPr="00F575EE">
        <w:tab/>
        <w:t>Подкрепа от страна на Комисията за ответните действия на държавите членки във връзка с вируса Зика</w:t>
      </w:r>
    </w:p>
    <w:p w:rsidR="00737F7A" w:rsidRPr="00F575EE" w:rsidRDefault="00737F7A" w:rsidP="00737F7A">
      <w:pPr>
        <w:pStyle w:val="DashEqual2"/>
      </w:pPr>
      <w:r w:rsidRPr="00F575EE">
        <w:t>Информация от Комисията</w:t>
      </w:r>
    </w:p>
    <w:p w:rsidR="00020FBC" w:rsidRPr="00F575EE" w:rsidRDefault="00020FBC" w:rsidP="00020FBC">
      <w:pPr>
        <w:pStyle w:val="Text3"/>
      </w:pPr>
      <w:r w:rsidRPr="00F575EE">
        <w:t>9593/16 SAN 228</w:t>
      </w:r>
    </w:p>
    <w:p w:rsidR="009577E3" w:rsidRPr="00F575EE" w:rsidRDefault="000E5042" w:rsidP="00737F7A">
      <w:pPr>
        <w:pStyle w:val="PointDoubleManual1"/>
        <w:spacing w:before="200"/>
      </w:pPr>
      <w:r w:rsidRPr="00F575EE">
        <w:t>з)</w:t>
      </w:r>
      <w:r w:rsidRPr="00F575EE">
        <w:tab/>
        <w:t>Оказване на помощ за държавите членки при използването на оценката на функционирането на системите за здравеопазване</w:t>
      </w:r>
    </w:p>
    <w:p w:rsidR="009577E3" w:rsidRPr="00F575EE" w:rsidRDefault="009577E3" w:rsidP="000E5042">
      <w:pPr>
        <w:pStyle w:val="DashEqual2"/>
      </w:pPr>
      <w:r w:rsidRPr="00F575EE">
        <w:t>Информация от Комисията</w:t>
      </w:r>
    </w:p>
    <w:p w:rsidR="00020FBC" w:rsidRPr="00F575EE" w:rsidRDefault="00020FBC" w:rsidP="00020FBC">
      <w:pPr>
        <w:pStyle w:val="Text3"/>
      </w:pPr>
      <w:r w:rsidRPr="00F575EE">
        <w:t>9597/16 SAN 229</w:t>
      </w:r>
    </w:p>
    <w:p w:rsidR="009577E3" w:rsidRPr="00F575EE" w:rsidRDefault="009577E3" w:rsidP="000E5042">
      <w:pPr>
        <w:pStyle w:val="PointDoubleManual1"/>
        <w:spacing w:before="200"/>
      </w:pPr>
      <w:r w:rsidRPr="00F575EE">
        <w:t>и)</w:t>
      </w:r>
      <w:r w:rsidRPr="00F575EE">
        <w:tab/>
        <w:t>Резултати от конференциите, организирани от нидерландското председателство</w:t>
      </w:r>
    </w:p>
    <w:p w:rsidR="009577E3" w:rsidRPr="00F575EE" w:rsidRDefault="009577E3" w:rsidP="000E5042">
      <w:pPr>
        <w:pStyle w:val="DashEqual2"/>
      </w:pPr>
      <w:r w:rsidRPr="00F575EE">
        <w:t>Информация от председателството</w:t>
      </w:r>
    </w:p>
    <w:p w:rsidR="009577E3" w:rsidRPr="00F575EE" w:rsidRDefault="009577E3" w:rsidP="000E5042">
      <w:pPr>
        <w:pStyle w:val="PointDoubleManual1"/>
        <w:spacing w:before="200"/>
      </w:pPr>
      <w:r w:rsidRPr="00F575EE">
        <w:t>й)</w:t>
      </w:r>
      <w:r w:rsidRPr="00F575EE">
        <w:tab/>
        <w:t>Работна програма на предстоящото председателство</w:t>
      </w:r>
    </w:p>
    <w:p w:rsidR="009577E3" w:rsidRPr="00F575EE" w:rsidRDefault="009577E3" w:rsidP="000E5042">
      <w:pPr>
        <w:pStyle w:val="DashEqual2"/>
        <w:rPr>
          <w:b/>
          <w:u w:val="single"/>
        </w:rPr>
      </w:pPr>
      <w:r w:rsidRPr="00F575EE">
        <w:t>Информация от делегацията на Словакия</w:t>
      </w:r>
    </w:p>
    <w:p w:rsidR="00B82056" w:rsidRPr="00F575EE" w:rsidRDefault="00B82056" w:rsidP="00B82056">
      <w:pPr>
        <w:spacing w:before="960"/>
      </w:pPr>
      <w:r w:rsidRPr="00F575EE">
        <w:t>____________________</w:t>
      </w:r>
    </w:p>
    <w:p w:rsidR="00B82056" w:rsidRPr="00F575EE" w:rsidRDefault="00B82056" w:rsidP="00B82056">
      <w:pPr>
        <w:rPr>
          <w:bCs/>
        </w:rPr>
      </w:pPr>
      <w:r w:rsidRPr="00F575EE">
        <w:t>(*)</w:t>
      </w:r>
      <w:r w:rsidRPr="00F575EE">
        <w:tab/>
        <w:t>Точка, по която може да бъде поискано гласуване.</w:t>
      </w:r>
    </w:p>
    <w:p w:rsidR="00D6250F" w:rsidRPr="00F575EE" w:rsidRDefault="00D6250F" w:rsidP="00B82056">
      <w:pPr>
        <w:pStyle w:val="FinalLine"/>
        <w:spacing w:before="960" w:after="720"/>
      </w:pPr>
    </w:p>
    <w:p w:rsidR="00D6250F" w:rsidRPr="00F575EE" w:rsidRDefault="00AE0817" w:rsidP="00AE0817">
      <w:pPr>
        <w:pStyle w:val="NB"/>
      </w:pPr>
      <w:r w:rsidRPr="00F575EE">
        <w:t>NB:</w:t>
      </w:r>
      <w:r w:rsidRPr="00F575EE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AE0817" w:rsidRDefault="00D6250F" w:rsidP="00D6250F">
      <w:pPr>
        <w:pStyle w:val="NB"/>
      </w:pPr>
      <w:r w:rsidRPr="00F575EE">
        <w:t>NB:</w:t>
      </w:r>
      <w:r w:rsidRPr="00F575EE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FC4670" w:rsidRPr="00AE0817" w:rsidSect="00E707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0F" w:rsidRDefault="00D6250F" w:rsidP="00D6250F">
      <w:r>
        <w:separator/>
      </w:r>
    </w:p>
  </w:endnote>
  <w:endnote w:type="continuationSeparator" w:id="0">
    <w:p w:rsidR="00D6250F" w:rsidRDefault="00D6250F" w:rsidP="00D6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F" w:rsidRPr="00E70774" w:rsidRDefault="00D6592F" w:rsidP="00E707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70774" w:rsidRPr="00D94637" w:rsidTr="00E707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70774" w:rsidRPr="00D94637" w:rsidRDefault="00E707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8" w:name="FOOTER_STANDARD"/>
        </w:p>
      </w:tc>
    </w:tr>
    <w:tr w:rsidR="00E70774" w:rsidRPr="00B310DC" w:rsidTr="00E707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70774" w:rsidRPr="00AD7BF2" w:rsidRDefault="00E70774" w:rsidP="004F54B2">
          <w:pPr>
            <w:pStyle w:val="FooterText"/>
          </w:pPr>
          <w:r>
            <w:t>CM 2861/16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70774" w:rsidRPr="00AD7BF2" w:rsidRDefault="00E707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70774" w:rsidRPr="002511D8" w:rsidRDefault="00E707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70774" w:rsidRPr="00B310DC" w:rsidRDefault="00E707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70774" w:rsidRPr="00D94637" w:rsidTr="00E70774">
      <w:trPr>
        <w:jc w:val="center"/>
      </w:trPr>
      <w:tc>
        <w:tcPr>
          <w:tcW w:w="1774" w:type="pct"/>
          <w:shd w:val="clear" w:color="auto" w:fill="auto"/>
        </w:tcPr>
        <w:p w:rsidR="00E70774" w:rsidRPr="00AD7BF2" w:rsidRDefault="00E707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70774" w:rsidRPr="00AD7BF2" w:rsidRDefault="00E707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70774" w:rsidRPr="00D94637" w:rsidRDefault="00E707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70774" w:rsidRPr="00D94637" w:rsidRDefault="00E707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8"/>
  </w:tbl>
  <w:p w:rsidR="00D6250F" w:rsidRPr="00E70774" w:rsidRDefault="00D6250F" w:rsidP="00E7077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70774" w:rsidRPr="00D94637" w:rsidTr="00E707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70774" w:rsidRPr="00D94637" w:rsidRDefault="00E707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70774" w:rsidRPr="00B310DC" w:rsidTr="00E707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70774" w:rsidRPr="00AD7BF2" w:rsidRDefault="00E70774" w:rsidP="004F54B2">
          <w:pPr>
            <w:pStyle w:val="FooterText"/>
          </w:pPr>
          <w:r>
            <w:t>CM 2861/16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70774" w:rsidRPr="00AD7BF2" w:rsidRDefault="00E707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70774" w:rsidRPr="002511D8" w:rsidRDefault="00E707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70774" w:rsidRPr="00B310DC" w:rsidRDefault="00E707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70774" w:rsidRPr="00D94637" w:rsidTr="00E70774">
      <w:trPr>
        <w:jc w:val="center"/>
      </w:trPr>
      <w:tc>
        <w:tcPr>
          <w:tcW w:w="1774" w:type="pct"/>
          <w:shd w:val="clear" w:color="auto" w:fill="auto"/>
        </w:tcPr>
        <w:p w:rsidR="00E70774" w:rsidRPr="00AD7BF2" w:rsidRDefault="00E707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70774" w:rsidRPr="00AD7BF2" w:rsidRDefault="00E707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70774" w:rsidRPr="00D94637" w:rsidRDefault="00E707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70774" w:rsidRPr="00D94637" w:rsidRDefault="00E707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6250F" w:rsidRPr="00E70774" w:rsidRDefault="00D6250F" w:rsidP="00E7077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0F" w:rsidRDefault="00D6250F" w:rsidP="00D6250F">
      <w:r>
        <w:separator/>
      </w:r>
    </w:p>
  </w:footnote>
  <w:footnote w:type="continuationSeparator" w:id="0">
    <w:p w:rsidR="00D6250F" w:rsidRDefault="00D6250F" w:rsidP="00D6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F" w:rsidRPr="00E70774" w:rsidRDefault="00D6592F" w:rsidP="00E707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F" w:rsidRPr="00E70774" w:rsidRDefault="00D6592F" w:rsidP="00E7077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F" w:rsidRPr="00E70774" w:rsidRDefault="00D6592F" w:rsidP="00E7077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D21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9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7C0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641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B06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308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84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E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34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8C8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0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8868ccfb-f2be-4a8b-a5cb-0a76f754619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3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61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347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lt;Run FontWeight=&quot;Bold&quot; xml:space=&quot;preserve&quot;&amp;gt;&amp;lt;Run.TextDecorations&amp;gt;&amp;lt;TextDecoration Location=&quot;Underline&quot; /&amp;gt;&amp;lt;/Run.TextDecorations&amp;gt;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lt;/Run&amp;gt;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16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1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6250F"/>
    <w:rsid w:val="00005613"/>
    <w:rsid w:val="00010C1D"/>
    <w:rsid w:val="00020FBC"/>
    <w:rsid w:val="000520E4"/>
    <w:rsid w:val="00054A16"/>
    <w:rsid w:val="000872C7"/>
    <w:rsid w:val="00090C97"/>
    <w:rsid w:val="0009656C"/>
    <w:rsid w:val="00097B42"/>
    <w:rsid w:val="000B7A27"/>
    <w:rsid w:val="000B7A36"/>
    <w:rsid w:val="000E3EAF"/>
    <w:rsid w:val="000E5042"/>
    <w:rsid w:val="000F54C0"/>
    <w:rsid w:val="000F687D"/>
    <w:rsid w:val="00165755"/>
    <w:rsid w:val="00182F2F"/>
    <w:rsid w:val="001C0F71"/>
    <w:rsid w:val="001C1958"/>
    <w:rsid w:val="001C21D9"/>
    <w:rsid w:val="001C2A31"/>
    <w:rsid w:val="001D566B"/>
    <w:rsid w:val="002020E3"/>
    <w:rsid w:val="00206D04"/>
    <w:rsid w:val="00213F1F"/>
    <w:rsid w:val="00223615"/>
    <w:rsid w:val="00262E47"/>
    <w:rsid w:val="00275927"/>
    <w:rsid w:val="0027793F"/>
    <w:rsid w:val="002A124E"/>
    <w:rsid w:val="002A2AE8"/>
    <w:rsid w:val="002A5FBE"/>
    <w:rsid w:val="002A7FD1"/>
    <w:rsid w:val="0030311D"/>
    <w:rsid w:val="003221AF"/>
    <w:rsid w:val="00335ACA"/>
    <w:rsid w:val="00353BA9"/>
    <w:rsid w:val="00354E83"/>
    <w:rsid w:val="003C5EA8"/>
    <w:rsid w:val="003C6E8B"/>
    <w:rsid w:val="003D1287"/>
    <w:rsid w:val="003D21F4"/>
    <w:rsid w:val="004145D1"/>
    <w:rsid w:val="00430EBE"/>
    <w:rsid w:val="00460579"/>
    <w:rsid w:val="00482C6A"/>
    <w:rsid w:val="0051484B"/>
    <w:rsid w:val="005157F5"/>
    <w:rsid w:val="0052516F"/>
    <w:rsid w:val="00526DB4"/>
    <w:rsid w:val="005A1761"/>
    <w:rsid w:val="005D01F5"/>
    <w:rsid w:val="006226EB"/>
    <w:rsid w:val="0063379B"/>
    <w:rsid w:val="00661B74"/>
    <w:rsid w:val="00671055"/>
    <w:rsid w:val="00693ABA"/>
    <w:rsid w:val="006A38C5"/>
    <w:rsid w:val="006C0757"/>
    <w:rsid w:val="006C1AD4"/>
    <w:rsid w:val="006D5BB3"/>
    <w:rsid w:val="006E33E2"/>
    <w:rsid w:val="006F4741"/>
    <w:rsid w:val="007265A9"/>
    <w:rsid w:val="00732037"/>
    <w:rsid w:val="00737F7A"/>
    <w:rsid w:val="00740E0A"/>
    <w:rsid w:val="0075756A"/>
    <w:rsid w:val="00760B3A"/>
    <w:rsid w:val="007A1C0B"/>
    <w:rsid w:val="007A3C7B"/>
    <w:rsid w:val="007C18DF"/>
    <w:rsid w:val="00825503"/>
    <w:rsid w:val="008826F8"/>
    <w:rsid w:val="00913510"/>
    <w:rsid w:val="00923234"/>
    <w:rsid w:val="009457F2"/>
    <w:rsid w:val="00957496"/>
    <w:rsid w:val="009577E3"/>
    <w:rsid w:val="009D0941"/>
    <w:rsid w:val="00A05C7B"/>
    <w:rsid w:val="00A45F8C"/>
    <w:rsid w:val="00A469D7"/>
    <w:rsid w:val="00A62A2A"/>
    <w:rsid w:val="00A70003"/>
    <w:rsid w:val="00AB1FB5"/>
    <w:rsid w:val="00AE0817"/>
    <w:rsid w:val="00B82056"/>
    <w:rsid w:val="00BA7E02"/>
    <w:rsid w:val="00BB1674"/>
    <w:rsid w:val="00BB2B4D"/>
    <w:rsid w:val="00BD2FFA"/>
    <w:rsid w:val="00BE1373"/>
    <w:rsid w:val="00C12D72"/>
    <w:rsid w:val="00C718BF"/>
    <w:rsid w:val="00C775D3"/>
    <w:rsid w:val="00C930AF"/>
    <w:rsid w:val="00CD6F99"/>
    <w:rsid w:val="00D04DEB"/>
    <w:rsid w:val="00D052F5"/>
    <w:rsid w:val="00D34266"/>
    <w:rsid w:val="00D451E4"/>
    <w:rsid w:val="00D6250F"/>
    <w:rsid w:val="00D6592F"/>
    <w:rsid w:val="00D710D1"/>
    <w:rsid w:val="00D874D7"/>
    <w:rsid w:val="00DA7C08"/>
    <w:rsid w:val="00DC3767"/>
    <w:rsid w:val="00E108A2"/>
    <w:rsid w:val="00E11DF1"/>
    <w:rsid w:val="00E31D61"/>
    <w:rsid w:val="00E70774"/>
    <w:rsid w:val="00E8020C"/>
    <w:rsid w:val="00EE7ACD"/>
    <w:rsid w:val="00EF2607"/>
    <w:rsid w:val="00F0262E"/>
    <w:rsid w:val="00F41854"/>
    <w:rsid w:val="00F575EE"/>
    <w:rsid w:val="00F83D74"/>
    <w:rsid w:val="00F8527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62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6250F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6250F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D6250F"/>
  </w:style>
  <w:style w:type="paragraph" w:styleId="BalloonText">
    <w:name w:val="Balloon Text"/>
    <w:basedOn w:val="Normal"/>
    <w:link w:val="BalloonTextChar"/>
    <w:uiPriority w:val="99"/>
    <w:semiHidden/>
    <w:unhideWhenUsed/>
    <w:rsid w:val="002A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4E"/>
    <w:rPr>
      <w:rFonts w:ascii="Tahoma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51484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B7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A36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36"/>
    <w:rPr>
      <w:b/>
      <w:bCs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62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6250F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6250F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D6250F"/>
  </w:style>
  <w:style w:type="paragraph" w:styleId="BalloonText">
    <w:name w:val="Balloon Text"/>
    <w:basedOn w:val="Normal"/>
    <w:link w:val="BalloonTextChar"/>
    <w:uiPriority w:val="99"/>
    <w:semiHidden/>
    <w:unhideWhenUsed/>
    <w:rsid w:val="002A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4E"/>
    <w:rPr>
      <w:rFonts w:ascii="Tahoma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51484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B7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A36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36"/>
    <w:rPr>
      <w:b/>
      <w:bCs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D69E-669F-4783-B940-9DD1C2DD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4</cp:revision>
  <cp:lastPrinted>2016-05-31T11:26:00Z</cp:lastPrinted>
  <dcterms:created xsi:type="dcterms:W3CDTF">2016-06-01T12:03:00Z</dcterms:created>
  <dcterms:modified xsi:type="dcterms:W3CDTF">2016-06-01T12:10:00Z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