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50F" w:rsidRPr="00EA5078" w:rsidRDefault="00F26F88" w:rsidP="00EA5078">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8bec604-aee2-47fc-ad3a-7cba6032eb85_0" style="width:568.5pt;height:492.1pt">
            <v:imagedata r:id="rId9" o:title=""/>
          </v:shape>
        </w:pict>
      </w:r>
      <w:bookmarkEnd w:id="0"/>
    </w:p>
    <w:p w:rsidR="00AB1FB5" w:rsidRPr="00EA5078" w:rsidRDefault="00AB1FB5" w:rsidP="00732037">
      <w:pPr>
        <w:spacing w:after="240"/>
        <w:rPr>
          <w:b/>
          <w:bCs/>
          <w:u w:val="single"/>
        </w:rPr>
      </w:pPr>
      <w:r w:rsidRPr="00EA5078">
        <w:rPr>
          <w:b/>
          <w:bCs/>
          <w:u w:val="single"/>
        </w:rPr>
        <w:t>SESSION DU JEUDI 16 JUIN 2016 (9 h 30)</w:t>
      </w:r>
    </w:p>
    <w:p w:rsidR="009577E3" w:rsidRPr="00EA5078" w:rsidRDefault="009577E3" w:rsidP="0030311D">
      <w:pPr>
        <w:pStyle w:val="PointManual"/>
        <w:spacing w:before="240" w:after="240"/>
      </w:pPr>
      <w:r w:rsidRPr="00EA5078">
        <w:t>1.</w:t>
      </w:r>
      <w:r w:rsidRPr="00EA5078">
        <w:tab/>
        <w:t>Adoption de l'ordre du jour</w:t>
      </w:r>
    </w:p>
    <w:p w:rsidR="009577E3" w:rsidRPr="00EA5078" w:rsidRDefault="009577E3" w:rsidP="00732037">
      <w:pPr>
        <w:spacing w:before="240" w:after="240"/>
        <w:rPr>
          <w:b/>
          <w:bCs/>
          <w:szCs w:val="32"/>
          <w:u w:val="single"/>
        </w:rPr>
      </w:pPr>
      <w:r w:rsidRPr="00EA5078">
        <w:rPr>
          <w:b/>
          <w:bCs/>
          <w:szCs w:val="32"/>
          <w:u w:val="single"/>
        </w:rPr>
        <w:t>Activités non législatives</w:t>
      </w:r>
    </w:p>
    <w:p w:rsidR="009577E3" w:rsidRPr="00EA5078" w:rsidRDefault="009577E3" w:rsidP="009457F2">
      <w:pPr>
        <w:pStyle w:val="PointManual"/>
        <w:spacing w:before="0" w:after="240"/>
      </w:pPr>
      <w:r w:rsidRPr="00EA5078">
        <w:t>2.</w:t>
      </w:r>
      <w:r w:rsidRPr="00EA5078">
        <w:tab/>
        <w:t>(évent.) Approbation de la liste des points "A"</w:t>
      </w:r>
    </w:p>
    <w:p w:rsidR="009577E3" w:rsidRPr="00EA5078" w:rsidRDefault="009577E3" w:rsidP="00732037">
      <w:pPr>
        <w:spacing w:before="240"/>
        <w:jc w:val="both"/>
        <w:rPr>
          <w:b/>
          <w:bCs/>
          <w:i/>
          <w:iCs/>
          <w:color w:val="000000"/>
        </w:rPr>
      </w:pPr>
      <w:r w:rsidRPr="00EA5078">
        <w:rPr>
          <w:b/>
          <w:bCs/>
          <w:color w:val="000000"/>
          <w:u w:val="single"/>
        </w:rPr>
        <w:t>Délibérations législatives</w:t>
      </w:r>
    </w:p>
    <w:p w:rsidR="009577E3" w:rsidRPr="00EA5078" w:rsidRDefault="009577E3" w:rsidP="00732037">
      <w:pPr>
        <w:spacing w:after="240"/>
        <w:rPr>
          <w:b/>
          <w:bCs/>
          <w:color w:val="000000"/>
        </w:rPr>
      </w:pPr>
      <w:r w:rsidRPr="00EA5078">
        <w:rPr>
          <w:b/>
          <w:bCs/>
          <w:color w:val="000000"/>
        </w:rPr>
        <w:t>(Délibération publique conformément à l'article 16, paragraphe 8, du traité sur l'Union européenne)</w:t>
      </w:r>
    </w:p>
    <w:p w:rsidR="009577E3" w:rsidRPr="00EA5078" w:rsidRDefault="009577E3" w:rsidP="003D1287">
      <w:pPr>
        <w:pStyle w:val="PointManual"/>
        <w:spacing w:before="0"/>
      </w:pPr>
      <w:r w:rsidRPr="00EA5078">
        <w:t>3.</w:t>
      </w:r>
      <w:r w:rsidRPr="00EA5078">
        <w:tab/>
        <w:t>(évent.) Approbation de la liste des points "A"</w:t>
      </w:r>
    </w:p>
    <w:p w:rsidR="00732037" w:rsidRPr="00EA5078" w:rsidRDefault="00732037" w:rsidP="0030311D">
      <w:pPr>
        <w:spacing w:after="240"/>
        <w:rPr>
          <w:caps/>
          <w:u w:val="single"/>
        </w:rPr>
      </w:pPr>
      <w:r w:rsidRPr="00EA5078">
        <w:br w:type="page"/>
      </w:r>
      <w:r w:rsidRPr="00EA5078">
        <w:rPr>
          <w:caps/>
          <w:u w:val="single"/>
        </w:rPr>
        <w:lastRenderedPageBreak/>
        <w:t>EMPLOI ET POLITIQUE SOCIALE</w:t>
      </w:r>
    </w:p>
    <w:p w:rsidR="009577E3" w:rsidRPr="00EA5078" w:rsidRDefault="009577E3" w:rsidP="00661B74">
      <w:pPr>
        <w:pStyle w:val="PointManual"/>
      </w:pPr>
      <w:r w:rsidRPr="00EA5078">
        <w:t>4.</w:t>
      </w:r>
      <w:r w:rsidRPr="00EA5078">
        <w:tab/>
        <w:t xml:space="preserve">Proposition de Directive du Parlement européen et du Conseil relative au rapprochement des dispositions législatives, réglementaires et administratives des États membres en ce qui concerne les exigences en matière d’accessibilité applicables aux produits et services </w:t>
      </w:r>
      <w:r w:rsidRPr="00EA5078">
        <w:rPr>
          <w:b/>
          <w:bCs/>
        </w:rPr>
        <w:t>(première lecture)</w:t>
      </w:r>
    </w:p>
    <w:p w:rsidR="009577E3" w:rsidRPr="00EA5078" w:rsidRDefault="009577E3" w:rsidP="009577E3">
      <w:pPr>
        <w:pStyle w:val="Text1"/>
      </w:pPr>
      <w:r w:rsidRPr="00EA5078">
        <w:t>Dossier interinstitutionnel: 2015/0278 (COD)</w:t>
      </w:r>
    </w:p>
    <w:p w:rsidR="009577E3" w:rsidRPr="00EA5078" w:rsidRDefault="009577E3" w:rsidP="000B7A36">
      <w:pPr>
        <w:pStyle w:val="DashEqual1"/>
        <w:numPr>
          <w:ilvl w:val="0"/>
          <w:numId w:val="20"/>
        </w:numPr>
      </w:pPr>
      <w:r w:rsidRPr="00EA5078">
        <w:t>Rapport sur l'état d'avancement des travaux</w:t>
      </w:r>
    </w:p>
    <w:p w:rsidR="00740E0A" w:rsidRPr="00EA5078" w:rsidRDefault="00740E0A" w:rsidP="000F687D">
      <w:pPr>
        <w:pStyle w:val="Text3"/>
        <w:rPr>
          <w:lang w:val="it-IT"/>
        </w:rPr>
      </w:pPr>
      <w:r w:rsidRPr="00EA5078">
        <w:rPr>
          <w:lang w:val="it-IT"/>
        </w:rPr>
        <w:t>14799/15 SOC 700 MI 770 ANTIDISCRIM 15 AUDIO 34 CODEC 1774</w:t>
      </w:r>
    </w:p>
    <w:p w:rsidR="000872C7" w:rsidRPr="00EA5078" w:rsidRDefault="000872C7" w:rsidP="000872C7">
      <w:pPr>
        <w:pStyle w:val="Text4"/>
        <w:rPr>
          <w:lang w:val="en-GB"/>
        </w:rPr>
      </w:pPr>
      <w:r w:rsidRPr="00EA5078">
        <w:rPr>
          <w:lang w:val="en-GB"/>
        </w:rPr>
        <w:t>+ COR 1</w:t>
      </w:r>
    </w:p>
    <w:p w:rsidR="000872C7" w:rsidRPr="00EA5078" w:rsidRDefault="000872C7" w:rsidP="000872C7">
      <w:pPr>
        <w:pStyle w:val="Text4"/>
        <w:rPr>
          <w:lang w:val="en-GB"/>
        </w:rPr>
      </w:pPr>
      <w:r w:rsidRPr="00EA5078">
        <w:rPr>
          <w:lang w:val="en-GB"/>
        </w:rPr>
        <w:t>+ COR 2</w:t>
      </w:r>
    </w:p>
    <w:p w:rsidR="000872C7" w:rsidRPr="00EA5078" w:rsidRDefault="00740E0A" w:rsidP="000872C7">
      <w:pPr>
        <w:pStyle w:val="Text4"/>
        <w:rPr>
          <w:lang w:val="en-GB"/>
        </w:rPr>
      </w:pPr>
      <w:r w:rsidRPr="00EA5078">
        <w:rPr>
          <w:lang w:val="en-GB"/>
        </w:rPr>
        <w:t>+ ADD 1</w:t>
      </w:r>
    </w:p>
    <w:p w:rsidR="000872C7" w:rsidRPr="00EA5078" w:rsidRDefault="000872C7" w:rsidP="000872C7">
      <w:pPr>
        <w:pStyle w:val="Text4"/>
        <w:rPr>
          <w:lang w:val="en-GB"/>
        </w:rPr>
      </w:pPr>
      <w:r w:rsidRPr="00EA5078">
        <w:rPr>
          <w:lang w:val="en-GB"/>
        </w:rPr>
        <w:t>+ ADD 1 COR 1</w:t>
      </w:r>
    </w:p>
    <w:p w:rsidR="003C5EA8" w:rsidRPr="00EA5078" w:rsidRDefault="003C5EA8" w:rsidP="000872C7">
      <w:pPr>
        <w:pStyle w:val="Text4"/>
        <w:rPr>
          <w:lang w:val="en-GB"/>
        </w:rPr>
      </w:pPr>
      <w:r w:rsidRPr="00EA5078">
        <w:rPr>
          <w:lang w:val="en-GB"/>
        </w:rPr>
        <w:t>+ ADD 2</w:t>
      </w:r>
    </w:p>
    <w:p w:rsidR="000872C7" w:rsidRPr="00EA5078" w:rsidRDefault="000872C7" w:rsidP="000872C7">
      <w:pPr>
        <w:pStyle w:val="Text4"/>
        <w:rPr>
          <w:lang w:val="en-GB"/>
        </w:rPr>
      </w:pPr>
      <w:r w:rsidRPr="00EA5078">
        <w:rPr>
          <w:lang w:val="en-GB"/>
        </w:rPr>
        <w:t>+ ADD 2 COR 1</w:t>
      </w:r>
    </w:p>
    <w:p w:rsidR="003C5EA8" w:rsidRPr="00EA5078" w:rsidRDefault="003C5EA8" w:rsidP="000872C7">
      <w:pPr>
        <w:pStyle w:val="Text4"/>
        <w:rPr>
          <w:lang w:val="en-GB"/>
        </w:rPr>
      </w:pPr>
      <w:r w:rsidRPr="00EA5078">
        <w:rPr>
          <w:lang w:val="en-GB"/>
        </w:rPr>
        <w:t>+ ADD 3</w:t>
      </w:r>
    </w:p>
    <w:p w:rsidR="000872C7" w:rsidRPr="00EA5078" w:rsidRDefault="000872C7" w:rsidP="000872C7">
      <w:pPr>
        <w:pStyle w:val="Text4"/>
        <w:spacing w:after="240"/>
        <w:rPr>
          <w:lang w:val="en-GB"/>
        </w:rPr>
      </w:pPr>
      <w:r w:rsidRPr="00EA5078">
        <w:rPr>
          <w:lang w:val="en-GB"/>
        </w:rPr>
        <w:t>+ ADD 3 COR 1</w:t>
      </w:r>
    </w:p>
    <w:p w:rsidR="009577E3" w:rsidRPr="00EA5078" w:rsidRDefault="009577E3" w:rsidP="009577E3">
      <w:pPr>
        <w:pStyle w:val="PointManual"/>
      </w:pPr>
      <w:r w:rsidRPr="00EA5078">
        <w:t>5.</w:t>
      </w:r>
      <w:r w:rsidRPr="00EA5078">
        <w:tab/>
        <w:t xml:space="preserve">Proposition de directive du Parlement européen et du Conseil modifiant la directive 96/71/CE du Parlement européen et du Conseil du 16 décembre 1996 concernant le détachement de travailleurs effectué dans le cadre d'une prestation de services </w:t>
      </w:r>
      <w:r w:rsidRPr="00EA5078">
        <w:rPr>
          <w:b/>
          <w:bCs/>
        </w:rPr>
        <w:t>(première lecture)</w:t>
      </w:r>
    </w:p>
    <w:p w:rsidR="009577E3" w:rsidRPr="00EA5078" w:rsidRDefault="009577E3" w:rsidP="009577E3">
      <w:pPr>
        <w:pStyle w:val="Text1"/>
        <w:rPr>
          <w:iCs/>
          <w:color w:val="000000"/>
        </w:rPr>
      </w:pPr>
      <w:r w:rsidRPr="00EA5078">
        <w:t>Dossier interinstitutionnel: 2016/0070 (COD)</w:t>
      </w:r>
    </w:p>
    <w:p w:rsidR="009577E3" w:rsidRPr="00EA5078" w:rsidRDefault="009577E3" w:rsidP="009577E3">
      <w:pPr>
        <w:pStyle w:val="DashEqual1"/>
      </w:pPr>
      <w:r w:rsidRPr="00EA5078">
        <w:t>Rapport sur l'état d'avancement des travaux</w:t>
      </w:r>
    </w:p>
    <w:p w:rsidR="009577E3" w:rsidRPr="00EA5078" w:rsidRDefault="009577E3" w:rsidP="000F687D">
      <w:pPr>
        <w:pStyle w:val="DashEqual1"/>
      </w:pPr>
      <w:r w:rsidRPr="00EA5078">
        <w:t>Mise au point de la Commission sur l'état du dossier</w:t>
      </w:r>
    </w:p>
    <w:p w:rsidR="00740E0A" w:rsidRPr="00EA5078" w:rsidRDefault="00740E0A" w:rsidP="003C5EA8">
      <w:pPr>
        <w:pStyle w:val="Text3"/>
        <w:spacing w:after="240"/>
        <w:rPr>
          <w:lang w:val="it-IT"/>
        </w:rPr>
      </w:pPr>
      <w:r w:rsidRPr="00EA5078">
        <w:rPr>
          <w:lang w:val="it-IT"/>
        </w:rPr>
        <w:t>6987/16 SOC 144 EMPL 97 MI 142 COMPET 118 CODEC 279</w:t>
      </w:r>
    </w:p>
    <w:p w:rsidR="009577E3" w:rsidRPr="00EA5078" w:rsidRDefault="009577E3" w:rsidP="009577E3">
      <w:pPr>
        <w:pStyle w:val="PointManual"/>
      </w:pPr>
      <w:r w:rsidRPr="00EA5078">
        <w:t>6.</w:t>
      </w:r>
      <w:r w:rsidRPr="00EA5078">
        <w:tab/>
        <w:t xml:space="preserve">Révision de la directive 2004/37/CE du Parlement européen et du Conseil du 29 avril 2004 concernant la protection des travailleurs contre les risques liés à l'exposition à des agents cancérigènes ou mutagènes au travail </w:t>
      </w:r>
      <w:r w:rsidRPr="00EA5078">
        <w:rPr>
          <w:b/>
          <w:bCs/>
        </w:rPr>
        <w:t>(première lecture)</w:t>
      </w:r>
    </w:p>
    <w:p w:rsidR="009577E3" w:rsidRPr="00EA5078" w:rsidRDefault="009577E3" w:rsidP="009577E3">
      <w:pPr>
        <w:pStyle w:val="Text1"/>
      </w:pPr>
      <w:r w:rsidRPr="00EA5078">
        <w:t>Dossier interinstitutionnel: 2016/0130 (COD)</w:t>
      </w:r>
    </w:p>
    <w:p w:rsidR="009577E3" w:rsidRPr="00EA5078" w:rsidRDefault="009577E3" w:rsidP="000F687D">
      <w:pPr>
        <w:pStyle w:val="DashEqual1"/>
      </w:pPr>
      <w:r w:rsidRPr="00EA5078">
        <w:t>Orientation générale / Rapport sur l'état d'avancement des travaux</w:t>
      </w:r>
    </w:p>
    <w:p w:rsidR="00740E0A" w:rsidRPr="00EA5078" w:rsidRDefault="00740E0A" w:rsidP="000F687D">
      <w:pPr>
        <w:pStyle w:val="Text3"/>
        <w:rPr>
          <w:lang w:val="en-GB"/>
        </w:rPr>
      </w:pPr>
      <w:r w:rsidRPr="00EA5078">
        <w:rPr>
          <w:lang w:val="en-GB"/>
        </w:rPr>
        <w:t>8962/16 SOC 255 EMPL 158 SAN 187 IA 23 CODEC 666</w:t>
      </w:r>
    </w:p>
    <w:p w:rsidR="00223615" w:rsidRPr="00EA5078" w:rsidRDefault="00223615" w:rsidP="00223615">
      <w:pPr>
        <w:pStyle w:val="Text4"/>
        <w:rPr>
          <w:lang w:val="en-GB"/>
        </w:rPr>
      </w:pPr>
      <w:r w:rsidRPr="00EA5078">
        <w:rPr>
          <w:lang w:val="en-GB"/>
        </w:rPr>
        <w:t>+ REV 1 (mt)</w:t>
      </w:r>
    </w:p>
    <w:p w:rsidR="00740E0A" w:rsidRPr="00EA5078" w:rsidRDefault="00BB2B4D" w:rsidP="000F687D">
      <w:pPr>
        <w:pStyle w:val="Text4"/>
        <w:spacing w:after="240"/>
        <w:rPr>
          <w:lang w:val="en-GB"/>
        </w:rPr>
      </w:pPr>
      <w:r w:rsidRPr="00EA5078">
        <w:rPr>
          <w:lang w:val="en-GB"/>
        </w:rPr>
        <w:t>+ ADD 1</w:t>
      </w:r>
    </w:p>
    <w:p w:rsidR="009577E3" w:rsidRPr="00EA5078" w:rsidRDefault="009577E3" w:rsidP="009577E3">
      <w:pPr>
        <w:pStyle w:val="PointManual"/>
      </w:pPr>
      <w:r w:rsidRPr="00EA5078">
        <w:t>7.</w:t>
      </w:r>
      <w:r w:rsidRPr="00EA5078">
        <w:tab/>
        <w:t>Proposition de directive du Conseil relative à la mise en œuvre du principe de l'égalité de traitement entre les personnes sans distinction de religion ou de convictions, de handicap, d'âge ou d'orientation sexuelle</w:t>
      </w:r>
    </w:p>
    <w:p w:rsidR="009577E3" w:rsidRPr="00EA5078" w:rsidRDefault="009577E3" w:rsidP="009577E3">
      <w:pPr>
        <w:pStyle w:val="Text1"/>
      </w:pPr>
      <w:r w:rsidRPr="00EA5078">
        <w:t>Dossier interinstitutionnel: 2008/0140 (CNS)</w:t>
      </w:r>
    </w:p>
    <w:p w:rsidR="009577E3" w:rsidRPr="00EA5078" w:rsidRDefault="009577E3" w:rsidP="000F687D">
      <w:pPr>
        <w:pStyle w:val="DashEqual1"/>
      </w:pPr>
      <w:r w:rsidRPr="00EA5078">
        <w:t>Rapport sur l'état d'avancement des travaux</w:t>
      </w:r>
    </w:p>
    <w:p w:rsidR="002A7FD1" w:rsidRPr="00EA5078" w:rsidRDefault="00740E0A" w:rsidP="000F687D">
      <w:pPr>
        <w:pStyle w:val="Text3"/>
        <w:spacing w:after="240"/>
      </w:pPr>
      <w:r w:rsidRPr="00EA5078">
        <w:t>11531/08 SOC 411 JAI 368 MI 246</w:t>
      </w:r>
    </w:p>
    <w:p w:rsidR="009577E3" w:rsidRPr="00EA5078" w:rsidRDefault="002A7FD1" w:rsidP="002A7FD1">
      <w:pPr>
        <w:rPr>
          <w:b/>
          <w:bCs/>
          <w:i/>
          <w:iCs/>
          <w:color w:val="000000"/>
        </w:rPr>
      </w:pPr>
      <w:r w:rsidRPr="00EA5078">
        <w:br w:type="page"/>
      </w:r>
      <w:r w:rsidRPr="00EA5078">
        <w:rPr>
          <w:b/>
          <w:bCs/>
          <w:u w:val="single"/>
        </w:rPr>
        <w:lastRenderedPageBreak/>
        <w:t>Activités non législatives</w:t>
      </w:r>
    </w:p>
    <w:p w:rsidR="009577E3" w:rsidRPr="00EA5078" w:rsidRDefault="009577E3" w:rsidP="009577E3">
      <w:pPr>
        <w:rPr>
          <w:b/>
          <w:bCs/>
        </w:rPr>
      </w:pPr>
      <w:r w:rsidRPr="00EA5078">
        <w:rPr>
          <w:b/>
          <w:bCs/>
        </w:rPr>
        <w:t>(Débat public conformément à l'article 8, paragraphe 2, du règlement intérieur du Conseil</w:t>
      </w:r>
    </w:p>
    <w:p w:rsidR="009577E3" w:rsidRPr="00EA5078" w:rsidRDefault="009577E3" w:rsidP="000B7A36">
      <w:pPr>
        <w:spacing w:after="240"/>
        <w:rPr>
          <w:bCs/>
          <w:iCs/>
          <w:color w:val="000000"/>
        </w:rPr>
      </w:pPr>
      <w:bookmarkStart w:id="1" w:name="DQCErrorScope83efa3a295ba4c15ad9d2c501d9"/>
      <w:r w:rsidRPr="00EA5078">
        <w:rPr>
          <w:b/>
          <w:color w:val="000000"/>
        </w:rPr>
        <w:t>[proposé par la présidence] pour les points 8, 9, 11, 12 et 13)</w:t>
      </w:r>
    </w:p>
    <w:bookmarkEnd w:id="1"/>
    <w:p w:rsidR="009577E3" w:rsidRPr="00EA5078" w:rsidRDefault="009577E3" w:rsidP="009577E3">
      <w:pPr>
        <w:pStyle w:val="PointManual"/>
      </w:pPr>
      <w:r w:rsidRPr="00EA5078">
        <w:t>8.</w:t>
      </w:r>
      <w:r w:rsidRPr="00EA5078">
        <w:tab/>
        <w:t>Semestre européen 2016: contribution au Conseil européen (Bruxelles, les 28 et 29 juin 2016)</w:t>
      </w:r>
    </w:p>
    <w:p w:rsidR="009577E3" w:rsidRPr="00EA5078" w:rsidRDefault="009577E3" w:rsidP="009577E3">
      <w:pPr>
        <w:pStyle w:val="DashEqual1"/>
      </w:pPr>
      <w:r w:rsidRPr="00EA5078">
        <w:t>Débat d'orientation</w:t>
      </w:r>
    </w:p>
    <w:p w:rsidR="009577E3" w:rsidRPr="00EA5078" w:rsidRDefault="009577E3" w:rsidP="009457F2">
      <w:pPr>
        <w:pStyle w:val="PointManual1"/>
        <w:spacing w:before="200"/>
        <w:rPr>
          <w:rFonts w:eastAsia="Calibri"/>
        </w:rPr>
      </w:pPr>
      <w:r w:rsidRPr="00EA5078">
        <w:t>a)</w:t>
      </w:r>
      <w:r w:rsidRPr="00EA5078">
        <w:tab/>
        <w:t>Projets de recommandations du Conseil concernant les programmes nationaux de réforme pour 2016 à l'intention de chaque État membre et projet de note explicative</w:t>
      </w:r>
    </w:p>
    <w:p w:rsidR="009577E3" w:rsidRPr="00EA5078" w:rsidRDefault="009577E3" w:rsidP="000B7A36">
      <w:pPr>
        <w:pStyle w:val="DashEqual2"/>
        <w:numPr>
          <w:ilvl w:val="0"/>
          <w:numId w:val="21"/>
        </w:numPr>
      </w:pPr>
      <w:r w:rsidRPr="00EA5078">
        <w:t>Approbation</w:t>
      </w:r>
    </w:p>
    <w:p w:rsidR="009577E3" w:rsidRPr="00EA5078" w:rsidRDefault="009577E3" w:rsidP="009457F2">
      <w:pPr>
        <w:pStyle w:val="PointManual1"/>
        <w:spacing w:before="200"/>
        <w:rPr>
          <w:rFonts w:eastAsia="Calibri"/>
        </w:rPr>
      </w:pPr>
      <w:r w:rsidRPr="00EA5078">
        <w:t>b)</w:t>
      </w:r>
      <w:r w:rsidRPr="00EA5078">
        <w:tab/>
        <w:t>Évaluation des recommandations par pays pour 2016 et de la mise en œuvre des recommandations par pays pour 2015</w:t>
      </w:r>
    </w:p>
    <w:p w:rsidR="002020E3" w:rsidRPr="00EA5078" w:rsidRDefault="009577E3" w:rsidP="0030311D">
      <w:pPr>
        <w:pStyle w:val="DashEqual2"/>
        <w:spacing w:after="240"/>
      </w:pPr>
      <w:r w:rsidRPr="00EA5078">
        <w:t>Approbation des avis du Comité de l'emploi et du Comité de la protection sociale (CPS)</w:t>
      </w:r>
    </w:p>
    <w:p w:rsidR="009577E3" w:rsidRPr="00EA5078" w:rsidRDefault="009577E3" w:rsidP="002020E3">
      <w:pPr>
        <w:pStyle w:val="PointManual"/>
        <w:spacing w:before="360"/>
      </w:pPr>
      <w:r w:rsidRPr="00EA5078">
        <w:t>9.</w:t>
      </w:r>
      <w:r w:rsidRPr="00EA5078">
        <w:tab/>
        <w:t>(évent.) Paquet de mesures sur les compétences</w:t>
      </w:r>
    </w:p>
    <w:p w:rsidR="0030311D" w:rsidRPr="00EA5078" w:rsidRDefault="009577E3" w:rsidP="002020E3">
      <w:pPr>
        <w:pStyle w:val="DashEqual1"/>
        <w:spacing w:after="240"/>
      </w:pPr>
      <w:r w:rsidRPr="00EA5078">
        <w:t>Présentation par la Commission</w:t>
      </w:r>
    </w:p>
    <w:p w:rsidR="009577E3" w:rsidRPr="00EA5078" w:rsidRDefault="009577E3" w:rsidP="00913510">
      <w:pPr>
        <w:pStyle w:val="PointManual"/>
        <w:rPr>
          <w:b/>
          <w:bCs/>
        </w:rPr>
      </w:pPr>
      <w:r w:rsidRPr="00EA5078">
        <w:t>10.</w:t>
      </w:r>
      <w:r w:rsidRPr="00EA5078">
        <w:tab/>
        <w:t xml:space="preserve">(évent.) Proposition de directive du Conseil portant mise en œuvre de l'accord entre la Confédération générale des coopératives agricoles de l'Union européenne (Cogeca), la Fédération européenne des travailleurs des transports (ETF) et l'Association des organisations nationales d'entreprises de pêche de l'Union européenne (EUROPÊCHE), conclu le 21 mai 2012, tel que modifié le 8 mai 2013, et relatif à la mise en œuvre de la convention sur le travail dans la pêche, 2007, de l'Organisation internationale du travail </w:t>
      </w:r>
      <w:r w:rsidRPr="00EA5078">
        <w:rPr>
          <w:b/>
          <w:bCs/>
        </w:rPr>
        <w:t>(*)</w:t>
      </w:r>
    </w:p>
    <w:p w:rsidR="00760B3A" w:rsidRPr="00EA5078" w:rsidRDefault="00760B3A" w:rsidP="00DC3767">
      <w:pPr>
        <w:pStyle w:val="Text1"/>
        <w:rPr>
          <w:b/>
          <w:bCs/>
        </w:rPr>
      </w:pPr>
      <w:bookmarkStart w:id="2" w:name="DQCErrorScope9cd4b27e43a04e7197cc8820b7d"/>
      <w:r w:rsidRPr="00EA5078">
        <w:t>(Base juridique proposée par la Commission: article 155, paragraphe 2, du TFUE)</w:t>
      </w:r>
    </w:p>
    <w:bookmarkEnd w:id="2"/>
    <w:p w:rsidR="000E3EAF" w:rsidRPr="00EA5078" w:rsidRDefault="009577E3" w:rsidP="000E3EAF">
      <w:pPr>
        <w:pStyle w:val="DashEqual1"/>
      </w:pPr>
      <w:r w:rsidRPr="00EA5078">
        <w:t>Accord politique / rapport sur l'état des travaux</w:t>
      </w:r>
    </w:p>
    <w:p w:rsidR="000E3EAF" w:rsidRPr="00EA5078" w:rsidRDefault="000E3EAF" w:rsidP="00CD6F99">
      <w:pPr>
        <w:pStyle w:val="Text2"/>
      </w:pPr>
      <w:r w:rsidRPr="00EA5078">
        <w:t>(Délibération publique conformément à l'article 8, paragraphe 1, du règlement intérieur du Conseil [proposé par la présidence])</w:t>
      </w:r>
    </w:p>
    <w:p w:rsidR="00740E0A" w:rsidRPr="00EA5078" w:rsidRDefault="00740E0A" w:rsidP="000F687D">
      <w:pPr>
        <w:pStyle w:val="Text3"/>
      </w:pPr>
      <w:r w:rsidRPr="00EA5078">
        <w:t>8535/16 SOC 214 EMPL 131 PECHE 150</w:t>
      </w:r>
    </w:p>
    <w:p w:rsidR="00740E0A" w:rsidRPr="00EA5078" w:rsidRDefault="004145D1" w:rsidP="000F687D">
      <w:pPr>
        <w:pStyle w:val="Text4"/>
        <w:spacing w:after="240"/>
      </w:pPr>
      <w:r w:rsidRPr="00EA5078">
        <w:t>+ ADD 3</w:t>
      </w:r>
    </w:p>
    <w:p w:rsidR="009577E3" w:rsidRPr="00EA5078" w:rsidRDefault="009577E3" w:rsidP="009577E3">
      <w:pPr>
        <w:pStyle w:val="PointManual"/>
      </w:pPr>
      <w:r w:rsidRPr="00EA5078">
        <w:t>11.</w:t>
      </w:r>
      <w:r w:rsidRPr="00EA5078">
        <w:tab/>
        <w:t>Projet de conclusions du Conseil intitulées "Lutte contre la pauvreté et l'exclusion sociale: Une approche intégrée"</w:t>
      </w:r>
    </w:p>
    <w:p w:rsidR="009577E3" w:rsidRPr="00EA5078" w:rsidRDefault="009577E3" w:rsidP="00913510">
      <w:pPr>
        <w:pStyle w:val="DashEqual1"/>
        <w:spacing w:after="240"/>
      </w:pPr>
      <w:r w:rsidRPr="00EA5078">
        <w:t>Adoption</w:t>
      </w:r>
    </w:p>
    <w:p w:rsidR="009577E3" w:rsidRPr="00EA5078" w:rsidRDefault="009577E3" w:rsidP="009577E3">
      <w:pPr>
        <w:pStyle w:val="PointManual"/>
      </w:pPr>
      <w:r w:rsidRPr="00EA5078">
        <w:t>12.</w:t>
      </w:r>
      <w:r w:rsidRPr="00EA5078">
        <w:tab/>
        <w:t>Projet de conclusions du Conseil intitulées "Un nouveau départ pour un dialogue social fort"</w:t>
      </w:r>
    </w:p>
    <w:p w:rsidR="00D874D7" w:rsidRPr="00EA5078" w:rsidRDefault="009577E3" w:rsidP="00913510">
      <w:pPr>
        <w:pStyle w:val="DashEqual1"/>
        <w:spacing w:after="240"/>
      </w:pPr>
      <w:r w:rsidRPr="00EA5078">
        <w:t>Adoption</w:t>
      </w:r>
    </w:p>
    <w:p w:rsidR="009577E3" w:rsidRPr="00EA5078" w:rsidRDefault="00D874D7" w:rsidP="00D874D7">
      <w:pPr>
        <w:pStyle w:val="PointManual"/>
        <w:spacing w:before="240"/>
      </w:pPr>
      <w:r w:rsidRPr="00EA5078">
        <w:br w:type="page"/>
      </w:r>
      <w:r w:rsidRPr="00EA5078">
        <w:lastRenderedPageBreak/>
        <w:t>13.</w:t>
      </w:r>
      <w:r w:rsidRPr="00EA5078">
        <w:tab/>
        <w:t>Égalité</w:t>
      </w:r>
    </w:p>
    <w:p w:rsidR="009577E3" w:rsidRPr="00EA5078" w:rsidRDefault="009577E3" w:rsidP="00913510">
      <w:pPr>
        <w:pStyle w:val="PointManual1"/>
        <w:spacing w:before="200"/>
      </w:pPr>
      <w:r w:rsidRPr="00EA5078">
        <w:t>a)</w:t>
      </w:r>
      <w:r w:rsidRPr="00EA5078">
        <w:tab/>
        <w:t>Projet de conclusions du Conseil intitulées "Réponse à l'engagement stratégique de la Commission en faveur de l'égalité des sexes"</w:t>
      </w:r>
    </w:p>
    <w:p w:rsidR="009577E3" w:rsidRPr="00EA5078" w:rsidRDefault="009577E3" w:rsidP="00913510">
      <w:pPr>
        <w:pStyle w:val="PointManual1"/>
        <w:spacing w:before="200"/>
      </w:pPr>
      <w:r w:rsidRPr="00EA5078">
        <w:t>b)</w:t>
      </w:r>
      <w:r w:rsidRPr="00EA5078">
        <w:tab/>
        <w:t>Projet de conclusions du Conseil intitulées "Suite donnée à la liste de la Commission énonçant des mesures permettant de faire progresser l'égalité de traitement à l'égard des personnes LGBTI"</w:t>
      </w:r>
    </w:p>
    <w:p w:rsidR="002A7FD1" w:rsidRPr="00EA5078" w:rsidRDefault="009577E3" w:rsidP="00A05C7B">
      <w:pPr>
        <w:pStyle w:val="DashEqual1"/>
        <w:spacing w:before="120" w:after="240"/>
      </w:pPr>
      <w:r w:rsidRPr="00EA5078">
        <w:t>Adoption</w:t>
      </w:r>
    </w:p>
    <w:p w:rsidR="009577E3" w:rsidRPr="00EA5078" w:rsidRDefault="009577E3" w:rsidP="00D874D7">
      <w:pPr>
        <w:spacing w:before="240"/>
        <w:rPr>
          <w:b/>
          <w:iCs/>
          <w:color w:val="000000"/>
          <w:u w:val="single"/>
        </w:rPr>
      </w:pPr>
      <w:r w:rsidRPr="00EA5078">
        <w:rPr>
          <w:b/>
          <w:iCs/>
          <w:color w:val="000000"/>
          <w:u w:val="single"/>
        </w:rPr>
        <w:t>Divers</w:t>
      </w:r>
    </w:p>
    <w:p w:rsidR="009577E3" w:rsidRPr="00EA5078" w:rsidRDefault="009577E3" w:rsidP="00A05C7B">
      <w:pPr>
        <w:pStyle w:val="PointDoubleManual"/>
        <w:rPr>
          <w:bCs/>
        </w:rPr>
      </w:pPr>
      <w:r w:rsidRPr="00EA5078">
        <w:t>14.</w:t>
      </w:r>
      <w:r w:rsidRPr="00EA5078">
        <w:tab/>
        <w:t>a)</w:t>
      </w:r>
      <w:r w:rsidRPr="00EA5078">
        <w:tab/>
        <w:t>La dimension internationale des politiques de l'emploi et des politiques sociales</w:t>
      </w:r>
    </w:p>
    <w:p w:rsidR="009577E3" w:rsidRPr="00EA5078" w:rsidRDefault="009577E3" w:rsidP="00A05C7B">
      <w:pPr>
        <w:pStyle w:val="DashEqual2"/>
      </w:pPr>
      <w:r w:rsidRPr="00EA5078">
        <w:t>Informations communiquées par la Commission</w:t>
      </w:r>
    </w:p>
    <w:p w:rsidR="009577E3" w:rsidRPr="00EA5078" w:rsidRDefault="00A05C7B" w:rsidP="00A05C7B">
      <w:pPr>
        <w:pStyle w:val="PointManual1"/>
        <w:spacing w:before="200"/>
      </w:pPr>
      <w:r w:rsidRPr="00EA5078">
        <w:t>b)</w:t>
      </w:r>
      <w:r w:rsidRPr="00EA5078">
        <w:tab/>
        <w:t xml:space="preserve">Suivi des travaux de la Commission de la condition de la femme </w:t>
      </w:r>
    </w:p>
    <w:p w:rsidR="009577E3" w:rsidRPr="00EA5078" w:rsidRDefault="009577E3" w:rsidP="00A05C7B">
      <w:pPr>
        <w:pStyle w:val="DashEqual2"/>
      </w:pPr>
      <w:r w:rsidRPr="00EA5078">
        <w:t>Informations communiquées par la Commission</w:t>
      </w:r>
    </w:p>
    <w:p w:rsidR="009577E3" w:rsidRPr="00EA5078" w:rsidRDefault="00A05C7B" w:rsidP="00A05C7B">
      <w:pPr>
        <w:pStyle w:val="PointManual1"/>
        <w:spacing w:before="200"/>
      </w:pPr>
      <w:r w:rsidRPr="00EA5078">
        <w:t>c)</w:t>
      </w:r>
      <w:r w:rsidRPr="00EA5078">
        <w:tab/>
        <w:t>Programme de travail de la prochaine présidence</w:t>
      </w:r>
    </w:p>
    <w:p w:rsidR="009577E3" w:rsidRPr="00EA5078" w:rsidRDefault="009577E3" w:rsidP="00A05C7B">
      <w:pPr>
        <w:pStyle w:val="DashEqual2"/>
      </w:pPr>
      <w:r w:rsidRPr="00EA5078">
        <w:t>Informations communiquées par la délégation slovaque</w:t>
      </w:r>
    </w:p>
    <w:p w:rsidR="009577E3" w:rsidRPr="00EA5078" w:rsidRDefault="009577E3" w:rsidP="00A05C7B">
      <w:pPr>
        <w:spacing w:after="240"/>
        <w:rPr>
          <w:b/>
          <w:u w:val="single"/>
        </w:rPr>
      </w:pPr>
      <w:r w:rsidRPr="00EA5078">
        <w:br w:type="page"/>
      </w:r>
      <w:r w:rsidRPr="00EA5078">
        <w:rPr>
          <w:b/>
          <w:u w:val="single"/>
        </w:rPr>
        <w:lastRenderedPageBreak/>
        <w:t>SESSION DU VENDREDI 17 JUIN 2016 (10 HEURES)</w:t>
      </w:r>
    </w:p>
    <w:p w:rsidR="009577E3" w:rsidRPr="00EA5078" w:rsidRDefault="009577E3" w:rsidP="00A05C7B">
      <w:pPr>
        <w:spacing w:after="240"/>
        <w:outlineLvl w:val="0"/>
        <w:rPr>
          <w:b/>
          <w:caps/>
          <w:u w:val="single"/>
        </w:rPr>
      </w:pPr>
      <w:r w:rsidRPr="00EA5078">
        <w:rPr>
          <w:b/>
          <w:caps/>
          <w:u w:val="single"/>
        </w:rPr>
        <w:t>SANTÉ</w:t>
      </w:r>
    </w:p>
    <w:p w:rsidR="009577E3" w:rsidRPr="00EA5078" w:rsidRDefault="009577E3" w:rsidP="000B7A36">
      <w:pPr>
        <w:rPr>
          <w:b/>
          <w:iCs/>
          <w:color w:val="000000"/>
          <w:u w:val="single"/>
        </w:rPr>
      </w:pPr>
      <w:bookmarkStart w:id="3" w:name="DQCErrorScope16a4994973a84f62883efa12ea2"/>
      <w:r w:rsidRPr="00EA5078">
        <w:rPr>
          <w:b/>
          <w:iCs/>
          <w:color w:val="000000"/>
          <w:u w:val="single"/>
        </w:rPr>
        <w:t>Activités non législatives</w:t>
      </w:r>
    </w:p>
    <w:p w:rsidR="009577E3" w:rsidRPr="00EA5078" w:rsidRDefault="009577E3" w:rsidP="000B7A36">
      <w:pPr>
        <w:rPr>
          <w:b/>
          <w:iCs/>
          <w:color w:val="000000"/>
        </w:rPr>
      </w:pPr>
      <w:bookmarkStart w:id="4" w:name="DQCErrorScope3863aa4a071f4a95ab3f86ad9a8"/>
      <w:bookmarkEnd w:id="3"/>
      <w:r w:rsidRPr="00EA5078">
        <w:rPr>
          <w:b/>
          <w:iCs/>
          <w:color w:val="000000"/>
        </w:rPr>
        <w:t>(Débat public conformément à l'article 8, paragraphe 2, du règlement intérieur du Conseil</w:t>
      </w:r>
    </w:p>
    <w:p w:rsidR="009577E3" w:rsidRPr="00EA5078" w:rsidRDefault="009577E3" w:rsidP="000B7A36">
      <w:pPr>
        <w:spacing w:after="240"/>
        <w:rPr>
          <w:bCs/>
          <w:iCs/>
          <w:color w:val="000000"/>
        </w:rPr>
      </w:pPr>
      <w:bookmarkStart w:id="5" w:name="DQCErrorScoped40a45d55bec40c8878abe7fb2d"/>
      <w:bookmarkEnd w:id="4"/>
      <w:r w:rsidRPr="00EA5078">
        <w:rPr>
          <w:b/>
          <w:iCs/>
          <w:color w:val="000000"/>
        </w:rPr>
        <w:t>[proposé par la présidence] pour les points 15 à 17)</w:t>
      </w:r>
    </w:p>
    <w:bookmarkEnd w:id="5"/>
    <w:p w:rsidR="009577E3" w:rsidRPr="00EA5078" w:rsidRDefault="009577E3" w:rsidP="00A05C7B">
      <w:pPr>
        <w:pStyle w:val="PointManual"/>
      </w:pPr>
      <w:r w:rsidRPr="00EA5078">
        <w:t>15.</w:t>
      </w:r>
      <w:r w:rsidRPr="00EA5078">
        <w:tab/>
        <w:t>Projet de conclusions du Conseil sur l'amélioration des produits alimentaires</w:t>
      </w:r>
    </w:p>
    <w:p w:rsidR="009577E3" w:rsidRPr="00EA5078" w:rsidRDefault="009577E3" w:rsidP="00671055">
      <w:pPr>
        <w:pStyle w:val="DashEqual1"/>
        <w:spacing w:after="240"/>
      </w:pPr>
      <w:r w:rsidRPr="00EA5078">
        <w:t>Adoption</w:t>
      </w:r>
    </w:p>
    <w:p w:rsidR="009577E3" w:rsidRPr="00EA5078" w:rsidRDefault="00A05C7B" w:rsidP="00A05C7B">
      <w:pPr>
        <w:pStyle w:val="PointManual"/>
      </w:pPr>
      <w:r w:rsidRPr="00EA5078">
        <w:t>16.</w:t>
      </w:r>
      <w:r w:rsidRPr="00EA5078">
        <w:tab/>
        <w:t>Projet de conclusions du Conseil sur les prochaines étapes de la lutte contre la résistance aux antimicrobiens dans le cadre du concept "Une seule santé"</w:t>
      </w:r>
    </w:p>
    <w:p w:rsidR="009577E3" w:rsidRPr="00EA5078" w:rsidRDefault="009577E3" w:rsidP="00671055">
      <w:pPr>
        <w:pStyle w:val="DashEqual1"/>
        <w:spacing w:after="240"/>
      </w:pPr>
      <w:r w:rsidRPr="00EA5078">
        <w:t>Adoption</w:t>
      </w:r>
    </w:p>
    <w:p w:rsidR="009577E3" w:rsidRPr="00EA5078" w:rsidRDefault="00A05C7B" w:rsidP="00D052F5">
      <w:pPr>
        <w:pStyle w:val="PointManual"/>
      </w:pPr>
      <w:r w:rsidRPr="00EA5078">
        <w:t>17.</w:t>
      </w:r>
      <w:r w:rsidRPr="00EA5078">
        <w:tab/>
        <w:t>Projet de conclusions du Conseil sur le renforcement de l'équilibre au sein du système pharmaceutique de l'UE et de ses États membres</w:t>
      </w:r>
    </w:p>
    <w:p w:rsidR="006C0757" w:rsidRPr="00EA5078" w:rsidRDefault="009577E3" w:rsidP="000F687D">
      <w:pPr>
        <w:pStyle w:val="DashEqual1"/>
        <w:spacing w:after="240"/>
      </w:pPr>
      <w:r w:rsidRPr="00EA5078">
        <w:t>Adoption</w:t>
      </w:r>
    </w:p>
    <w:p w:rsidR="009577E3" w:rsidRPr="00EA5078" w:rsidRDefault="009577E3" w:rsidP="00671055">
      <w:pPr>
        <w:widowControl w:val="0"/>
        <w:tabs>
          <w:tab w:val="left" w:pos="567"/>
        </w:tabs>
        <w:spacing w:before="240"/>
        <w:rPr>
          <w:b/>
          <w:iCs/>
          <w:color w:val="000000"/>
          <w:u w:val="single"/>
        </w:rPr>
      </w:pPr>
      <w:r w:rsidRPr="00EA5078">
        <w:rPr>
          <w:b/>
          <w:iCs/>
          <w:color w:val="000000"/>
          <w:u w:val="single"/>
        </w:rPr>
        <w:t>Divers</w:t>
      </w:r>
    </w:p>
    <w:p w:rsidR="009577E3" w:rsidRPr="00EA5078" w:rsidRDefault="009577E3" w:rsidP="00671055">
      <w:pPr>
        <w:pStyle w:val="PointDoubleManual"/>
      </w:pPr>
      <w:r w:rsidRPr="00EA5078">
        <w:t>18.</w:t>
      </w:r>
      <w:r w:rsidRPr="00EA5078">
        <w:tab/>
        <w:t>a)</w:t>
      </w:r>
      <w:r w:rsidRPr="00EA5078">
        <w:tab/>
        <w:t>Proposition législative en cours d'examen</w:t>
      </w:r>
    </w:p>
    <w:p w:rsidR="009577E3" w:rsidRPr="00EA5078" w:rsidRDefault="009577E3" w:rsidP="000B7A36">
      <w:pPr>
        <w:pStyle w:val="Text2"/>
      </w:pPr>
      <w:bookmarkStart w:id="6" w:name="DQCErrorScope0cc64c1e6e1849efa92c8c927f2"/>
      <w:r w:rsidRPr="00EA5078">
        <w:t>(Délibération publique conformément à l'article 16, paragraphe 8, du traité sur l'Union européenne)</w:t>
      </w:r>
    </w:p>
    <w:bookmarkEnd w:id="6"/>
    <w:p w:rsidR="009577E3" w:rsidRPr="00EA5078" w:rsidRDefault="009577E3" w:rsidP="000B7A36">
      <w:pPr>
        <w:pStyle w:val="Bullet2"/>
        <w:numPr>
          <w:ilvl w:val="0"/>
          <w:numId w:val="22"/>
        </w:numPr>
        <w:spacing w:before="120"/>
      </w:pPr>
      <w:r w:rsidRPr="00EA5078">
        <w:t xml:space="preserve">Proposition de règlement du Parlement européen et du Conseil relatif aux dispositifs médicaux, et modifiant la directive 2001/83/CE, le règlement (CE) n° 178/2002 et le règlement (CE) n° 1223/2009 </w:t>
      </w:r>
      <w:r w:rsidRPr="00EA5078">
        <w:rPr>
          <w:b/>
          <w:bCs/>
        </w:rPr>
        <w:t>(première lecture)</w:t>
      </w:r>
    </w:p>
    <w:p w:rsidR="009577E3" w:rsidRPr="00EA5078" w:rsidRDefault="009577E3" w:rsidP="00671055">
      <w:pPr>
        <w:pStyle w:val="Text3"/>
      </w:pPr>
      <w:r w:rsidRPr="00EA5078">
        <w:t>Dossier interinstitutionnel: 2012/0266 (COD)</w:t>
      </w:r>
    </w:p>
    <w:p w:rsidR="009577E3" w:rsidRPr="00EA5078" w:rsidRDefault="009577E3" w:rsidP="00671055">
      <w:pPr>
        <w:pStyle w:val="Text3"/>
      </w:pPr>
      <w:r w:rsidRPr="00EA5078">
        <w:t>et</w:t>
      </w:r>
    </w:p>
    <w:p w:rsidR="009577E3" w:rsidRPr="00EA5078" w:rsidRDefault="009577E3" w:rsidP="00671055">
      <w:pPr>
        <w:pStyle w:val="Text3"/>
      </w:pPr>
      <w:r w:rsidRPr="00EA5078">
        <w:t xml:space="preserve">Proposition de règlement du Parlement européen et du Conseil relatif aux dispositifs médicaux de diagnostic in vitro </w:t>
      </w:r>
      <w:r w:rsidRPr="00EA5078">
        <w:rPr>
          <w:b/>
          <w:bCs/>
        </w:rPr>
        <w:t>(première lecture)</w:t>
      </w:r>
    </w:p>
    <w:p w:rsidR="009577E3" w:rsidRPr="00EA5078" w:rsidRDefault="009577E3" w:rsidP="00671055">
      <w:pPr>
        <w:pStyle w:val="Text3"/>
      </w:pPr>
      <w:r w:rsidRPr="00EA5078">
        <w:t>Dossier interinstitutionnel: 2012/0267 (COD)</w:t>
      </w:r>
    </w:p>
    <w:p w:rsidR="009577E3" w:rsidRPr="00EA5078" w:rsidRDefault="009577E3" w:rsidP="000B7A36">
      <w:pPr>
        <w:pStyle w:val="DashEqual3"/>
        <w:numPr>
          <w:ilvl w:val="0"/>
          <w:numId w:val="23"/>
        </w:numPr>
      </w:pPr>
      <w:r w:rsidRPr="00EA5078">
        <w:t>Informations communiquées par la présidence</w:t>
      </w:r>
    </w:p>
    <w:p w:rsidR="00CD6F99" w:rsidRPr="00EA5078" w:rsidRDefault="005D01F5" w:rsidP="00CD6F99">
      <w:pPr>
        <w:pStyle w:val="Text3"/>
        <w:rPr>
          <w:lang w:val="it-IT"/>
        </w:rPr>
      </w:pPr>
      <w:r w:rsidRPr="00EA5078">
        <w:rPr>
          <w:lang w:val="it-IT"/>
        </w:rPr>
        <w:t>14493/12 PHARM 71 SAN 215 MI 597 COMPET 600 CODEC 2305</w:t>
      </w:r>
    </w:p>
    <w:p w:rsidR="005D01F5" w:rsidRPr="00EA5078" w:rsidRDefault="005D01F5" w:rsidP="00CD6F99">
      <w:pPr>
        <w:pStyle w:val="Text4"/>
        <w:rPr>
          <w:lang w:val="it-IT"/>
        </w:rPr>
      </w:pPr>
      <w:r w:rsidRPr="00EA5078">
        <w:rPr>
          <w:lang w:val="it-IT"/>
        </w:rPr>
        <w:t>+ COR 1</w:t>
      </w:r>
    </w:p>
    <w:p w:rsidR="00CD6F99" w:rsidRPr="00EA5078" w:rsidRDefault="005D01F5" w:rsidP="00CD6F99">
      <w:pPr>
        <w:pStyle w:val="Text3"/>
        <w:rPr>
          <w:lang w:val="it-IT"/>
        </w:rPr>
      </w:pPr>
      <w:r w:rsidRPr="00EA5078">
        <w:rPr>
          <w:lang w:val="it-IT"/>
        </w:rPr>
        <w:t>14499/12 PHARM 72 SAN 216 MI 598 COMPET 599 CODEC 2312</w:t>
      </w:r>
    </w:p>
    <w:p w:rsidR="005D01F5" w:rsidRPr="00EA5078" w:rsidRDefault="005D01F5" w:rsidP="00CD6F99">
      <w:pPr>
        <w:pStyle w:val="Text4"/>
      </w:pPr>
      <w:r w:rsidRPr="00EA5078">
        <w:t>+ COR 1</w:t>
      </w:r>
    </w:p>
    <w:p w:rsidR="009577E3" w:rsidRPr="00EA5078" w:rsidRDefault="009577E3" w:rsidP="00671055">
      <w:pPr>
        <w:pStyle w:val="PointManual1"/>
        <w:spacing w:before="200"/>
      </w:pPr>
      <w:r w:rsidRPr="00EA5078">
        <w:t>b)</w:t>
      </w:r>
      <w:r w:rsidRPr="00EA5078">
        <w:tab/>
        <w:t>Règlement (UE) n° 609/2013 du Parlement européen et du Conseil du 12 juin 2013 concernant les denrées alimentaires destinées aux nourrissons et aux enfants en bas âge, les denrées alimentaires destinées à des fins médicales spéciales et les substituts de la ration journalière totale pour contrôle du poids</w:t>
      </w:r>
    </w:p>
    <w:p w:rsidR="009577E3" w:rsidRPr="00EA5078" w:rsidRDefault="009577E3" w:rsidP="00482C6A">
      <w:pPr>
        <w:pStyle w:val="PointManual2"/>
        <w:spacing w:before="120"/>
      </w:pPr>
      <w:r w:rsidRPr="00EA5078">
        <w:t>i)</w:t>
      </w:r>
      <w:r w:rsidRPr="00EA5078">
        <w:tab/>
        <w:t>Rapport de la Commission sur les boissons à base de lait et les produits similaires destinés aux enfants en bas âge</w:t>
      </w:r>
    </w:p>
    <w:p w:rsidR="00F85271" w:rsidRPr="00EA5078" w:rsidRDefault="00F85271" w:rsidP="002020E3">
      <w:pPr>
        <w:pStyle w:val="Text3"/>
      </w:pPr>
      <w:r w:rsidRPr="00EA5078">
        <w:t>7489/16 DENLEG 24 AGRI 158</w:t>
      </w:r>
    </w:p>
    <w:p w:rsidR="009577E3" w:rsidRPr="00EA5078" w:rsidRDefault="009577E3" w:rsidP="00482C6A">
      <w:pPr>
        <w:pStyle w:val="PointManual2"/>
        <w:spacing w:before="120"/>
      </w:pPr>
      <w:r w:rsidRPr="00EA5078">
        <w:t>ii)</w:t>
      </w:r>
      <w:r w:rsidRPr="00EA5078">
        <w:tab/>
        <w:t>(évent.) Rapport de la Commission sur les denrées alimentaires destinées aux sportifs</w:t>
      </w:r>
    </w:p>
    <w:p w:rsidR="009577E3" w:rsidRPr="00EA5078" w:rsidRDefault="00D04DEB" w:rsidP="000F687D">
      <w:pPr>
        <w:pStyle w:val="DashEqual2"/>
        <w:spacing w:before="120"/>
        <w:rPr>
          <w:bCs/>
        </w:rPr>
      </w:pPr>
      <w:r w:rsidRPr="00EA5078">
        <w:t>Présentation par la Commission</w:t>
      </w:r>
    </w:p>
    <w:p w:rsidR="009577E3" w:rsidRPr="00EA5078" w:rsidRDefault="00760B3A" w:rsidP="00671055">
      <w:pPr>
        <w:pStyle w:val="PointManual1"/>
        <w:spacing w:before="200"/>
      </w:pPr>
      <w:r w:rsidRPr="00EA5078">
        <w:br w:type="page"/>
      </w:r>
      <w:r w:rsidRPr="00EA5078">
        <w:lastRenderedPageBreak/>
        <w:t>c)</w:t>
      </w:r>
      <w:r w:rsidRPr="00EA5078">
        <w:tab/>
        <w:t>Normalisation des services de soins de santé</w:t>
      </w:r>
    </w:p>
    <w:p w:rsidR="009577E3" w:rsidRPr="00EA5078" w:rsidRDefault="009577E3" w:rsidP="00671055">
      <w:pPr>
        <w:pStyle w:val="DashEqual2"/>
      </w:pPr>
      <w:r w:rsidRPr="00EA5078">
        <w:t>Informations communiquées par la délégation polonaise</w:t>
      </w:r>
    </w:p>
    <w:p w:rsidR="00F85271" w:rsidRPr="00EA5078" w:rsidRDefault="00F85271" w:rsidP="000F687D">
      <w:pPr>
        <w:pStyle w:val="Text3"/>
      </w:pPr>
      <w:r w:rsidRPr="00EA5078">
        <w:t>9487/16 SAN 221</w:t>
      </w:r>
    </w:p>
    <w:p w:rsidR="009577E3" w:rsidRPr="00EA5078" w:rsidRDefault="009577E3" w:rsidP="000E5042">
      <w:pPr>
        <w:pStyle w:val="PointManual1"/>
        <w:spacing w:before="200"/>
      </w:pPr>
      <w:r w:rsidRPr="00EA5078">
        <w:t>d)</w:t>
      </w:r>
      <w:r w:rsidRPr="00EA5078">
        <w:tab/>
        <w:t>Élection du directeur général de l'OMS</w:t>
      </w:r>
    </w:p>
    <w:p w:rsidR="00671055" w:rsidRPr="00EA5078" w:rsidRDefault="009577E3" w:rsidP="00671055">
      <w:pPr>
        <w:pStyle w:val="DashEqual2"/>
      </w:pPr>
      <w:r w:rsidRPr="00EA5078">
        <w:t>Informations communiquées par la délégation française</w:t>
      </w:r>
    </w:p>
    <w:p w:rsidR="00737F7A" w:rsidRPr="00EA5078" w:rsidRDefault="00737F7A" w:rsidP="007C18DF">
      <w:pPr>
        <w:pStyle w:val="PointDoubleManual1"/>
        <w:spacing w:before="200"/>
      </w:pPr>
      <w:r w:rsidRPr="00EA5078">
        <w:t>e)</w:t>
      </w:r>
      <w:r w:rsidRPr="00EA5078">
        <w:tab/>
        <w:t>L'état de la santé dans l'UE</w:t>
      </w:r>
    </w:p>
    <w:p w:rsidR="00737F7A" w:rsidRPr="00EA5078" w:rsidRDefault="00737F7A" w:rsidP="00737F7A">
      <w:pPr>
        <w:pStyle w:val="DashEqual2"/>
      </w:pPr>
      <w:r w:rsidRPr="00EA5078">
        <w:t>Informations communiquées par la Commission</w:t>
      </w:r>
    </w:p>
    <w:p w:rsidR="00020FBC" w:rsidRPr="00EA5078" w:rsidRDefault="00020FBC" w:rsidP="00020FBC">
      <w:pPr>
        <w:pStyle w:val="Text3"/>
      </w:pPr>
      <w:r w:rsidRPr="00EA5078">
        <w:t>9589/16 SAN 226</w:t>
      </w:r>
    </w:p>
    <w:p w:rsidR="00020FBC" w:rsidRPr="00EA5078" w:rsidRDefault="009577E3" w:rsidP="00020FBC">
      <w:pPr>
        <w:pStyle w:val="PointDoubleManual1"/>
        <w:spacing w:before="200"/>
      </w:pPr>
      <w:r w:rsidRPr="00EA5078">
        <w:t>f)</w:t>
      </w:r>
      <w:r w:rsidRPr="00EA5078">
        <w:tab/>
        <w:t>Le Fonds européen pour les investissements stratégiques et le plan d'investissement pour l'Europe</w:t>
      </w:r>
    </w:p>
    <w:p w:rsidR="009577E3" w:rsidRPr="00EA5078" w:rsidRDefault="00737F7A" w:rsidP="000E5042">
      <w:pPr>
        <w:pStyle w:val="DashEqual2"/>
      </w:pPr>
      <w:r w:rsidRPr="00EA5078">
        <w:t>Informations communiquées par la Commission</w:t>
      </w:r>
    </w:p>
    <w:p w:rsidR="00020FBC" w:rsidRPr="00EA5078" w:rsidRDefault="00020FBC" w:rsidP="00020FBC">
      <w:pPr>
        <w:pStyle w:val="Text3"/>
      </w:pPr>
      <w:r w:rsidRPr="00EA5078">
        <w:t>9590/16 SAN 227</w:t>
      </w:r>
    </w:p>
    <w:p w:rsidR="00737F7A" w:rsidRPr="00EA5078" w:rsidRDefault="00737F7A" w:rsidP="00737F7A">
      <w:pPr>
        <w:pStyle w:val="PointManual1"/>
        <w:spacing w:before="200"/>
      </w:pPr>
      <w:r w:rsidRPr="00EA5078">
        <w:t>g)</w:t>
      </w:r>
      <w:r w:rsidRPr="00EA5078">
        <w:tab/>
        <w:t>Soutien de la Commission à la réponse apportée par les États membres à l'infection du virus Zika</w:t>
      </w:r>
    </w:p>
    <w:p w:rsidR="00737F7A" w:rsidRPr="00EA5078" w:rsidRDefault="00737F7A" w:rsidP="00737F7A">
      <w:pPr>
        <w:pStyle w:val="DashEqual2"/>
      </w:pPr>
      <w:r w:rsidRPr="00EA5078">
        <w:t>Informations communiquées par la Commission</w:t>
      </w:r>
    </w:p>
    <w:p w:rsidR="00020FBC" w:rsidRPr="00EA5078" w:rsidRDefault="00020FBC" w:rsidP="00020FBC">
      <w:pPr>
        <w:pStyle w:val="Text3"/>
      </w:pPr>
      <w:r w:rsidRPr="00EA5078">
        <w:t>9593/16 SAN 228</w:t>
      </w:r>
    </w:p>
    <w:p w:rsidR="009577E3" w:rsidRPr="00EA5078" w:rsidRDefault="000E5042" w:rsidP="00737F7A">
      <w:pPr>
        <w:pStyle w:val="PointDoubleManual1"/>
        <w:spacing w:before="200"/>
      </w:pPr>
      <w:r w:rsidRPr="00EA5078">
        <w:t>h)</w:t>
      </w:r>
      <w:r w:rsidRPr="00EA5078">
        <w:tab/>
        <w:t xml:space="preserve">Aide apportée aux États membres pour l'utilisation de l'outil d'évaluation de la performance des systèmes de santé </w:t>
      </w:r>
    </w:p>
    <w:p w:rsidR="009577E3" w:rsidRPr="00EA5078" w:rsidRDefault="009577E3" w:rsidP="000E5042">
      <w:pPr>
        <w:pStyle w:val="DashEqual2"/>
      </w:pPr>
      <w:r w:rsidRPr="00EA5078">
        <w:t>Informations communiquées par la Commission</w:t>
      </w:r>
    </w:p>
    <w:p w:rsidR="00020FBC" w:rsidRPr="00EA5078" w:rsidRDefault="00020FBC" w:rsidP="00020FBC">
      <w:pPr>
        <w:pStyle w:val="Text3"/>
      </w:pPr>
      <w:r w:rsidRPr="00EA5078">
        <w:t>9597/16 SAN 229</w:t>
      </w:r>
    </w:p>
    <w:p w:rsidR="009577E3" w:rsidRPr="00EA5078" w:rsidRDefault="009577E3" w:rsidP="000E5042">
      <w:pPr>
        <w:pStyle w:val="PointDoubleManual1"/>
        <w:spacing w:before="200"/>
      </w:pPr>
      <w:r w:rsidRPr="00EA5078">
        <w:t>i)</w:t>
      </w:r>
      <w:r w:rsidRPr="00EA5078">
        <w:tab/>
        <w:t>Résultats des conférences organisées par la présidence néerlandaise</w:t>
      </w:r>
    </w:p>
    <w:p w:rsidR="009577E3" w:rsidRPr="00EA5078" w:rsidRDefault="009577E3" w:rsidP="000E5042">
      <w:pPr>
        <w:pStyle w:val="DashEqual2"/>
      </w:pPr>
      <w:r w:rsidRPr="00EA5078">
        <w:t>Informations communiquées par la présidence</w:t>
      </w:r>
    </w:p>
    <w:p w:rsidR="009577E3" w:rsidRPr="00EA5078" w:rsidRDefault="009577E3" w:rsidP="000E5042">
      <w:pPr>
        <w:pStyle w:val="PointDoubleManual1"/>
        <w:spacing w:before="200"/>
      </w:pPr>
      <w:r w:rsidRPr="00EA5078">
        <w:t>j)</w:t>
      </w:r>
      <w:r w:rsidRPr="00EA5078">
        <w:tab/>
        <w:t>Programme de travail de la prochaine présidence</w:t>
      </w:r>
    </w:p>
    <w:p w:rsidR="009577E3" w:rsidRPr="00EA5078" w:rsidRDefault="009577E3" w:rsidP="000E5042">
      <w:pPr>
        <w:pStyle w:val="DashEqual2"/>
        <w:rPr>
          <w:b/>
          <w:u w:val="single"/>
        </w:rPr>
      </w:pPr>
      <w:r w:rsidRPr="00EA5078">
        <w:t>Informations communiquées par la délégation slovaque</w:t>
      </w:r>
    </w:p>
    <w:p w:rsidR="00B82056" w:rsidRPr="00EA5078" w:rsidRDefault="00B82056" w:rsidP="00B82056">
      <w:pPr>
        <w:spacing w:before="960"/>
      </w:pPr>
      <w:r w:rsidRPr="00EA5078">
        <w:t>____________________</w:t>
      </w:r>
    </w:p>
    <w:p w:rsidR="00B82056" w:rsidRPr="00EA5078" w:rsidRDefault="00B82056" w:rsidP="00B82056">
      <w:pPr>
        <w:rPr>
          <w:bCs/>
        </w:rPr>
      </w:pPr>
      <w:r w:rsidRPr="00EA5078">
        <w:t>(*)</w:t>
      </w:r>
      <w:r w:rsidRPr="00EA5078">
        <w:tab/>
        <w:t>Point sur lequel un vote peut être demandé.</w:t>
      </w:r>
    </w:p>
    <w:p w:rsidR="00D6250F" w:rsidRPr="00EA5078" w:rsidRDefault="00D6250F" w:rsidP="00B82056">
      <w:pPr>
        <w:pStyle w:val="FinalLine"/>
        <w:spacing w:before="960" w:after="720"/>
      </w:pPr>
    </w:p>
    <w:p w:rsidR="00D6250F" w:rsidRPr="00EA5078" w:rsidRDefault="00C82F3C" w:rsidP="00C82F3C">
      <w:pPr>
        <w:pStyle w:val="NB"/>
      </w:pPr>
      <w:r w:rsidRPr="00EA5078">
        <w:t>NB:</w:t>
      </w:r>
      <w:r w:rsidRPr="00EA5078">
        <w:tab/>
        <w:t>Veuillez transmettre au service du protocole, aussi rapidement que possible, une liste des délégués qui participeront à cette réunion. Adresse électronique: protocole.participants@consilium.europa.eu</w:t>
      </w:r>
    </w:p>
    <w:p w:rsidR="00FC4670" w:rsidRPr="00C82F3C" w:rsidRDefault="00D6250F" w:rsidP="00D6250F">
      <w:pPr>
        <w:pStyle w:val="NB"/>
      </w:pPr>
      <w:r w:rsidRPr="00EA5078">
        <w:t>NB:</w:t>
      </w:r>
      <w:r w:rsidRPr="00EA5078">
        <w:tab/>
        <w:t>Il est recommandé aux délégués devant obtenir un badge journalier pour assister aux réunions de consulter le document 14387/1/12 REV 1 afin de prendre connaissance des modalit</w:t>
      </w:r>
      <w:bookmarkStart w:id="7" w:name="_GoBack"/>
      <w:bookmarkEnd w:id="7"/>
      <w:r w:rsidRPr="00EA5078">
        <w:t>és d'obtention de ce badge.</w:t>
      </w:r>
    </w:p>
    <w:sectPr w:rsidR="00FC4670" w:rsidRPr="00C82F3C" w:rsidSect="00EA5078">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50F" w:rsidRDefault="00D6250F" w:rsidP="00D6250F">
      <w:r>
        <w:separator/>
      </w:r>
    </w:p>
  </w:endnote>
  <w:endnote w:type="continuationSeparator" w:id="0">
    <w:p w:rsidR="00D6250F" w:rsidRDefault="00D6250F" w:rsidP="00D6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2F" w:rsidRPr="00EA5078" w:rsidRDefault="00D6592F" w:rsidP="00EA50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EA5078" w:rsidRPr="00D94637" w:rsidTr="00EA5078">
      <w:trPr>
        <w:jc w:val="center"/>
      </w:trPr>
      <w:tc>
        <w:tcPr>
          <w:tcW w:w="5000" w:type="pct"/>
          <w:gridSpan w:val="7"/>
          <w:shd w:val="clear" w:color="auto" w:fill="auto"/>
          <w:tcMar>
            <w:top w:w="57" w:type="dxa"/>
          </w:tcMar>
        </w:tcPr>
        <w:p w:rsidR="00EA5078" w:rsidRPr="00D94637" w:rsidRDefault="00EA5078" w:rsidP="00D94637">
          <w:pPr>
            <w:pStyle w:val="FooterText"/>
            <w:pBdr>
              <w:top w:val="single" w:sz="4" w:space="1" w:color="auto"/>
            </w:pBdr>
            <w:spacing w:before="200"/>
            <w:rPr>
              <w:sz w:val="2"/>
              <w:szCs w:val="2"/>
            </w:rPr>
          </w:pPr>
          <w:bookmarkStart w:id="8" w:name="FOOTER_STANDARD"/>
        </w:p>
      </w:tc>
    </w:tr>
    <w:tr w:rsidR="00EA5078" w:rsidRPr="00B310DC" w:rsidTr="00EA5078">
      <w:trPr>
        <w:jc w:val="center"/>
      </w:trPr>
      <w:tc>
        <w:tcPr>
          <w:tcW w:w="2500" w:type="pct"/>
          <w:gridSpan w:val="2"/>
          <w:shd w:val="clear" w:color="auto" w:fill="auto"/>
          <w:tcMar>
            <w:top w:w="0" w:type="dxa"/>
          </w:tcMar>
        </w:tcPr>
        <w:p w:rsidR="00EA5078" w:rsidRPr="00AD7BF2" w:rsidRDefault="00EA5078" w:rsidP="004F54B2">
          <w:pPr>
            <w:pStyle w:val="FooterText"/>
          </w:pPr>
          <w:r>
            <w:t>CM 2861/16</w:t>
          </w:r>
          <w:r w:rsidRPr="002511D8">
            <w:t xml:space="preserve"> </w:t>
          </w:r>
        </w:p>
      </w:tc>
      <w:tc>
        <w:tcPr>
          <w:tcW w:w="625" w:type="pct"/>
          <w:shd w:val="clear" w:color="auto" w:fill="auto"/>
          <w:tcMar>
            <w:top w:w="0" w:type="dxa"/>
          </w:tcMar>
        </w:tcPr>
        <w:p w:rsidR="00EA5078" w:rsidRPr="00AD7BF2" w:rsidRDefault="00EA5078" w:rsidP="00D94637">
          <w:pPr>
            <w:pStyle w:val="FooterText"/>
            <w:jc w:val="center"/>
          </w:pPr>
        </w:p>
      </w:tc>
      <w:tc>
        <w:tcPr>
          <w:tcW w:w="1287" w:type="pct"/>
          <w:gridSpan w:val="3"/>
          <w:shd w:val="clear" w:color="auto" w:fill="auto"/>
          <w:tcMar>
            <w:top w:w="0" w:type="dxa"/>
          </w:tcMar>
        </w:tcPr>
        <w:p w:rsidR="00EA5078" w:rsidRPr="002511D8" w:rsidRDefault="00EA5078" w:rsidP="00D94637">
          <w:pPr>
            <w:pStyle w:val="FooterText"/>
            <w:jc w:val="center"/>
          </w:pPr>
        </w:p>
      </w:tc>
      <w:tc>
        <w:tcPr>
          <w:tcW w:w="588" w:type="pct"/>
          <w:shd w:val="clear" w:color="auto" w:fill="auto"/>
          <w:tcMar>
            <w:top w:w="0" w:type="dxa"/>
          </w:tcMar>
        </w:tcPr>
        <w:p w:rsidR="00EA5078" w:rsidRPr="00B310DC" w:rsidRDefault="00EA5078" w:rsidP="00D94637">
          <w:pPr>
            <w:pStyle w:val="FooterText"/>
            <w:jc w:val="right"/>
          </w:pPr>
          <w:r>
            <w:fldChar w:fldCharType="begin"/>
          </w:r>
          <w:r>
            <w:instrText xml:space="preserve"> PAGE  \* MERGEFORMAT </w:instrText>
          </w:r>
          <w:r>
            <w:fldChar w:fldCharType="separate"/>
          </w:r>
          <w:r w:rsidR="00F26F88">
            <w:rPr>
              <w:noProof/>
            </w:rPr>
            <w:t>6</w:t>
          </w:r>
          <w:r>
            <w:fldChar w:fldCharType="end"/>
          </w:r>
        </w:p>
      </w:tc>
    </w:tr>
    <w:tr w:rsidR="00EA5078" w:rsidRPr="00D94637" w:rsidTr="00EA5078">
      <w:trPr>
        <w:jc w:val="center"/>
      </w:trPr>
      <w:tc>
        <w:tcPr>
          <w:tcW w:w="1774" w:type="pct"/>
          <w:shd w:val="clear" w:color="auto" w:fill="auto"/>
        </w:tcPr>
        <w:p w:rsidR="00EA5078" w:rsidRPr="00AD7BF2" w:rsidRDefault="00EA5078" w:rsidP="00D94637">
          <w:pPr>
            <w:pStyle w:val="FooterText"/>
            <w:spacing w:before="40"/>
          </w:pPr>
        </w:p>
      </w:tc>
      <w:tc>
        <w:tcPr>
          <w:tcW w:w="1455" w:type="pct"/>
          <w:gridSpan w:val="3"/>
          <w:shd w:val="clear" w:color="auto" w:fill="auto"/>
        </w:tcPr>
        <w:p w:rsidR="00EA5078" w:rsidRPr="00AD7BF2" w:rsidRDefault="00EA5078" w:rsidP="00D204D6">
          <w:pPr>
            <w:pStyle w:val="FooterText"/>
            <w:spacing w:before="40"/>
            <w:jc w:val="center"/>
          </w:pPr>
        </w:p>
      </w:tc>
      <w:tc>
        <w:tcPr>
          <w:tcW w:w="1147" w:type="pct"/>
          <w:shd w:val="clear" w:color="auto" w:fill="auto"/>
        </w:tcPr>
        <w:p w:rsidR="00EA5078" w:rsidRPr="00D94637" w:rsidRDefault="00EA5078" w:rsidP="00D94637">
          <w:pPr>
            <w:pStyle w:val="FooterText"/>
            <w:jc w:val="right"/>
            <w:rPr>
              <w:b/>
              <w:position w:val="-4"/>
              <w:sz w:val="36"/>
            </w:rPr>
          </w:pPr>
        </w:p>
      </w:tc>
      <w:tc>
        <w:tcPr>
          <w:tcW w:w="625" w:type="pct"/>
          <w:gridSpan w:val="2"/>
          <w:shd w:val="clear" w:color="auto" w:fill="auto"/>
        </w:tcPr>
        <w:p w:rsidR="00EA5078" w:rsidRPr="00D94637" w:rsidRDefault="00EA5078" w:rsidP="00D94637">
          <w:pPr>
            <w:pStyle w:val="FooterText"/>
            <w:jc w:val="right"/>
            <w:rPr>
              <w:sz w:val="16"/>
            </w:rPr>
          </w:pPr>
          <w:r>
            <w:rPr>
              <w:b/>
              <w:position w:val="-4"/>
              <w:sz w:val="36"/>
            </w:rPr>
            <w:t>FR</w:t>
          </w:r>
        </w:p>
      </w:tc>
    </w:tr>
    <w:bookmarkEnd w:id="8"/>
  </w:tbl>
  <w:p w:rsidR="00D6250F" w:rsidRPr="00EA5078" w:rsidRDefault="00D6250F" w:rsidP="00EA5078">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EA5078" w:rsidRPr="00D94637" w:rsidTr="00EA5078">
      <w:trPr>
        <w:jc w:val="center"/>
      </w:trPr>
      <w:tc>
        <w:tcPr>
          <w:tcW w:w="5000" w:type="pct"/>
          <w:gridSpan w:val="7"/>
          <w:shd w:val="clear" w:color="auto" w:fill="auto"/>
          <w:tcMar>
            <w:top w:w="57" w:type="dxa"/>
          </w:tcMar>
        </w:tcPr>
        <w:p w:rsidR="00EA5078" w:rsidRPr="00D94637" w:rsidRDefault="00EA5078" w:rsidP="00D94637">
          <w:pPr>
            <w:pStyle w:val="FooterText"/>
            <w:pBdr>
              <w:top w:val="single" w:sz="4" w:space="1" w:color="auto"/>
            </w:pBdr>
            <w:spacing w:before="200"/>
            <w:rPr>
              <w:sz w:val="2"/>
              <w:szCs w:val="2"/>
            </w:rPr>
          </w:pPr>
        </w:p>
      </w:tc>
    </w:tr>
    <w:tr w:rsidR="00EA5078" w:rsidRPr="00B310DC" w:rsidTr="00EA5078">
      <w:trPr>
        <w:jc w:val="center"/>
      </w:trPr>
      <w:tc>
        <w:tcPr>
          <w:tcW w:w="2500" w:type="pct"/>
          <w:gridSpan w:val="2"/>
          <w:shd w:val="clear" w:color="auto" w:fill="auto"/>
          <w:tcMar>
            <w:top w:w="0" w:type="dxa"/>
          </w:tcMar>
        </w:tcPr>
        <w:p w:rsidR="00EA5078" w:rsidRPr="00AD7BF2" w:rsidRDefault="00EA5078" w:rsidP="004F54B2">
          <w:pPr>
            <w:pStyle w:val="FooterText"/>
          </w:pPr>
          <w:r>
            <w:t>CM 2861/16</w:t>
          </w:r>
          <w:r w:rsidRPr="002511D8">
            <w:t xml:space="preserve"> </w:t>
          </w:r>
        </w:p>
      </w:tc>
      <w:tc>
        <w:tcPr>
          <w:tcW w:w="625" w:type="pct"/>
          <w:shd w:val="clear" w:color="auto" w:fill="auto"/>
          <w:tcMar>
            <w:top w:w="0" w:type="dxa"/>
          </w:tcMar>
        </w:tcPr>
        <w:p w:rsidR="00EA5078" w:rsidRPr="00AD7BF2" w:rsidRDefault="00EA5078" w:rsidP="00D94637">
          <w:pPr>
            <w:pStyle w:val="FooterText"/>
            <w:jc w:val="center"/>
          </w:pPr>
        </w:p>
      </w:tc>
      <w:tc>
        <w:tcPr>
          <w:tcW w:w="1287" w:type="pct"/>
          <w:gridSpan w:val="3"/>
          <w:shd w:val="clear" w:color="auto" w:fill="auto"/>
          <w:tcMar>
            <w:top w:w="0" w:type="dxa"/>
          </w:tcMar>
        </w:tcPr>
        <w:p w:rsidR="00EA5078" w:rsidRPr="002511D8" w:rsidRDefault="00EA5078" w:rsidP="00D94637">
          <w:pPr>
            <w:pStyle w:val="FooterText"/>
            <w:jc w:val="center"/>
          </w:pPr>
        </w:p>
      </w:tc>
      <w:tc>
        <w:tcPr>
          <w:tcW w:w="588" w:type="pct"/>
          <w:shd w:val="clear" w:color="auto" w:fill="auto"/>
          <w:tcMar>
            <w:top w:w="0" w:type="dxa"/>
          </w:tcMar>
        </w:tcPr>
        <w:p w:rsidR="00EA5078" w:rsidRPr="00B310DC" w:rsidRDefault="00EA5078" w:rsidP="00D94637">
          <w:pPr>
            <w:pStyle w:val="FooterText"/>
            <w:jc w:val="right"/>
          </w:pPr>
          <w:r>
            <w:fldChar w:fldCharType="begin"/>
          </w:r>
          <w:r>
            <w:instrText xml:space="preserve"> PAGE  \* MERGEFORMAT </w:instrText>
          </w:r>
          <w:r>
            <w:fldChar w:fldCharType="separate"/>
          </w:r>
          <w:r w:rsidR="00F26F88">
            <w:rPr>
              <w:noProof/>
            </w:rPr>
            <w:t>1</w:t>
          </w:r>
          <w:r>
            <w:fldChar w:fldCharType="end"/>
          </w:r>
        </w:p>
      </w:tc>
    </w:tr>
    <w:tr w:rsidR="00EA5078" w:rsidRPr="00D94637" w:rsidTr="00EA5078">
      <w:trPr>
        <w:jc w:val="center"/>
      </w:trPr>
      <w:tc>
        <w:tcPr>
          <w:tcW w:w="1774" w:type="pct"/>
          <w:shd w:val="clear" w:color="auto" w:fill="auto"/>
        </w:tcPr>
        <w:p w:rsidR="00EA5078" w:rsidRPr="00AD7BF2" w:rsidRDefault="00EA5078" w:rsidP="00D94637">
          <w:pPr>
            <w:pStyle w:val="FooterText"/>
            <w:spacing w:before="40"/>
          </w:pPr>
        </w:p>
      </w:tc>
      <w:tc>
        <w:tcPr>
          <w:tcW w:w="1455" w:type="pct"/>
          <w:gridSpan w:val="3"/>
          <w:shd w:val="clear" w:color="auto" w:fill="auto"/>
        </w:tcPr>
        <w:p w:rsidR="00EA5078" w:rsidRPr="00AD7BF2" w:rsidRDefault="00EA5078" w:rsidP="00D204D6">
          <w:pPr>
            <w:pStyle w:val="FooterText"/>
            <w:spacing w:before="40"/>
            <w:jc w:val="center"/>
          </w:pPr>
        </w:p>
      </w:tc>
      <w:tc>
        <w:tcPr>
          <w:tcW w:w="1147" w:type="pct"/>
          <w:shd w:val="clear" w:color="auto" w:fill="auto"/>
        </w:tcPr>
        <w:p w:rsidR="00EA5078" w:rsidRPr="00D94637" w:rsidRDefault="00EA5078" w:rsidP="00D94637">
          <w:pPr>
            <w:pStyle w:val="FooterText"/>
            <w:jc w:val="right"/>
            <w:rPr>
              <w:b/>
              <w:position w:val="-4"/>
              <w:sz w:val="36"/>
            </w:rPr>
          </w:pPr>
        </w:p>
      </w:tc>
      <w:tc>
        <w:tcPr>
          <w:tcW w:w="625" w:type="pct"/>
          <w:gridSpan w:val="2"/>
          <w:shd w:val="clear" w:color="auto" w:fill="auto"/>
        </w:tcPr>
        <w:p w:rsidR="00EA5078" w:rsidRPr="00D94637" w:rsidRDefault="00EA5078" w:rsidP="00D94637">
          <w:pPr>
            <w:pStyle w:val="FooterText"/>
            <w:jc w:val="right"/>
            <w:rPr>
              <w:sz w:val="16"/>
            </w:rPr>
          </w:pPr>
          <w:r>
            <w:rPr>
              <w:b/>
              <w:position w:val="-4"/>
              <w:sz w:val="36"/>
            </w:rPr>
            <w:t>FR</w:t>
          </w:r>
        </w:p>
      </w:tc>
    </w:tr>
  </w:tbl>
  <w:p w:rsidR="00D6250F" w:rsidRPr="00EA5078" w:rsidRDefault="00D6250F" w:rsidP="00EA5078">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50F" w:rsidRDefault="00D6250F" w:rsidP="00D6250F">
      <w:r>
        <w:separator/>
      </w:r>
    </w:p>
  </w:footnote>
  <w:footnote w:type="continuationSeparator" w:id="0">
    <w:p w:rsidR="00D6250F" w:rsidRDefault="00D6250F" w:rsidP="00D62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2F" w:rsidRPr="00EA5078" w:rsidRDefault="00D6592F" w:rsidP="00EA50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2F" w:rsidRPr="00EA5078" w:rsidRDefault="00D6592F" w:rsidP="00EA5078">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2F" w:rsidRPr="00EA5078" w:rsidRDefault="00D6592F" w:rsidP="00EA5078">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D219C8"/>
    <w:lvl w:ilvl="0">
      <w:start w:val="1"/>
      <w:numFmt w:val="decimal"/>
      <w:lvlText w:val="%1."/>
      <w:lvlJc w:val="left"/>
      <w:pPr>
        <w:tabs>
          <w:tab w:val="num" w:pos="1492"/>
        </w:tabs>
        <w:ind w:left="1492" w:hanging="360"/>
      </w:pPr>
    </w:lvl>
  </w:abstractNum>
  <w:abstractNum w:abstractNumId="1">
    <w:nsid w:val="FFFFFF7D"/>
    <w:multiLevelType w:val="singleLevel"/>
    <w:tmpl w:val="E79E2E48"/>
    <w:lvl w:ilvl="0">
      <w:start w:val="1"/>
      <w:numFmt w:val="decimal"/>
      <w:lvlText w:val="%1."/>
      <w:lvlJc w:val="left"/>
      <w:pPr>
        <w:tabs>
          <w:tab w:val="num" w:pos="1209"/>
        </w:tabs>
        <w:ind w:left="1209" w:hanging="360"/>
      </w:pPr>
    </w:lvl>
  </w:abstractNum>
  <w:abstractNum w:abstractNumId="2">
    <w:nsid w:val="FFFFFF7E"/>
    <w:multiLevelType w:val="singleLevel"/>
    <w:tmpl w:val="E77C0F44"/>
    <w:lvl w:ilvl="0">
      <w:start w:val="1"/>
      <w:numFmt w:val="decimal"/>
      <w:lvlText w:val="%1."/>
      <w:lvlJc w:val="left"/>
      <w:pPr>
        <w:tabs>
          <w:tab w:val="num" w:pos="926"/>
        </w:tabs>
        <w:ind w:left="926" w:hanging="360"/>
      </w:pPr>
    </w:lvl>
  </w:abstractNum>
  <w:abstractNum w:abstractNumId="3">
    <w:nsid w:val="FFFFFF7F"/>
    <w:multiLevelType w:val="singleLevel"/>
    <w:tmpl w:val="BA641DEA"/>
    <w:lvl w:ilvl="0">
      <w:start w:val="1"/>
      <w:numFmt w:val="decimal"/>
      <w:lvlText w:val="%1."/>
      <w:lvlJc w:val="left"/>
      <w:pPr>
        <w:tabs>
          <w:tab w:val="num" w:pos="643"/>
        </w:tabs>
        <w:ind w:left="643" w:hanging="360"/>
      </w:pPr>
    </w:lvl>
  </w:abstractNum>
  <w:abstractNum w:abstractNumId="4">
    <w:nsid w:val="FFFFFF80"/>
    <w:multiLevelType w:val="singleLevel"/>
    <w:tmpl w:val="12B061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6308CD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984E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63EA4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1346602"/>
    <w:lvl w:ilvl="0">
      <w:start w:val="1"/>
      <w:numFmt w:val="decimal"/>
      <w:lvlText w:val="%1."/>
      <w:lvlJc w:val="left"/>
      <w:pPr>
        <w:tabs>
          <w:tab w:val="num" w:pos="360"/>
        </w:tabs>
        <w:ind w:left="360" w:hanging="360"/>
      </w:pPr>
    </w:lvl>
  </w:abstractNum>
  <w:abstractNum w:abstractNumId="9">
    <w:nsid w:val="FFFFFF89"/>
    <w:multiLevelType w:val="singleLevel"/>
    <w:tmpl w:val="BE8C8CB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1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2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1"/>
  </w:num>
  <w:num w:numId="2">
    <w:abstractNumId w:val="27"/>
  </w:num>
  <w:num w:numId="3">
    <w:abstractNumId w:val="15"/>
  </w:num>
  <w:num w:numId="4">
    <w:abstractNumId w:val="23"/>
  </w:num>
  <w:num w:numId="5">
    <w:abstractNumId w:val="13"/>
  </w:num>
  <w:num w:numId="6">
    <w:abstractNumId w:val="28"/>
  </w:num>
  <w:num w:numId="7">
    <w:abstractNumId w:val="20"/>
  </w:num>
  <w:num w:numId="8">
    <w:abstractNumId w:val="22"/>
  </w:num>
  <w:num w:numId="9">
    <w:abstractNumId w:val="24"/>
  </w:num>
  <w:num w:numId="10">
    <w:abstractNumId w:val="19"/>
  </w:num>
  <w:num w:numId="11">
    <w:abstractNumId w:val="11"/>
  </w:num>
  <w:num w:numId="12">
    <w:abstractNumId w:val="25"/>
  </w:num>
  <w:num w:numId="13">
    <w:abstractNumId w:val="18"/>
  </w:num>
  <w:num w:numId="14">
    <w:abstractNumId w:val="14"/>
  </w:num>
  <w:num w:numId="15">
    <w:abstractNumId w:val="26"/>
  </w:num>
  <w:num w:numId="16">
    <w:abstractNumId w:val="16"/>
  </w:num>
  <w:num w:numId="17">
    <w:abstractNumId w:val="10"/>
  </w:num>
  <w:num w:numId="18">
    <w:abstractNumId w:val="12"/>
  </w:num>
  <w:num w:numId="19">
    <w:abstractNumId w:val="17"/>
  </w:num>
  <w:num w:numId="20">
    <w:abstractNumId w:val="20"/>
    <w:lvlOverride w:ilvl="0">
      <w:startOverride w:val="1"/>
    </w:lvlOverride>
  </w:num>
  <w:num w:numId="21">
    <w:abstractNumId w:val="22"/>
    <w:lvlOverride w:ilvl="0">
      <w:startOverride w:val="1"/>
    </w:lvlOverride>
  </w:num>
  <w:num w:numId="22">
    <w:abstractNumId w:val="18"/>
    <w:lvlOverride w:ilvl="0">
      <w:startOverride w:val="1"/>
    </w:lvlOverride>
  </w:num>
  <w:num w:numId="23">
    <w:abstractNumId w:val="24"/>
    <w:lvlOverride w:ilvl="0">
      <w:startOverride w:val="1"/>
    </w:lvlOverride>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7.7&quot; technicalblockguid=&quot;f8bec604-aee2-47fc-ad3a-7cba6032eb85&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 /&gt;_x000d__x000a_  &lt;/metadata&gt;_x000d__x000a_  &lt;metadata key=&quot;md_UniqueHeading&quot;&gt;_x000d__x000a_    &lt;basicdatatype&gt;_x000d__x000a_      &lt;heading key=&quot;uh_07&quot; text=&quot;CONVOCATION ET ORDRE DU JOUR PROVISOIRE &quot; /&gt;_x000d__x000a_    &lt;/basicdatatype&gt;_x000d__x000a_  &lt;/metadata&gt;_x000d__x000a_  &lt;metadata key=&quot;md_HeadingText&quot; translate=&quot;false&quot;&gt;_x000d__x000a_    &lt;headingtext text=&quot;CONVOCATION ET ORDRE DU JOUR PROVISOIRE &quot;&gt;_x000d__x000a_      &lt;formattedtext&gt;_x000d__x000a_        &lt;xaml text=&quot;CONVOCATION ET ORDRE DU JOUR PROVISOIRE &quot;&gt;&amp;lt;FlowDocument xmlns=&quot;http://schemas.microsoft.com/winfx/2006/xaml/presentation&quot;&amp;gt;&amp;lt;Paragraph xml:space=&quot;preserve&quot;&amp;gt;CONVOCATION ET ORDRE DU JOUR PROVISOIRE &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3&quot; text=&quot;COMMUNICATION&quot; /&gt;_x000d__x000a_    &lt;/basicdatatype&gt;_x000d__x000a_  &lt;/metadata&gt;_x000d__x000a_  &lt;metadata key=&quot;md_DocumentType&quot; translate=&quot;fals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nseil de l'Union européenne Secrétariat généra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 translate=&quot;false&quot;&gt;_x000d__x000a_    &lt;text&gt;2016-05-31&lt;/text&gt;_x000d__x000a_  &lt;/metadata&gt;_x000d__x000a_  &lt;metadata key=&quot;md_Prefix&quot; translate=&quot;false&quot;&gt;_x000d__x000a_    &lt;text&gt;CM&lt;/text&gt;_x000d__x000a_  &lt;/metadata&gt;_x000d__x000a_  &lt;metadata key=&quot;md_DocumentNumber&quot; translate=&quot;false&quot;&gt;_x000d__x000a_    &lt;text&gt;2861&lt;/text&gt;_x000d__x000a_  &lt;/metadata&gt;_x000d__x000a_  &lt;metadata key=&quot;md_YearDocumentNumber&quot; translate=&quot;false&quot;&gt;_x000d__x000a_    &lt;text&gt;2016&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OJ CONS&lt;/text&gt;_x000d__x000a_      &lt;text&gt;SOC&lt;/text&gt;_x000d__x000a_      &lt;text&gt;EMPL&lt;/text&gt;_x000d__x000a_      &lt;text&gt;SAN&lt;/text&gt;_x000d__x000a_      &lt;text&gt;CONSOM&lt;/text&gt;_x000d__x000a_    &lt;/textlist&gt;_x000d__x000a_  &lt;/metadata&gt;_x000d__x000a_  &lt;metadata key=&quot;md_Contact&quot; translate=&quot;false&quot;&gt;_x000d__x000a_    &lt;text&gt;coreper.1@consilium.europa.eu&lt;/text&gt;_x000d__x000a_  &lt;/metadata&gt;_x000d__x000a_  &lt;metadata key=&quot;md_ContactPhoneFax&quot; translate=&quot;false&quot;&gt;_x000d__x000a_    &lt;text&gt;0032.2.281.6167/8100&lt;/text&gt;_x000d__x000a_  &lt;/metadata&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74e session du CONSEIL DE L'UNION EUROPÉENNE (Emploi, politique sociale, santé et consommateurs)&quot;&gt;&amp;lt;FlowDocument FontFamily=&quot;Arial Unicode MS&quot; FontSize=&quot;12&quot; PageWidth=&quot;329&quot; PagePadding=&quot;0,0,0,0&quot; AllowDrop=&quot;False&quot; xmlns=&quot;http://schemas.microsoft.com/winfx/2006/xaml/presentation&quot; xmlns:x=&quot;http://schemas.microsoft.com/winfx/2006/xaml&quot;&amp;gt;&amp;lt;Paragraph&amp;gt;&amp;lt;Run xml:lang=&quot;en-gb&quot; xml:space=&quot;preserve&quot;&amp;gt;3474e&amp;lt;/Run&amp;gt; session du CONSEIL DE L'UNION EUROPÉENNE&amp;lt;LineBreak /&amp;gt;(&amp;lt;Run FontWeight=&quot;Bold&quot; xml:space=&quot;preserve&quot;&amp;gt;&amp;lt;Run.TextDecorations&amp;gt;&amp;lt;TextDecoration Location=&quot;Underline&quot; /&amp;gt;&amp;lt;/Run.TextDecorations&amp;gt;Emploi, politique sociale, santé&amp;lt;/Run&amp;gt; et consommateurs)&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6&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false&lt;/text&gt;_x000d__x000a_  &lt;/metadata&gt;_x000d__x000a_  &lt;metadata key=&quot;md_NB2&quot; translate=&quot;false&quot;&gt;_x000d__x000a_    &lt;text&gt;true&lt;/text&gt;_x000d__x000a_  &lt;/metadata&gt;_x000d__x000a_  &lt;metadata key=&quot;md_NB3&quot; translate=&quot;false&quot;&gt;_x000d__x000a_    &lt;text&gt;true&lt;/text&gt;_x000d__x000a_  &lt;/metadata&gt;_x000d__x000a_  &lt;metadata key=&quot;md_Meetings&quot; translate=&quot;false&quot;&gt;_x000d__x000a_    &lt;meetings&gt;_x000d__x000a_      &lt;meeting date=&quot;2016-06-16T09:3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 date=&quot;2016-06-17T10:0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s&gt;_x000d__x000a_  &lt;/metadata&gt;_x000d__x000a_  &lt;metadata key=&quot;md_VisualRepresentation&quot; translate=&quot;false&quot;&gt;_x000d__x000a_    &lt;basicdatatype&gt;_x000d__x000a_      &lt;originator key=&quot;visrep_02&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D6250F"/>
    <w:rsid w:val="00005613"/>
    <w:rsid w:val="00010C1D"/>
    <w:rsid w:val="00020FBC"/>
    <w:rsid w:val="000520E4"/>
    <w:rsid w:val="00054A16"/>
    <w:rsid w:val="000872C7"/>
    <w:rsid w:val="00090C97"/>
    <w:rsid w:val="0009656C"/>
    <w:rsid w:val="00097B42"/>
    <w:rsid w:val="000B7A27"/>
    <w:rsid w:val="000B7A36"/>
    <w:rsid w:val="000E3EAF"/>
    <w:rsid w:val="000E5042"/>
    <w:rsid w:val="000F687D"/>
    <w:rsid w:val="00165755"/>
    <w:rsid w:val="00182F2F"/>
    <w:rsid w:val="001C0F71"/>
    <w:rsid w:val="001C1958"/>
    <w:rsid w:val="001C21D9"/>
    <w:rsid w:val="001C2A31"/>
    <w:rsid w:val="001D566B"/>
    <w:rsid w:val="00201389"/>
    <w:rsid w:val="002020E3"/>
    <w:rsid w:val="00206D04"/>
    <w:rsid w:val="00213F1F"/>
    <w:rsid w:val="00223615"/>
    <w:rsid w:val="00262E47"/>
    <w:rsid w:val="00275694"/>
    <w:rsid w:val="00275927"/>
    <w:rsid w:val="0027793F"/>
    <w:rsid w:val="002A124E"/>
    <w:rsid w:val="002A2AE8"/>
    <w:rsid w:val="002A5FBE"/>
    <w:rsid w:val="002A7FD1"/>
    <w:rsid w:val="0030311D"/>
    <w:rsid w:val="003221AF"/>
    <w:rsid w:val="00335ACA"/>
    <w:rsid w:val="00353BA9"/>
    <w:rsid w:val="00354E83"/>
    <w:rsid w:val="003C5EA8"/>
    <w:rsid w:val="003C6E8B"/>
    <w:rsid w:val="003D1287"/>
    <w:rsid w:val="003D21F4"/>
    <w:rsid w:val="004145D1"/>
    <w:rsid w:val="00430EBE"/>
    <w:rsid w:val="00460579"/>
    <w:rsid w:val="00482C6A"/>
    <w:rsid w:val="005157F5"/>
    <w:rsid w:val="0052516F"/>
    <w:rsid w:val="00526DB4"/>
    <w:rsid w:val="005A1761"/>
    <w:rsid w:val="005D01F5"/>
    <w:rsid w:val="006226EB"/>
    <w:rsid w:val="0063379B"/>
    <w:rsid w:val="00661B74"/>
    <w:rsid w:val="00671055"/>
    <w:rsid w:val="00693ABA"/>
    <w:rsid w:val="006A38C5"/>
    <w:rsid w:val="006C0757"/>
    <w:rsid w:val="006C1AD4"/>
    <w:rsid w:val="006D55D2"/>
    <w:rsid w:val="006D5BB3"/>
    <w:rsid w:val="006E33E2"/>
    <w:rsid w:val="006F4741"/>
    <w:rsid w:val="007265A9"/>
    <w:rsid w:val="00732037"/>
    <w:rsid w:val="00737F7A"/>
    <w:rsid w:val="00740E0A"/>
    <w:rsid w:val="00745319"/>
    <w:rsid w:val="0075756A"/>
    <w:rsid w:val="00760B3A"/>
    <w:rsid w:val="007A1C0B"/>
    <w:rsid w:val="007A3C7B"/>
    <w:rsid w:val="007C18DF"/>
    <w:rsid w:val="00825503"/>
    <w:rsid w:val="00872247"/>
    <w:rsid w:val="008826F8"/>
    <w:rsid w:val="00913510"/>
    <w:rsid w:val="00923234"/>
    <w:rsid w:val="009457F2"/>
    <w:rsid w:val="00957496"/>
    <w:rsid w:val="009577E3"/>
    <w:rsid w:val="00A05C7B"/>
    <w:rsid w:val="00A45F8C"/>
    <w:rsid w:val="00A469D7"/>
    <w:rsid w:val="00A62A2A"/>
    <w:rsid w:val="00A70003"/>
    <w:rsid w:val="00AB1FB5"/>
    <w:rsid w:val="00B82056"/>
    <w:rsid w:val="00BA7E02"/>
    <w:rsid w:val="00BB1674"/>
    <w:rsid w:val="00BB2B4D"/>
    <w:rsid w:val="00BD2FFA"/>
    <w:rsid w:val="00BE1373"/>
    <w:rsid w:val="00C12D72"/>
    <w:rsid w:val="00C718BF"/>
    <w:rsid w:val="00C775D3"/>
    <w:rsid w:val="00C82F3C"/>
    <w:rsid w:val="00C930AF"/>
    <w:rsid w:val="00CD6F99"/>
    <w:rsid w:val="00D04DEB"/>
    <w:rsid w:val="00D052F5"/>
    <w:rsid w:val="00D34266"/>
    <w:rsid w:val="00D451E4"/>
    <w:rsid w:val="00D6250F"/>
    <w:rsid w:val="00D6592F"/>
    <w:rsid w:val="00D710D1"/>
    <w:rsid w:val="00D874D7"/>
    <w:rsid w:val="00DC3767"/>
    <w:rsid w:val="00E108A2"/>
    <w:rsid w:val="00E11DF1"/>
    <w:rsid w:val="00E31D61"/>
    <w:rsid w:val="00E8020C"/>
    <w:rsid w:val="00EA5078"/>
    <w:rsid w:val="00EE7ACD"/>
    <w:rsid w:val="00EF2607"/>
    <w:rsid w:val="00F0262E"/>
    <w:rsid w:val="00F26F88"/>
    <w:rsid w:val="00F41854"/>
    <w:rsid w:val="00F83D74"/>
    <w:rsid w:val="00F85271"/>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D6250F"/>
    <w:pPr>
      <w:spacing w:after="440"/>
      <w:ind w:left="-1134" w:right="-1134"/>
    </w:pPr>
    <w:rPr>
      <w:sz w:val="2"/>
    </w:rPr>
  </w:style>
  <w:style w:type="character" w:customStyle="1" w:styleId="TechnicalBlockChar">
    <w:name w:val="Technical Block Char"/>
    <w:basedOn w:val="DefaultParagraphFont"/>
    <w:rsid w:val="00D6250F"/>
    <w:rPr>
      <w:sz w:val="24"/>
      <w:szCs w:val="24"/>
      <w:lang w:val="fr-FR" w:eastAsia="en-US"/>
    </w:rPr>
  </w:style>
  <w:style w:type="character" w:customStyle="1" w:styleId="HeaderCouncilLargeChar">
    <w:name w:val="Header Council Large Char"/>
    <w:basedOn w:val="TechnicalBlockChar"/>
    <w:link w:val="HeaderCouncilLarge"/>
    <w:rsid w:val="00D6250F"/>
    <w:rPr>
      <w:sz w:val="2"/>
      <w:szCs w:val="24"/>
      <w:lang w:val="fr-FR" w:eastAsia="en-US"/>
    </w:rPr>
  </w:style>
  <w:style w:type="paragraph" w:customStyle="1" w:styleId="FooterText">
    <w:name w:val="Footer Text"/>
    <w:basedOn w:val="Normal"/>
    <w:rsid w:val="00D6250F"/>
  </w:style>
  <w:style w:type="paragraph" w:styleId="BalloonText">
    <w:name w:val="Balloon Text"/>
    <w:basedOn w:val="Normal"/>
    <w:link w:val="BalloonTextChar"/>
    <w:uiPriority w:val="99"/>
    <w:semiHidden/>
    <w:unhideWhenUsed/>
    <w:rsid w:val="002A124E"/>
    <w:rPr>
      <w:rFonts w:ascii="Tahoma" w:hAnsi="Tahoma" w:cs="Tahoma"/>
      <w:sz w:val="16"/>
      <w:szCs w:val="16"/>
    </w:rPr>
  </w:style>
  <w:style w:type="character" w:customStyle="1" w:styleId="BalloonTextChar">
    <w:name w:val="Balloon Text Char"/>
    <w:basedOn w:val="DefaultParagraphFont"/>
    <w:link w:val="BalloonText"/>
    <w:uiPriority w:val="99"/>
    <w:semiHidden/>
    <w:rsid w:val="002A124E"/>
    <w:rPr>
      <w:rFonts w:ascii="Tahoma" w:hAnsi="Tahoma" w:cs="Tahoma"/>
      <w:sz w:val="16"/>
      <w:szCs w:val="16"/>
      <w:lang w:val="fr-FR" w:eastAsia="en-US"/>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EA5078"/>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character" w:styleId="CommentReference">
    <w:name w:val="annotation reference"/>
    <w:basedOn w:val="DefaultParagraphFont"/>
    <w:uiPriority w:val="99"/>
    <w:semiHidden/>
    <w:unhideWhenUsed/>
    <w:rsid w:val="000B7A36"/>
    <w:rPr>
      <w:sz w:val="16"/>
      <w:szCs w:val="16"/>
    </w:rPr>
  </w:style>
  <w:style w:type="paragraph" w:styleId="CommentText">
    <w:name w:val="annotation text"/>
    <w:basedOn w:val="Normal"/>
    <w:link w:val="CommentTextChar"/>
    <w:uiPriority w:val="99"/>
    <w:semiHidden/>
    <w:unhideWhenUsed/>
    <w:rsid w:val="000B7A36"/>
    <w:rPr>
      <w:sz w:val="20"/>
      <w:szCs w:val="20"/>
    </w:rPr>
  </w:style>
  <w:style w:type="character" w:customStyle="1" w:styleId="CommentTextChar">
    <w:name w:val="Comment Text Char"/>
    <w:basedOn w:val="DefaultParagraphFont"/>
    <w:link w:val="CommentText"/>
    <w:uiPriority w:val="99"/>
    <w:semiHidden/>
    <w:rsid w:val="000B7A36"/>
    <w:rPr>
      <w:lang w:val="fr-FR" w:eastAsia="en-US"/>
    </w:rPr>
  </w:style>
  <w:style w:type="paragraph" w:styleId="CommentSubject">
    <w:name w:val="annotation subject"/>
    <w:basedOn w:val="CommentText"/>
    <w:next w:val="CommentText"/>
    <w:link w:val="CommentSubjectChar"/>
    <w:uiPriority w:val="99"/>
    <w:semiHidden/>
    <w:unhideWhenUsed/>
    <w:rsid w:val="000B7A36"/>
    <w:rPr>
      <w:b/>
      <w:bCs/>
    </w:rPr>
  </w:style>
  <w:style w:type="character" w:customStyle="1" w:styleId="CommentSubjectChar">
    <w:name w:val="Comment Subject Char"/>
    <w:basedOn w:val="CommentTextChar"/>
    <w:link w:val="CommentSubject"/>
    <w:uiPriority w:val="99"/>
    <w:semiHidden/>
    <w:rsid w:val="000B7A36"/>
    <w:rPr>
      <w:b/>
      <w:bCs/>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D6250F"/>
    <w:pPr>
      <w:spacing w:after="440"/>
      <w:ind w:left="-1134" w:right="-1134"/>
    </w:pPr>
    <w:rPr>
      <w:sz w:val="2"/>
    </w:rPr>
  </w:style>
  <w:style w:type="character" w:customStyle="1" w:styleId="TechnicalBlockChar">
    <w:name w:val="Technical Block Char"/>
    <w:basedOn w:val="DefaultParagraphFont"/>
    <w:rsid w:val="00D6250F"/>
    <w:rPr>
      <w:sz w:val="24"/>
      <w:szCs w:val="24"/>
      <w:lang w:val="fr-FR" w:eastAsia="en-US"/>
    </w:rPr>
  </w:style>
  <w:style w:type="character" w:customStyle="1" w:styleId="HeaderCouncilLargeChar">
    <w:name w:val="Header Council Large Char"/>
    <w:basedOn w:val="TechnicalBlockChar"/>
    <w:link w:val="HeaderCouncilLarge"/>
    <w:rsid w:val="00D6250F"/>
    <w:rPr>
      <w:sz w:val="2"/>
      <w:szCs w:val="24"/>
      <w:lang w:val="fr-FR" w:eastAsia="en-US"/>
    </w:rPr>
  </w:style>
  <w:style w:type="paragraph" w:customStyle="1" w:styleId="FooterText">
    <w:name w:val="Footer Text"/>
    <w:basedOn w:val="Normal"/>
    <w:rsid w:val="00D6250F"/>
  </w:style>
  <w:style w:type="paragraph" w:styleId="BalloonText">
    <w:name w:val="Balloon Text"/>
    <w:basedOn w:val="Normal"/>
    <w:link w:val="BalloonTextChar"/>
    <w:uiPriority w:val="99"/>
    <w:semiHidden/>
    <w:unhideWhenUsed/>
    <w:rsid w:val="002A124E"/>
    <w:rPr>
      <w:rFonts w:ascii="Tahoma" w:hAnsi="Tahoma" w:cs="Tahoma"/>
      <w:sz w:val="16"/>
      <w:szCs w:val="16"/>
    </w:rPr>
  </w:style>
  <w:style w:type="character" w:customStyle="1" w:styleId="BalloonTextChar">
    <w:name w:val="Balloon Text Char"/>
    <w:basedOn w:val="DefaultParagraphFont"/>
    <w:link w:val="BalloonText"/>
    <w:uiPriority w:val="99"/>
    <w:semiHidden/>
    <w:rsid w:val="002A124E"/>
    <w:rPr>
      <w:rFonts w:ascii="Tahoma" w:hAnsi="Tahoma" w:cs="Tahoma"/>
      <w:sz w:val="16"/>
      <w:szCs w:val="16"/>
      <w:lang w:val="fr-FR" w:eastAsia="en-US"/>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EA5078"/>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character" w:styleId="CommentReference">
    <w:name w:val="annotation reference"/>
    <w:basedOn w:val="DefaultParagraphFont"/>
    <w:uiPriority w:val="99"/>
    <w:semiHidden/>
    <w:unhideWhenUsed/>
    <w:rsid w:val="000B7A36"/>
    <w:rPr>
      <w:sz w:val="16"/>
      <w:szCs w:val="16"/>
    </w:rPr>
  </w:style>
  <w:style w:type="paragraph" w:styleId="CommentText">
    <w:name w:val="annotation text"/>
    <w:basedOn w:val="Normal"/>
    <w:link w:val="CommentTextChar"/>
    <w:uiPriority w:val="99"/>
    <w:semiHidden/>
    <w:unhideWhenUsed/>
    <w:rsid w:val="000B7A36"/>
    <w:rPr>
      <w:sz w:val="20"/>
      <w:szCs w:val="20"/>
    </w:rPr>
  </w:style>
  <w:style w:type="character" w:customStyle="1" w:styleId="CommentTextChar">
    <w:name w:val="Comment Text Char"/>
    <w:basedOn w:val="DefaultParagraphFont"/>
    <w:link w:val="CommentText"/>
    <w:uiPriority w:val="99"/>
    <w:semiHidden/>
    <w:rsid w:val="000B7A36"/>
    <w:rPr>
      <w:lang w:val="fr-FR" w:eastAsia="en-US"/>
    </w:rPr>
  </w:style>
  <w:style w:type="paragraph" w:styleId="CommentSubject">
    <w:name w:val="annotation subject"/>
    <w:basedOn w:val="CommentText"/>
    <w:next w:val="CommentText"/>
    <w:link w:val="CommentSubjectChar"/>
    <w:uiPriority w:val="99"/>
    <w:semiHidden/>
    <w:unhideWhenUsed/>
    <w:rsid w:val="000B7A36"/>
    <w:rPr>
      <w:b/>
      <w:bCs/>
    </w:rPr>
  </w:style>
  <w:style w:type="character" w:customStyle="1" w:styleId="CommentSubjectChar">
    <w:name w:val="Comment Subject Char"/>
    <w:basedOn w:val="CommentTextChar"/>
    <w:link w:val="CommentSubject"/>
    <w:uiPriority w:val="99"/>
    <w:semiHidden/>
    <w:rsid w:val="000B7A36"/>
    <w:rPr>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1F2AB-DDBD-43B8-B93E-908581B3B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1</TotalTime>
  <Pages>6</Pages>
  <Words>1261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NEURAY Nicole</cp:lastModifiedBy>
  <cp:revision>3</cp:revision>
  <cp:lastPrinted>2016-05-31T11:26:00Z</cp:lastPrinted>
  <dcterms:created xsi:type="dcterms:W3CDTF">2016-06-01T12:06:00Z</dcterms:created>
  <dcterms:modified xsi:type="dcterms:W3CDTF">2016-06-01T12:06:00Z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3.7.7, Build 20151207</vt:lpwstr>
  </property>
</Properties>
</file>