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53" w:rsidRPr="000A5205" w:rsidRDefault="00850CAA" w:rsidP="000A520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492d6e0-8374-48fa-adca-17ef51ad77d9_0" style="width:568.5pt;height:385.25pt">
            <v:imagedata r:id="rId8" o:title=""/>
          </v:shape>
        </w:pict>
      </w:r>
      <w:bookmarkEnd w:id="0"/>
    </w:p>
    <w:p w:rsidR="00200453" w:rsidRPr="00010EF5" w:rsidRDefault="00200453" w:rsidP="00200453">
      <w:pPr>
        <w:sectPr w:rsidR="00200453" w:rsidRPr="00010EF5" w:rsidSect="00850C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1C5E5F" w:rsidRPr="00010EF5" w:rsidRDefault="00BF2A11" w:rsidP="00BF2A11">
      <w:pPr>
        <w:pStyle w:val="HeadingIVX"/>
        <w:numPr>
          <w:ilvl w:val="0"/>
          <w:numId w:val="21"/>
        </w:numPr>
      </w:pPr>
      <w:r w:rsidRPr="00010EF5">
        <w:lastRenderedPageBreak/>
        <w:t>ВЪВЕДЕНИЕ</w:t>
      </w:r>
    </w:p>
    <w:p w:rsidR="00C3218F" w:rsidRPr="00010EF5" w:rsidRDefault="00C3218F" w:rsidP="006A2C14">
      <w:pPr>
        <w:numPr>
          <w:ilvl w:val="0"/>
          <w:numId w:val="22"/>
        </w:numPr>
        <w:ind w:left="1134" w:hanging="567"/>
        <w:rPr>
          <w:rFonts w:eastAsia="Calibri" w:cs="Arial"/>
          <w:szCs w:val="22"/>
        </w:rPr>
      </w:pPr>
      <w:r w:rsidRPr="00010EF5">
        <w:t xml:space="preserve">На 12 февруари 2013 г. </w:t>
      </w:r>
      <w:r w:rsidRPr="00010EF5">
        <w:rPr>
          <w:u w:val="single"/>
        </w:rPr>
        <w:t>Комисията</w:t>
      </w:r>
      <w:r w:rsidRPr="00010EF5">
        <w:t xml:space="preserve"> представи предложението си за директива на Европейския парламент и на Съвета относно </w:t>
      </w:r>
      <w:r w:rsidRPr="00010EF5">
        <w:rPr>
          <w:i/>
        </w:rPr>
        <w:t>мерки за гарантиране на високо общо ниво на мрежова и информационна сигурност в Съюза</w:t>
      </w:r>
      <w:r w:rsidRPr="00010EF5">
        <w:t xml:space="preserve"> (по-нататък „Директивата“), имащо за правно основание член 114 от ДФЕС.</w:t>
      </w:r>
    </w:p>
    <w:p w:rsidR="00C3218F" w:rsidRPr="00010EF5" w:rsidRDefault="00C3218F" w:rsidP="006A2C14">
      <w:pPr>
        <w:numPr>
          <w:ilvl w:val="0"/>
          <w:numId w:val="22"/>
        </w:numPr>
        <w:ind w:left="1134" w:hanging="567"/>
        <w:rPr>
          <w:rFonts w:eastAsia="Calibri" w:cs="Arial"/>
          <w:szCs w:val="22"/>
        </w:rPr>
      </w:pPr>
      <w:r w:rsidRPr="00010EF5">
        <w:rPr>
          <w:u w:val="single"/>
        </w:rPr>
        <w:t>Европейският икономически и социален комитет</w:t>
      </w:r>
      <w:r w:rsidRPr="00010EF5">
        <w:t xml:space="preserve"> гласува становището си на 22 май 2013 г., а </w:t>
      </w:r>
      <w:r w:rsidRPr="00010EF5">
        <w:rPr>
          <w:u w:val="single"/>
        </w:rPr>
        <w:t>Комитетът на регионите</w:t>
      </w:r>
      <w:r w:rsidRPr="00010EF5">
        <w:t xml:space="preserve"> — на 3—4 юли 2013 г.</w:t>
      </w:r>
    </w:p>
    <w:p w:rsidR="00DF42F3" w:rsidRPr="00010EF5" w:rsidRDefault="00C3218F" w:rsidP="006A2C14">
      <w:pPr>
        <w:numPr>
          <w:ilvl w:val="0"/>
          <w:numId w:val="22"/>
        </w:numPr>
        <w:ind w:left="1134" w:hanging="567"/>
      </w:pPr>
      <w:r w:rsidRPr="00010EF5">
        <w:rPr>
          <w:u w:val="single"/>
        </w:rPr>
        <w:t>Европейският парламент</w:t>
      </w:r>
      <w:r w:rsidRPr="00010EF5">
        <w:t xml:space="preserve"> гласува законодателната си резолюция на първо четене на 13 март 2014 г.</w:t>
      </w:r>
      <w:r w:rsidRPr="00010EF5">
        <w:rPr>
          <w:rFonts w:eastAsia="Calibri" w:cs="Arial"/>
          <w:b/>
          <w:szCs w:val="22"/>
          <w:vertAlign w:val="superscript"/>
          <w:lang w:eastAsia="en-GB"/>
        </w:rPr>
        <w:footnoteReference w:id="1"/>
      </w:r>
      <w:r w:rsidRPr="00010EF5">
        <w:t>, като прие 138 изменения.</w:t>
      </w:r>
    </w:p>
    <w:p w:rsidR="00C3218F" w:rsidRPr="00010EF5" w:rsidRDefault="00C3218F" w:rsidP="006A2C14">
      <w:pPr>
        <w:numPr>
          <w:ilvl w:val="0"/>
          <w:numId w:val="22"/>
        </w:numPr>
        <w:ind w:left="1134" w:hanging="567"/>
      </w:pPr>
      <w:r w:rsidRPr="00010EF5">
        <w:rPr>
          <w:bCs/>
          <w:color w:val="000000"/>
          <w:szCs w:val="22"/>
        </w:rPr>
        <w:t xml:space="preserve">През октомври 2014 г. </w:t>
      </w:r>
      <w:r w:rsidRPr="00010EF5">
        <w:rPr>
          <w:bCs/>
          <w:color w:val="000000"/>
          <w:szCs w:val="22"/>
          <w:u w:val="single"/>
        </w:rPr>
        <w:t>Съветът</w:t>
      </w:r>
      <w:r w:rsidRPr="00010EF5">
        <w:rPr>
          <w:bCs/>
          <w:color w:val="000000"/>
          <w:szCs w:val="22"/>
        </w:rPr>
        <w:t xml:space="preserve"> и </w:t>
      </w:r>
      <w:r w:rsidRPr="00010EF5">
        <w:rPr>
          <w:bCs/>
          <w:color w:val="000000"/>
          <w:szCs w:val="22"/>
          <w:u w:val="single"/>
        </w:rPr>
        <w:t>Европейският парламент</w:t>
      </w:r>
      <w:r w:rsidRPr="00010EF5">
        <w:rPr>
          <w:bCs/>
          <w:color w:val="000000"/>
          <w:szCs w:val="22"/>
        </w:rPr>
        <w:t xml:space="preserve"> започнаха преговори с оглед на бързото постигане на споразумение на второ четене. Преговорите приключиха успешно на 7 декември 2015 г. с постигането на предварително споразумение между Европейския парламент и Съвета по компромисен текст.</w:t>
      </w:r>
    </w:p>
    <w:p w:rsidR="00C3218F" w:rsidRPr="00010EF5" w:rsidRDefault="00C3218F" w:rsidP="006A2C14">
      <w:pPr>
        <w:numPr>
          <w:ilvl w:val="0"/>
          <w:numId w:val="22"/>
        </w:numPr>
        <w:ind w:left="1134" w:hanging="567"/>
        <w:rPr>
          <w:rFonts w:eastAsia="Calibri" w:cs="Arial"/>
          <w:b/>
          <w:color w:val="000000"/>
          <w:szCs w:val="22"/>
        </w:rPr>
      </w:pPr>
      <w:r w:rsidRPr="00010EF5">
        <w:t xml:space="preserve">На 18 декември 2015 г. </w:t>
      </w:r>
      <w:r w:rsidRPr="00010EF5">
        <w:rPr>
          <w:u w:val="single"/>
        </w:rPr>
        <w:t>Комитетът на постоянните представители</w:t>
      </w:r>
      <w:r w:rsidRPr="00010EF5">
        <w:t xml:space="preserve"> потвърди </w:t>
      </w:r>
      <w:r w:rsidRPr="00010EF5">
        <w:rPr>
          <w:snapToGrid w:val="0"/>
        </w:rPr>
        <w:t>компромисния текст</w:t>
      </w:r>
      <w:r w:rsidRPr="00010EF5">
        <w:t xml:space="preserve"> на директивата, договорен от двете институции.</w:t>
      </w:r>
    </w:p>
    <w:p w:rsidR="00C3218F" w:rsidRPr="00010EF5" w:rsidRDefault="00C3218F" w:rsidP="006A2C14">
      <w:pPr>
        <w:numPr>
          <w:ilvl w:val="0"/>
          <w:numId w:val="22"/>
        </w:numPr>
        <w:ind w:left="1134" w:hanging="567"/>
        <w:rPr>
          <w:rFonts w:eastAsia="Calibri" w:cs="Arial"/>
          <w:b/>
          <w:color w:val="000000"/>
          <w:szCs w:val="22"/>
        </w:rPr>
      </w:pPr>
      <w:r w:rsidRPr="00010EF5">
        <w:rPr>
          <w:bCs/>
          <w:color w:val="000000"/>
          <w:szCs w:val="22"/>
        </w:rPr>
        <w:t xml:space="preserve">На 28 януари 2016 г. </w:t>
      </w:r>
      <w:r w:rsidRPr="00010EF5">
        <w:rPr>
          <w:bCs/>
          <w:color w:val="000000"/>
          <w:szCs w:val="22"/>
          <w:u w:val="single"/>
        </w:rPr>
        <w:t>председателят на Комисията на Европейския парламент по вътрешния пазар и защита на потребителите (IMCO)</w:t>
      </w:r>
      <w:r w:rsidRPr="00010EF5">
        <w:rPr>
          <w:bCs/>
          <w:color w:val="000000"/>
          <w:szCs w:val="22"/>
        </w:rPr>
        <w:t xml:space="preserve"> изпрати писмо до председателя на Комитета на постоянните представители, в което се посочва, че ако Съветът изпрати официално на Европейския парламент своята одобрена позиция, след проверка от юрист-лингвистите, председателят на IMCO ще препоръча на пленарното заседание позицията на Съвета да бъде приета без изменения по време на второто четене в Парламента.</w:t>
      </w:r>
    </w:p>
    <w:p w:rsidR="00787E56" w:rsidRPr="00010EF5" w:rsidRDefault="00E271AC" w:rsidP="006A2C14">
      <w:pPr>
        <w:numPr>
          <w:ilvl w:val="0"/>
          <w:numId w:val="22"/>
        </w:numPr>
        <w:ind w:left="1134" w:hanging="567"/>
        <w:rPr>
          <w:rFonts w:eastAsia="Calibri" w:cs="Arial"/>
          <w:bCs/>
          <w:color w:val="000000"/>
          <w:szCs w:val="22"/>
        </w:rPr>
      </w:pPr>
      <w:r w:rsidRPr="00010EF5">
        <w:rPr>
          <w:bCs/>
          <w:color w:val="000000"/>
          <w:szCs w:val="22"/>
        </w:rPr>
        <w:t xml:space="preserve">На 29 февруари 2016 г. </w:t>
      </w:r>
      <w:r w:rsidRPr="00010EF5">
        <w:rPr>
          <w:bCs/>
          <w:color w:val="000000"/>
          <w:szCs w:val="22"/>
          <w:u w:val="single"/>
        </w:rPr>
        <w:t>Съветът</w:t>
      </w:r>
      <w:r w:rsidRPr="00010EF5">
        <w:rPr>
          <w:bCs/>
          <w:color w:val="000000"/>
          <w:szCs w:val="22"/>
        </w:rPr>
        <w:t xml:space="preserve"> потвърди политическото си съгласие по компромисния текст на директивата.</w:t>
      </w:r>
    </w:p>
    <w:p w:rsidR="001C5E5F" w:rsidRPr="00010EF5" w:rsidRDefault="001B4AE8" w:rsidP="00BF2A11">
      <w:pPr>
        <w:pStyle w:val="HeadingIVX"/>
        <w:numPr>
          <w:ilvl w:val="0"/>
          <w:numId w:val="21"/>
        </w:numPr>
      </w:pPr>
      <w:r w:rsidRPr="00010EF5">
        <w:br w:type="page"/>
      </w:r>
      <w:r w:rsidRPr="00010EF5">
        <w:lastRenderedPageBreak/>
        <w:t>ЦЕЛ</w:t>
      </w:r>
    </w:p>
    <w:p w:rsidR="00C3218F" w:rsidRPr="00010EF5" w:rsidRDefault="00C3218F" w:rsidP="006A2C14">
      <w:pPr>
        <w:numPr>
          <w:ilvl w:val="0"/>
          <w:numId w:val="22"/>
        </w:numPr>
        <w:ind w:left="1134" w:hanging="567"/>
        <w:rPr>
          <w:rFonts w:eastAsia="Calibri" w:cs="Arial"/>
          <w:bCs/>
          <w:color w:val="000000"/>
          <w:szCs w:val="22"/>
        </w:rPr>
      </w:pPr>
      <w:r w:rsidRPr="00010EF5">
        <w:rPr>
          <w:bCs/>
          <w:color w:val="000000"/>
          <w:szCs w:val="22"/>
        </w:rPr>
        <w:t>Резултатите от преговорите показват, че с директива се установяват мерки с цел постигане на високо общо ниво на сигурност на мрежите и информационните системи в рамките на Съюза, така че да се подобри функционирането на вътрешния пазар.</w:t>
      </w:r>
    </w:p>
    <w:p w:rsidR="001C5E5F" w:rsidRPr="00010EF5" w:rsidRDefault="00BF2A11" w:rsidP="00BF2A11">
      <w:pPr>
        <w:pStyle w:val="HeadingIVX"/>
        <w:numPr>
          <w:ilvl w:val="0"/>
          <w:numId w:val="21"/>
        </w:numPr>
        <w:tabs>
          <w:tab w:val="clear" w:pos="567"/>
        </w:tabs>
        <w:ind w:left="0" w:firstLine="0"/>
      </w:pPr>
      <w:r w:rsidRPr="00010EF5">
        <w:t>АНАЛИЗ НА ПОЗИЦИЯТА НА СЪВЕТА НА ПЪРВО ЧЕТЕНЕ</w:t>
      </w:r>
    </w:p>
    <w:p w:rsidR="001C5E5F" w:rsidRPr="00010EF5" w:rsidRDefault="001C5E5F" w:rsidP="001C5E5F">
      <w:pPr>
        <w:autoSpaceDE w:val="0"/>
        <w:autoSpaceDN w:val="0"/>
        <w:adjustRightInd w:val="0"/>
        <w:ind w:left="567"/>
        <w:outlineLvl w:val="0"/>
        <w:rPr>
          <w:rFonts w:eastAsia="Calibri" w:cs="Arial"/>
          <w:b/>
          <w:color w:val="000000"/>
        </w:rPr>
      </w:pPr>
      <w:r w:rsidRPr="00010EF5">
        <w:rPr>
          <w:b/>
          <w:color w:val="000000"/>
        </w:rPr>
        <w:t>A.</w:t>
      </w:r>
      <w:r w:rsidRPr="00010EF5">
        <w:rPr>
          <w:b/>
          <w:color w:val="000000"/>
        </w:rPr>
        <w:tab/>
        <w:t>Общо положение</w:t>
      </w:r>
    </w:p>
    <w:p w:rsidR="00C3218F" w:rsidRPr="00010EF5" w:rsidRDefault="00C3218F" w:rsidP="00C3218F">
      <w:pPr>
        <w:numPr>
          <w:ilvl w:val="0"/>
          <w:numId w:val="24"/>
        </w:numPr>
        <w:ind w:left="1134" w:hanging="567"/>
      </w:pPr>
      <w:r w:rsidRPr="00010EF5">
        <w:t>След гласуването на пленарното заседание Европейският парламент и Съветът проведоха преговори с цел да сключат споразумение на второ четене въз основа на позицията на Съвета на първо четене, която Парламентът да бъде в състояние да одобри. Текстът на позицията на Съвета на първо четене отразява напълно компромиса, постигнат между двата законодателни органа.</w:t>
      </w:r>
    </w:p>
    <w:p w:rsidR="001C5E5F" w:rsidRPr="00010EF5" w:rsidRDefault="001C5E5F" w:rsidP="001C5E5F">
      <w:pPr>
        <w:autoSpaceDE w:val="0"/>
        <w:autoSpaceDN w:val="0"/>
        <w:adjustRightInd w:val="0"/>
        <w:ind w:left="567"/>
        <w:outlineLvl w:val="0"/>
        <w:rPr>
          <w:rFonts w:eastAsia="Calibri" w:cs="Arial"/>
          <w:b/>
          <w:color w:val="000000"/>
        </w:rPr>
      </w:pPr>
      <w:r w:rsidRPr="00010EF5">
        <w:rPr>
          <w:b/>
          <w:color w:val="000000"/>
        </w:rPr>
        <w:t>Б.</w:t>
      </w:r>
      <w:r w:rsidRPr="00010EF5">
        <w:rPr>
          <w:b/>
          <w:color w:val="000000"/>
        </w:rPr>
        <w:tab/>
        <w:t>Ключови въпроси</w:t>
      </w:r>
    </w:p>
    <w:p w:rsidR="00A067AA" w:rsidRPr="00010EF5" w:rsidRDefault="00A067AA" w:rsidP="00A067AA">
      <w:pPr>
        <w:numPr>
          <w:ilvl w:val="0"/>
          <w:numId w:val="24"/>
        </w:numPr>
        <w:ind w:left="1134" w:hanging="567"/>
      </w:pPr>
      <w:r w:rsidRPr="00010EF5">
        <w:t>Основните елементи на компромиса, постигнат с Европейския парламент, са изложени по-долу:</w:t>
      </w:r>
    </w:p>
    <w:p w:rsidR="00A067AA" w:rsidRPr="00010EF5" w:rsidRDefault="00A067AA" w:rsidP="00AC1771">
      <w:pPr>
        <w:numPr>
          <w:ilvl w:val="1"/>
          <w:numId w:val="28"/>
        </w:numPr>
      </w:pPr>
      <w:r w:rsidRPr="00010EF5">
        <w:rPr>
          <w:i/>
          <w:iCs/>
        </w:rPr>
        <w:t>Национални способности</w:t>
      </w:r>
    </w:p>
    <w:p w:rsidR="00787E56" w:rsidRPr="00010EF5" w:rsidRDefault="009E7427" w:rsidP="00E46459">
      <w:pPr>
        <w:numPr>
          <w:ilvl w:val="0"/>
          <w:numId w:val="24"/>
        </w:numPr>
        <w:ind w:left="1134" w:hanging="567"/>
        <w:rPr>
          <w:noProof/>
        </w:rPr>
      </w:pPr>
      <w:r w:rsidRPr="00010EF5">
        <w:t>В рамките на постигнатия компромис държавите членки имат определени задължения по отношение на националните си способности в областта на киберсигурността. Първо, от държавите членки се изисква да приемат национална стратегия, в която да са определени стратегическите цели и подходящата политика, както и регулаторни мерки за постигане и поддържане на високо ниво на сигурност на мрежите и информационните системи.</w:t>
      </w:r>
    </w:p>
    <w:p w:rsidR="00A36255" w:rsidRPr="00010EF5" w:rsidRDefault="001B4AE8" w:rsidP="009E7427">
      <w:pPr>
        <w:numPr>
          <w:ilvl w:val="0"/>
          <w:numId w:val="24"/>
        </w:numPr>
        <w:ind w:left="1134" w:hanging="567"/>
      </w:pPr>
      <w:r w:rsidRPr="00010EF5">
        <w:br w:type="page"/>
      </w:r>
      <w:r w:rsidRPr="00010EF5">
        <w:lastRenderedPageBreak/>
        <w:t>Второ, държавите членки определят един или повече национални компетентни органи по сигурността на мрежите и информационните системи, които да наблюдават изпълнението на директивата на национално равнище.</w:t>
      </w:r>
    </w:p>
    <w:p w:rsidR="00A36255" w:rsidRPr="00010EF5" w:rsidRDefault="009E7427" w:rsidP="00E46459">
      <w:pPr>
        <w:numPr>
          <w:ilvl w:val="0"/>
          <w:numId w:val="24"/>
        </w:numPr>
        <w:ind w:left="1134" w:hanging="567"/>
      </w:pPr>
      <w:r w:rsidRPr="00010EF5">
        <w:t>Трето, от държавите членки се изисква да определят и единно национално звено за контакт по сигурността на мрежите и информационните системи, което да изпълнява функцията на връзка, така че да се осигури трансграничното сътрудничество между органите на държавите членки, съответните органи в други държави членки, групата за сътрудничество и мрежата на ЕРИКС. Единното звено за контакт ще представя и годишен доклад до групата за сътрудничество относно получените уведомления.</w:t>
      </w:r>
    </w:p>
    <w:p w:rsidR="00A36255" w:rsidRPr="00010EF5" w:rsidRDefault="00E46459" w:rsidP="00E46459">
      <w:pPr>
        <w:numPr>
          <w:ilvl w:val="0"/>
          <w:numId w:val="24"/>
        </w:numPr>
        <w:ind w:left="1134" w:hanging="567"/>
        <w:rPr>
          <w:noProof/>
        </w:rPr>
      </w:pPr>
      <w:r w:rsidRPr="00010EF5">
        <w:t>Накрая, държавите членки определят един или повече екипи за реагиране при инциденти с компютърната сигурност (ЕРИКС), които отговарят за предприемането на действия при инциденти и рискове. В приложение I към компромисния текст се предвиждат изисквания и задачи за ЕРИКС.</w:t>
      </w:r>
    </w:p>
    <w:p w:rsidR="00A067AA" w:rsidRPr="00010EF5" w:rsidRDefault="00A067AA" w:rsidP="00234459">
      <w:pPr>
        <w:numPr>
          <w:ilvl w:val="1"/>
          <w:numId w:val="28"/>
        </w:numPr>
      </w:pPr>
      <w:r w:rsidRPr="00010EF5">
        <w:rPr>
          <w:i/>
          <w:iCs/>
        </w:rPr>
        <w:t>Сътрудничество</w:t>
      </w:r>
    </w:p>
    <w:p w:rsidR="00787E56" w:rsidRPr="00010EF5" w:rsidRDefault="00A36255" w:rsidP="001721FA">
      <w:pPr>
        <w:numPr>
          <w:ilvl w:val="0"/>
          <w:numId w:val="24"/>
        </w:numPr>
        <w:ind w:left="1134" w:hanging="567"/>
        <w:rPr>
          <w:noProof/>
        </w:rPr>
      </w:pPr>
      <w:r w:rsidRPr="00010EF5">
        <w:t>С цел да се подпомага и улеснява стратегическото сътрудничество между държавите членки, да се изгражда доверие и увереност и с оглед постигането на високо общо равнище на сигурност на мрежите и информационните системи в Съюза, с компромисния текст се създава група за сътрудничество. Групата ще се състои от представители на държавите членки, Комисията и Агенцията на Европейския съюз за мрежова и информационна сигурност (ENISA) и ще има конкретни задачи, изброени в текста, като обмен на най-добри практики и информация по редица въпроси или обсъждане на способностите и готовността на държавите членки.</w:t>
      </w:r>
    </w:p>
    <w:p w:rsidR="00A067AA" w:rsidRPr="00010EF5" w:rsidRDefault="001B4AE8" w:rsidP="006563FD">
      <w:pPr>
        <w:numPr>
          <w:ilvl w:val="0"/>
          <w:numId w:val="24"/>
        </w:numPr>
        <w:ind w:left="1134" w:hanging="567"/>
      </w:pPr>
      <w:r w:rsidRPr="00010EF5">
        <w:br w:type="page"/>
      </w:r>
      <w:r w:rsidRPr="00010EF5">
        <w:lastRenderedPageBreak/>
        <w:t>Освен това с компромисния текст се установява мрежа от националните ЕРИКС с цел да се допринесе за изграждане на доверие и увереност между държавите членки и да се стимулира бързото и ефективно оперативно сътрудничество. Мрежата ще се състои от представители на ЕРИКС и CERT—ЕС на държавите членки, а Комисията ще участва в нея като наблюдател. ENISA ще изпълнява ролята на секретариат и ще подкрепя активно сътрудничеството между ЕРИКС. Текстът представя списък със задачите, които ще бъдат изпълнявани от мрежата, като обмен на информация относно услугите, операциите и капацитета за сътрудничество на ЕРИКС, подкрепа на държавите членки за справяне с трансгранични инциденти или, при определени условия, обмен и обсъждане на информация, свързана с инциденти, и отнасящите се до това рискове.</w:t>
      </w:r>
    </w:p>
    <w:p w:rsidR="001C0AEC" w:rsidRPr="00010EF5" w:rsidRDefault="001C0AEC" w:rsidP="001C0AEC">
      <w:pPr>
        <w:numPr>
          <w:ilvl w:val="1"/>
          <w:numId w:val="28"/>
        </w:numPr>
      </w:pPr>
      <w:r w:rsidRPr="00010EF5">
        <w:rPr>
          <w:i/>
          <w:iCs/>
        </w:rPr>
        <w:t>Изисквания за сигурност и уведомяване</w:t>
      </w:r>
    </w:p>
    <w:p w:rsidR="001C0AEC" w:rsidRPr="00010EF5" w:rsidRDefault="001C0AEC" w:rsidP="006563FD">
      <w:pPr>
        <w:numPr>
          <w:ilvl w:val="0"/>
          <w:numId w:val="24"/>
        </w:numPr>
        <w:ind w:left="1134" w:hanging="567"/>
      </w:pPr>
      <w:r w:rsidRPr="00010EF5">
        <w:t>Директивата установява някои задължения за две групи участници на пазара: операторите на основни услуги и доставчиците на цифрови услуги.</w:t>
      </w:r>
    </w:p>
    <w:p w:rsidR="001C0AEC" w:rsidRPr="00010EF5" w:rsidRDefault="001C0AEC" w:rsidP="006563FD">
      <w:pPr>
        <w:numPr>
          <w:ilvl w:val="0"/>
          <w:numId w:val="24"/>
        </w:numPr>
        <w:ind w:left="1134" w:hanging="567"/>
      </w:pPr>
      <w:r w:rsidRPr="00010EF5">
        <w:t>В приложение II към директивата са изброени редица важни за обществото и икономиката сектори, а именно енергетиката, транспорта, банковото дело, инфраструктурите на финансовия пазар, здравеопазването, доставката и снабдяването с питейна вода и цифровата инфраструктура. В рамките на тези сектори държавите членки ще определят операторите, които предоставят основни услуги, въз основа на определени в директивата точни критерии.</w:t>
      </w:r>
    </w:p>
    <w:p w:rsidR="00787E56" w:rsidRPr="00010EF5" w:rsidRDefault="001C0AEC" w:rsidP="00AF26CC">
      <w:pPr>
        <w:numPr>
          <w:ilvl w:val="0"/>
          <w:numId w:val="24"/>
        </w:numPr>
        <w:ind w:left="1134" w:hanging="567"/>
      </w:pPr>
      <w:r w:rsidRPr="00010EF5">
        <w:t>В приложение III към директивата се изброяват три вида цифрови услуги, доставчиците на които ще трябва да спазват изискванията на директивата: онлайн места за търговия, онлайн търсачки и компютърни услуги „в облак“. Всички доставчици на изброените цифрови услуги ще трябва да спазват изискванията на директивата, с изключение на микропредприятията и малките предприятия.</w:t>
      </w:r>
    </w:p>
    <w:p w:rsidR="001C0AEC" w:rsidRPr="00010EF5" w:rsidRDefault="001B4AE8" w:rsidP="00AF26CC">
      <w:pPr>
        <w:numPr>
          <w:ilvl w:val="0"/>
          <w:numId w:val="24"/>
        </w:numPr>
        <w:ind w:left="1134" w:hanging="567"/>
      </w:pPr>
      <w:r w:rsidRPr="00010EF5">
        <w:br w:type="page"/>
        <w:t>От двете групи участници на пазара ще се изисква да предприемат организационни и технически мерки за управление на рисковете, пред които е изправена сигурността на мрежите и информационните системи, както и да предотвратяват и намаляват до минимум въздействието на инциденти, засягащи сигурността на тези системи. Освен това националните компетентни органи или ЕРИКС ще трябва да бъдат уведомявани за инцидентите с определено ниво на въздействие върху въпросните услуги. В директивата се предвиждат критерии за определяне на степента на въздействие на подобни инциденти.</w:t>
      </w:r>
    </w:p>
    <w:p w:rsidR="001C0AEC" w:rsidRPr="00010EF5" w:rsidRDefault="000D049C" w:rsidP="00AF26CC">
      <w:pPr>
        <w:numPr>
          <w:ilvl w:val="0"/>
          <w:numId w:val="24"/>
        </w:numPr>
        <w:ind w:left="1134" w:hanging="567"/>
      </w:pPr>
      <w:r w:rsidRPr="00010EF5">
        <w:t>В директивата е възприет диференциран подход по отношение на двете категории участници. Изискванията за сигурност и уведомяване са по-леки за доставчиците на цифрови услуги от тези за операторите на основни услуги и съответстват на степента на риска, на който нарушаването на техните услуги може да изложи обществото и икономиката. Освен това, като се има предвид, че доставчиците на цифрови услуги често работят в много държави членки и с цел да се гарантира висока степен на хармонизация, директивата не позволява на държавите членки да налагат допълнителни изисквания за сигурност и уведомяване на тези доставчици.</w:t>
      </w:r>
    </w:p>
    <w:p w:rsidR="001D22BC" w:rsidRPr="00010EF5" w:rsidRDefault="001D22BC" w:rsidP="00AF26CC">
      <w:pPr>
        <w:numPr>
          <w:ilvl w:val="0"/>
          <w:numId w:val="24"/>
        </w:numPr>
        <w:ind w:left="1134" w:hanging="567"/>
      </w:pPr>
      <w:r w:rsidRPr="00010EF5">
        <w:t>В компромисния текст се предвижда също, че субектите, които не са били определени като оператори на основни услуги и не са доставчици на цифрови услуги, могат да уведомяват за определени инциденти на доброволна основа.</w:t>
      </w:r>
    </w:p>
    <w:p w:rsidR="001C0AEC" w:rsidRPr="00010EF5" w:rsidRDefault="001C0AEC" w:rsidP="00AF26CC">
      <w:pPr>
        <w:numPr>
          <w:ilvl w:val="1"/>
          <w:numId w:val="28"/>
        </w:numPr>
      </w:pPr>
      <w:r w:rsidRPr="00010EF5">
        <w:rPr>
          <w:i/>
          <w:iCs/>
        </w:rPr>
        <w:t>Транспониране</w:t>
      </w:r>
    </w:p>
    <w:p w:rsidR="00787E56" w:rsidRPr="00010EF5" w:rsidRDefault="001C0AEC" w:rsidP="00AF26CC">
      <w:pPr>
        <w:numPr>
          <w:ilvl w:val="0"/>
          <w:numId w:val="24"/>
        </w:numPr>
        <w:ind w:left="1134" w:hanging="567"/>
      </w:pPr>
      <w:r w:rsidRPr="00010EF5">
        <w:t>Държавите членки ще трябва да транспонират директивата не по-късно от 21 месеца след датата на влизането ѝ в сила и ще разполагат с още 6 месеца, за да определят своите оператори на основни услуги.</w:t>
      </w:r>
    </w:p>
    <w:p w:rsidR="001C5E5F" w:rsidRPr="00010EF5" w:rsidRDefault="001B4AE8" w:rsidP="00BF2A11">
      <w:pPr>
        <w:pStyle w:val="HeadingIVX"/>
        <w:numPr>
          <w:ilvl w:val="0"/>
          <w:numId w:val="21"/>
        </w:numPr>
        <w:tabs>
          <w:tab w:val="clear" w:pos="567"/>
        </w:tabs>
        <w:ind w:left="0" w:firstLine="0"/>
      </w:pPr>
      <w:r w:rsidRPr="00010EF5">
        <w:br w:type="page"/>
        <w:t>ЗАКЛЮЧЕНИЕ</w:t>
      </w:r>
    </w:p>
    <w:p w:rsidR="00C3218F" w:rsidRPr="00010EF5" w:rsidRDefault="00C3218F" w:rsidP="00AF26CC">
      <w:pPr>
        <w:numPr>
          <w:ilvl w:val="0"/>
          <w:numId w:val="24"/>
        </w:numPr>
        <w:ind w:left="1134" w:hanging="567"/>
      </w:pPr>
      <w:r w:rsidRPr="00010EF5">
        <w:t>Позицията на Съвета отразява напълно компромиса, който беше постигнат в преговорите между Европейския парламент и Съвета със съгласието на Комисията. Компромисът се потвърждава от писмото на председателя на Комисията по вътрешния пазар и защита на потребителите до председателя на Комитета на постоянните представители от 28 януари 2016 г.</w:t>
      </w:r>
    </w:p>
    <w:p w:rsidR="00FC4670" w:rsidRPr="00BF2A11" w:rsidRDefault="00FC4670" w:rsidP="00200453">
      <w:pPr>
        <w:pStyle w:val="FinalLine"/>
      </w:pPr>
    </w:p>
    <w:sectPr w:rsidR="00FC4670" w:rsidRPr="00BF2A11" w:rsidSect="00850CAA">
      <w:headerReference w:type="default" r:id="rId15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53" w:rsidRDefault="00200453" w:rsidP="00200453">
      <w:pPr>
        <w:spacing w:before="0" w:after="0" w:line="240" w:lineRule="auto"/>
      </w:pPr>
      <w:r>
        <w:separator/>
      </w:r>
    </w:p>
  </w:endnote>
  <w:endnote w:type="continuationSeparator" w:id="0">
    <w:p w:rsidR="00200453" w:rsidRDefault="00200453" w:rsidP="002004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22" w:rsidRPr="00850CAA" w:rsidRDefault="00055F22" w:rsidP="00850C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50CAA" w:rsidRPr="00D94637" w:rsidTr="00850CA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50CAA" w:rsidRPr="00D94637" w:rsidRDefault="00850CA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50CAA" w:rsidRPr="00B310DC" w:rsidTr="00850CA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50CAA" w:rsidRPr="00AD7BF2" w:rsidRDefault="00850CAA" w:rsidP="004F54B2">
          <w:pPr>
            <w:pStyle w:val="FooterText"/>
          </w:pPr>
          <w:r>
            <w:t>5581/1/16</w:t>
          </w:r>
          <w:r w:rsidRPr="002511D8">
            <w:t xml:space="preserve"> </w:t>
          </w:r>
          <w:r>
            <w:t>REV 1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50CAA" w:rsidRPr="00AD7BF2" w:rsidRDefault="00850CA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50CAA" w:rsidRPr="002511D8" w:rsidRDefault="00850CAA" w:rsidP="00D94637">
          <w:pPr>
            <w:pStyle w:val="FooterText"/>
            <w:jc w:val="center"/>
          </w:pPr>
          <w:r>
            <w:t>mlk/ags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50CAA" w:rsidRPr="00B310DC" w:rsidRDefault="00850CA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50CAA" w:rsidRPr="00D94637" w:rsidTr="00850CAA">
      <w:trPr>
        <w:jc w:val="center"/>
      </w:trPr>
      <w:tc>
        <w:tcPr>
          <w:tcW w:w="1774" w:type="pct"/>
          <w:shd w:val="clear" w:color="auto" w:fill="auto"/>
        </w:tcPr>
        <w:p w:rsidR="00850CAA" w:rsidRPr="00AD7BF2" w:rsidRDefault="00850CA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50CAA" w:rsidRPr="00AD7BF2" w:rsidRDefault="00850CAA" w:rsidP="00D204D6">
          <w:pPr>
            <w:pStyle w:val="FooterText"/>
            <w:spacing w:before="40"/>
            <w:jc w:val="center"/>
          </w:pPr>
          <w:r>
            <w:t>DRI</w:t>
          </w:r>
        </w:p>
      </w:tc>
      <w:tc>
        <w:tcPr>
          <w:tcW w:w="1147" w:type="pct"/>
          <w:shd w:val="clear" w:color="auto" w:fill="auto"/>
        </w:tcPr>
        <w:p w:rsidR="00850CAA" w:rsidRPr="00D94637" w:rsidRDefault="00850CA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50CAA" w:rsidRPr="00D94637" w:rsidRDefault="00850CA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200453" w:rsidRPr="00850CAA" w:rsidRDefault="00200453" w:rsidP="00850CA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50CAA" w:rsidRPr="00D94637" w:rsidTr="00850CA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50CAA" w:rsidRPr="00D94637" w:rsidRDefault="00850CA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50CAA" w:rsidRPr="00B310DC" w:rsidTr="00850CA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50CAA" w:rsidRPr="00AD7BF2" w:rsidRDefault="00850CAA" w:rsidP="004F54B2">
          <w:pPr>
            <w:pStyle w:val="FooterText"/>
          </w:pPr>
          <w:r>
            <w:t>5581/1/16</w:t>
          </w:r>
          <w:r w:rsidRPr="002511D8">
            <w:t xml:space="preserve"> </w:t>
          </w:r>
          <w:r>
            <w:t>REV 1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50CAA" w:rsidRPr="00AD7BF2" w:rsidRDefault="00850CA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50CAA" w:rsidRPr="002511D8" w:rsidRDefault="00850CAA" w:rsidP="00D94637">
          <w:pPr>
            <w:pStyle w:val="FooterText"/>
            <w:jc w:val="center"/>
          </w:pPr>
          <w:r>
            <w:t>mlk/ags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50CAA" w:rsidRPr="00B310DC" w:rsidRDefault="00850CA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50CAA" w:rsidRPr="00D94637" w:rsidTr="00850CAA">
      <w:trPr>
        <w:jc w:val="center"/>
      </w:trPr>
      <w:tc>
        <w:tcPr>
          <w:tcW w:w="1774" w:type="pct"/>
          <w:shd w:val="clear" w:color="auto" w:fill="auto"/>
        </w:tcPr>
        <w:p w:rsidR="00850CAA" w:rsidRPr="00AD7BF2" w:rsidRDefault="00850CA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50CAA" w:rsidRPr="00AD7BF2" w:rsidRDefault="00850CAA" w:rsidP="00D204D6">
          <w:pPr>
            <w:pStyle w:val="FooterText"/>
            <w:spacing w:before="40"/>
            <w:jc w:val="center"/>
          </w:pPr>
          <w:r>
            <w:t>DRI</w:t>
          </w:r>
        </w:p>
      </w:tc>
      <w:tc>
        <w:tcPr>
          <w:tcW w:w="1147" w:type="pct"/>
          <w:shd w:val="clear" w:color="auto" w:fill="auto"/>
        </w:tcPr>
        <w:p w:rsidR="00850CAA" w:rsidRPr="00D94637" w:rsidRDefault="00850CA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50CAA" w:rsidRPr="00D94637" w:rsidRDefault="00850CA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00453" w:rsidRPr="00850CAA" w:rsidRDefault="00200453" w:rsidP="00850CA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53" w:rsidRDefault="00200453" w:rsidP="00200453">
      <w:pPr>
        <w:spacing w:before="0" w:after="0" w:line="240" w:lineRule="auto"/>
      </w:pPr>
      <w:r>
        <w:separator/>
      </w:r>
    </w:p>
  </w:footnote>
  <w:footnote w:type="continuationSeparator" w:id="0">
    <w:p w:rsidR="00200453" w:rsidRDefault="00200453" w:rsidP="00200453">
      <w:pPr>
        <w:spacing w:before="0" w:after="0" w:line="240" w:lineRule="auto"/>
      </w:pPr>
      <w:r>
        <w:continuationSeparator/>
      </w:r>
    </w:p>
  </w:footnote>
  <w:footnote w:id="1">
    <w:p w:rsidR="00C3218F" w:rsidRPr="00BF2A11" w:rsidRDefault="00C3218F" w:rsidP="00261988">
      <w:pPr>
        <w:pStyle w:val="FootnoteText"/>
        <w:ind w:left="567" w:hanging="567"/>
      </w:pPr>
      <w:r w:rsidRPr="00BF2A11">
        <w:rPr>
          <w:rStyle w:val="FootnoteReference"/>
        </w:rPr>
        <w:footnoteRef/>
      </w:r>
      <w:r>
        <w:tab/>
        <w:t>Законодателна резолюция на Европейския парламент от 13 март 2014 г. относно предложението за директива на Европейския парламент и на Съвета относно мерки за гарантиране на високо общо ниво на мрежова и информационна сигурност (МИС) в Съюза.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22" w:rsidRPr="00850CAA" w:rsidRDefault="00055F22" w:rsidP="00850C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22" w:rsidRPr="00850CAA" w:rsidRDefault="00055F22" w:rsidP="00850CA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22" w:rsidRPr="00850CAA" w:rsidRDefault="00055F22" w:rsidP="00850CAA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53" w:rsidRPr="00850CAA" w:rsidRDefault="00200453" w:rsidP="00850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29461D"/>
    <w:multiLevelType w:val="hybridMultilevel"/>
    <w:tmpl w:val="26B2BD5C"/>
    <w:lvl w:ilvl="0" w:tplc="E8CEC572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C7007"/>
    <w:multiLevelType w:val="hybridMultilevel"/>
    <w:tmpl w:val="45AEA4EC"/>
    <w:lvl w:ilvl="0" w:tplc="125000C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9A853A4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6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A7C0103"/>
    <w:multiLevelType w:val="hybridMultilevel"/>
    <w:tmpl w:val="B78C23F6"/>
    <w:name w:val="Heading IVX3"/>
    <w:lvl w:ilvl="0" w:tplc="125000C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9">
    <w:nsid w:val="30EF02FA"/>
    <w:multiLevelType w:val="hybridMultilevel"/>
    <w:tmpl w:val="D408E368"/>
    <w:lvl w:ilvl="0" w:tplc="125000C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2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3">
    <w:nsid w:val="3CDD1796"/>
    <w:multiLevelType w:val="hybridMultilevel"/>
    <w:tmpl w:val="614885D4"/>
    <w:name w:val="Heading IVX222"/>
    <w:lvl w:ilvl="0" w:tplc="88B4001A">
      <w:start w:val="1"/>
      <w:numFmt w:val="lowerLetter"/>
      <w:lvlText w:val="(%1)"/>
      <w:lvlJc w:val="left"/>
      <w:pPr>
        <w:ind w:left="1854" w:hanging="360"/>
      </w:pPr>
    </w:lvl>
    <w:lvl w:ilvl="1" w:tplc="B90E06EE">
      <w:start w:val="1"/>
      <w:numFmt w:val="lowerLetter"/>
      <w:lvlText w:val="%2."/>
      <w:lvlJc w:val="left"/>
      <w:pPr>
        <w:ind w:left="2574" w:hanging="360"/>
      </w:pPr>
      <w:rPr>
        <w:i/>
        <w:iCs/>
      </w:rPr>
    </w:lvl>
    <w:lvl w:ilvl="2" w:tplc="0809001B">
      <w:start w:val="1"/>
      <w:numFmt w:val="lowerRoman"/>
      <w:lvlText w:val="%3."/>
      <w:lvlJc w:val="right"/>
      <w:pPr>
        <w:ind w:left="3294" w:hanging="180"/>
      </w:pPr>
    </w:lvl>
    <w:lvl w:ilvl="3" w:tplc="0809000F">
      <w:start w:val="1"/>
      <w:numFmt w:val="decimal"/>
      <w:lvlText w:val="%4."/>
      <w:lvlJc w:val="left"/>
      <w:pPr>
        <w:ind w:left="4014" w:hanging="360"/>
      </w:pPr>
    </w:lvl>
    <w:lvl w:ilvl="4" w:tplc="08090019">
      <w:start w:val="1"/>
      <w:numFmt w:val="lowerLetter"/>
      <w:lvlText w:val="%5."/>
      <w:lvlJc w:val="left"/>
      <w:pPr>
        <w:ind w:left="4734" w:hanging="360"/>
      </w:pPr>
    </w:lvl>
    <w:lvl w:ilvl="5" w:tplc="0809001B">
      <w:start w:val="1"/>
      <w:numFmt w:val="lowerRoman"/>
      <w:lvlText w:val="%6."/>
      <w:lvlJc w:val="right"/>
      <w:pPr>
        <w:ind w:left="5454" w:hanging="180"/>
      </w:pPr>
    </w:lvl>
    <w:lvl w:ilvl="6" w:tplc="0809000F">
      <w:start w:val="1"/>
      <w:numFmt w:val="decimal"/>
      <w:lvlText w:val="%7."/>
      <w:lvlJc w:val="left"/>
      <w:pPr>
        <w:ind w:left="6174" w:hanging="360"/>
      </w:pPr>
    </w:lvl>
    <w:lvl w:ilvl="7" w:tplc="08090019">
      <w:start w:val="1"/>
      <w:numFmt w:val="lowerLetter"/>
      <w:lvlText w:val="%8."/>
      <w:lvlJc w:val="left"/>
      <w:pPr>
        <w:ind w:left="6894" w:hanging="360"/>
      </w:pPr>
    </w:lvl>
    <w:lvl w:ilvl="8" w:tplc="0809001B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5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6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7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0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21">
    <w:nsid w:val="6CB703EF"/>
    <w:multiLevelType w:val="hybridMultilevel"/>
    <w:tmpl w:val="DE74B050"/>
    <w:lvl w:ilvl="0" w:tplc="E8CEC572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3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4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16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22"/>
  </w:num>
  <w:num w:numId="11">
    <w:abstractNumId w:val="23"/>
  </w:num>
  <w:num w:numId="12">
    <w:abstractNumId w:val="0"/>
  </w:num>
  <w:num w:numId="13">
    <w:abstractNumId w:val="25"/>
  </w:num>
  <w:num w:numId="14">
    <w:abstractNumId w:val="20"/>
  </w:num>
  <w:num w:numId="15">
    <w:abstractNumId w:val="17"/>
  </w:num>
  <w:num w:numId="16">
    <w:abstractNumId w:val="12"/>
  </w:num>
  <w:num w:numId="17">
    <w:abstractNumId w:val="18"/>
  </w:num>
  <w:num w:numId="18">
    <w:abstractNumId w:val="2"/>
  </w:num>
  <w:num w:numId="19">
    <w:abstractNumId w:val="24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3"/>
  </w:num>
  <w:num w:numId="27">
    <w:abstractNumId w:val="9"/>
  </w:num>
  <w:num w:numId="28">
    <w:abstractNumId w:val="4"/>
  </w:num>
  <w:num w:numId="29">
    <w:abstractNumId w:val="6"/>
  </w:num>
  <w:num w:numId="30">
    <w:abstractNumId w:val="19"/>
  </w:num>
  <w:num w:numId="31">
    <w:abstractNumId w:val="15"/>
  </w:num>
  <w:num w:numId="32">
    <w:abstractNumId w:val="14"/>
  </w:num>
  <w:num w:numId="33">
    <w:abstractNumId w:val="16"/>
  </w:num>
  <w:num w:numId="34">
    <w:abstractNumId w:val="11"/>
  </w:num>
  <w:num w:numId="35">
    <w:abstractNumId w:val="1"/>
  </w:num>
  <w:num w:numId="36">
    <w:abstractNumId w:val="10"/>
  </w:num>
  <w:num w:numId="37">
    <w:abstractNumId w:val="8"/>
  </w:num>
  <w:num w:numId="38">
    <w:abstractNumId w:val="5"/>
  </w:num>
  <w:num w:numId="39">
    <w:abstractNumId w:val="22"/>
  </w:num>
  <w:num w:numId="40">
    <w:abstractNumId w:val="23"/>
  </w:num>
  <w:num w:numId="41">
    <w:abstractNumId w:val="0"/>
  </w:num>
  <w:num w:numId="42">
    <w:abstractNumId w:val="25"/>
  </w:num>
  <w:num w:numId="43">
    <w:abstractNumId w:val="20"/>
  </w:num>
  <w:num w:numId="44">
    <w:abstractNumId w:val="17"/>
  </w:num>
  <w:num w:numId="45">
    <w:abstractNumId w:val="12"/>
  </w:num>
  <w:num w:numId="46">
    <w:abstractNumId w:val="18"/>
  </w:num>
  <w:num w:numId="47">
    <w:abstractNumId w:val="2"/>
  </w:num>
  <w:num w:numId="48">
    <w:abstractNumId w:val="2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0492d6e0-8374-48fa-adca-17ef51ad77d9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0&quot;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 /&gt;_x000d__x000a_    &lt;/basicdatatype&gt;_x000d__x000a_  &lt;/metadata&gt;_x000d__x000a_  &lt;metadata key=&quot;md_HeadingText&quot; translate=&quot;false&quot;&gt;_x000d__x000a_    &lt;headingtext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_x000d__x000a_      &lt;formattedtext&gt;_x000d__x000a_        &lt;xaml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&amp;lt;FlowDocument xmlns=&quot;http://schemas.microsoft.com/winfx/2006/xaml/presentation&quot;&amp;gt;&amp;lt;Paragraph&amp;g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10&quot; text=&quot;Statement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1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581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REV 1 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TELECOM 7&lt;/text&gt;_x000d__x000a_      &lt;text&gt;DATAPROTECT 6&lt;/text&gt;_x000d__x000a_      &lt;text&gt;CYBER 4&lt;/text&gt;_x000d__x000a_      &lt;text&gt;MI 37&lt;/text&gt;_x000d__x000a_      &lt;text&gt;CSC 15 &lt;/text&gt;_x000d__x000a_      &lt;text&gt;CODEC 84&lt;/text&gt;_x000d__x000a_      &lt;text&gt;PARLNAT 154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&gt;_x000d__x000a_      &lt;text&gt;2013/0027 (COD)&lt;/text&gt;_x000d__x000a_    &lt;/textlist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7;&amp;#1088;&amp;#1080;&amp;#1077;&amp;#1084;&amp;#1072;&amp;#1085;&amp;#1077;&amp;#1090;&amp;#1086; &amp;#1085;&amp;#1072; &amp;#1044;&amp;#1048;&amp;#1056;&amp;#1045;&amp;#1050;&amp;#1058;&amp;#1048;&amp;#1042;&amp;#1040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86;&amp;#1090;&amp;#1085;&amp;#1086;&amp;#1089;&amp;#1085;&amp;#1086; &amp;#1084;&amp;#1077;&amp;#1088;&amp;#1082;&amp;#1080; &amp;#1079;&amp;#1072; &amp;#1075;&amp;#1072;&amp;#1088;&amp;#1072;&amp;#1085;&amp;#1090;&amp;#1080;&amp;#1088;&amp;#1072;&amp;#1085;&amp;#1077; &amp;#1085;&amp;#1072; &amp;#1074;&amp;#1080;&amp;#1089;&amp;#1086;&amp;#1082;&amp;#1086; &amp;#1086;&amp;#1073;&amp;#1097;&amp;#1086; &amp;#1085;&amp;#1080;&amp;#1074;&amp;#1086; &amp;#1085;&amp;#1072; &amp;#1089;&amp;#1080;&amp;#1075;&amp;#1091;&amp;#1088;&amp;#1085;&amp;#1086;&amp;#1089;&amp;#1090; &amp;#1085;&amp;#1072; &amp;#1084;&amp;#1088;&amp;#1077;&amp;#1078;&amp;#1080;&amp;#1090;&amp;#1077; &amp;#1080; &amp;#1080;&amp;#1085;&amp;#1092;&amp;#1086;&amp;#1088;&amp;#1084;&amp;#1072;&amp;#1094;&amp;#1080;&amp;#1086;&amp;#1085;&amp;#1085;&amp;#1080;&amp;#1090;&amp;#1077; &amp;#1089;&amp;#1080;&amp;#1089;&amp;#1090;&amp;#1077;&amp;#1084;&amp;#1080; &amp;#1074; &amp;#1057;&amp;#1098;&amp;#1102;&amp;#1079;&amp;#1072;  &amp;#8212; &amp;#1048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 &amp;#8212; &amp;#1055;&amp;#1088;&amp;#1080;&amp;#1077;&amp;#1084;&amp;#1072;&amp;#1085;&amp;#1077; &amp;#1086;&amp;#1090; &amp;#1057;&amp;#1098;&amp;#1074;&amp;#1077;&amp;#1090;&amp;#1072; &amp;#1085;&amp;#1072; 17 &amp;#1084;&amp;#1072;&amp;#1081; 2016 &amp;#1075;.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xml:space=&quot;preserve&quot;&amp;g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7;&amp;#1088;&amp;#1080;&amp;#1077;&amp;#1084;&amp;#1072;&amp;#1085;&amp;#1077;&amp;#1090;&amp;#1086; &amp;#1085;&amp;#1072; &amp;#1044;&amp;#1048;&amp;#1056;&amp;#1045;&amp;#1050;&amp;#1058;&amp;#1048;&amp;#1042;&amp;#1040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86;&amp;#1090;&amp;#1085;&amp;#1086;&amp;#1089;&amp;#1085;&amp;#1086; &amp;#1084;&amp;#1077;&amp;#1088;&amp;#1082;&amp;#1080; &amp;#1079;&amp;#1072; &amp;#1075;&amp;#1072;&amp;#1088;&amp;#1072;&amp;#1085;&amp;#1090;&amp;#1080;&amp;#1088;&amp;#1072;&amp;#1085;&amp;#1077; &amp;#1085;&amp;#1072; &amp;#1074;&amp;#1080;&amp;#1089;&amp;#1086;&amp;#1082;&amp;#1086; &amp;#1086;&amp;#1073;&amp;#1097;&amp;#1086; &amp;#1085;&amp;#1080;&amp;#1074;&amp;#1086; &amp;#1085;&amp;#1072; &amp;#1089;&amp;#1080;&amp;#1075;&amp;#1091;&amp;#1088;&amp;#1085;&amp;#1086;&amp;#1089;&amp;#1090; &amp;#1085;&amp;#1072; &amp;#1084;&amp;#1088;&amp;#1077;&amp;#1078;&amp;#1080;&amp;#1090;&amp;#1077; &amp;#1080; &amp;#1080;&amp;#1085;&amp;#1092;&amp;#1086;&amp;#1088;&amp;#1084;&amp;#1072;&amp;#1094;&amp;#1080;&amp;#1086;&amp;#1085;&amp;#1085;&amp;#1080;&amp;#1090;&amp;#1077; &amp;#1089;&amp;#1080;&amp;#1089;&amp;#1090;&amp;#1077;&amp;#1084;&amp;#1080; &amp;#1074; &amp;#1057;&amp;#1098;&amp;#1102;&amp;#1079;&amp;#1072; &amp;lt;/Paragraph&amp;gt;&amp;lt;Paragraph&amp;gt;&amp;#8212; &amp;#1048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&amp;lt;LineBreak /&amp;gt;&amp;#8212; &amp;#1055;&amp;#1088;&amp;#1080;&amp;#1077;&amp;#1084;&amp;#1072;&amp;#1085;&amp;#1077; &amp;#1086;&amp;#1090; &amp;#1057;&amp;#1098;&amp;#1074;&amp;#1077;&amp;#1090;&amp;#1072; &amp;#1085;&amp;#1072; 17 &amp;#1084;&amp;#1072;&amp;#1081; 2016 &amp;#1075;.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RI&lt;/text&gt;_x000d__x000a_  &lt;/metadata&gt;_x000d__x000a_  &lt;metadata key=&quot;md_Initials&quot; translate=&quot;false&quot;&gt;_x000d__x000a_    &lt;text&gt;mlk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cd994c83-e1e2-4892-ac41-9af33c406e86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59&quot; text=&quot;DRAFT STATEMENT OF THE COUNCIL'S REASONS&quot; /&gt;_x000d__x000a_    &lt;/basicdatatype&gt;_x000d__x000a_  &lt;/metadata&gt;_x000d__x000a_  &lt;metadata key=&quot;md_HeadingText&quot;&gt;_x000d__x000a_    &lt;headingtext text=&quot;DRAFT STATEMENT OF THE COUNCIL'S REASONS&quot;&gt;_x000d__x000a_      &lt;formattedtext&gt;_x000d__x000a_        &lt;xaml text=&quot;DRAFT STATEMENT OF THE COUNCIL'S REASONS&quot;&gt;&amp;lt;FlowDocument xmlns=&quot;http://schemas.microsoft.com/winfx/2006/xaml/presentation&quot;&amp;gt;&amp;lt;Paragraph&amp;gt;DRAFT STATEMENT OF THE COUNCIL'S REASON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0&quot; text=&quot;Statement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4-21&lt;/text&gt;_x000d__x000a_  &lt;/metadata&gt;_x000d__x000a_  &lt;metadata key=&quot;md_Prefix&quot;&gt;_x000d__x000a_    &lt;text&gt;&lt;/text&gt;_x000d__x000a_  &lt;/metadata&gt;_x000d__x000a_  &lt;metadata key=&quot;md_DocumentNumber&quot;&gt;_x000d__x000a_    &lt;text&gt;5581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TELECOM 7&lt;/text&gt;_x000d__x000a_      &lt;text&gt;DATAPROTECT 6&lt;/text&gt;_x000d__x000a_      &lt;text&gt;CYBER 4&lt;/text&gt;_x000d__x000a_      &lt;text&gt;MI 37&lt;/text&gt;_x000d__x000a_      &lt;text&gt;CSC 15&lt;/text&gt;_x000d__x000a_      &lt;text&gt;CODEC 8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3/0027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osition of the Council at first reading with a view to the adoption of a DIRECTIVE OF THE EUROPEAN PARLIAMENT AND OF THE COUNCIL concerning measures for a high common level of security of network and information systems across the Union  &amp;#8211; Draft Statement of the Council's reasons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Arial Unicode MS&quot;&amp;gt;Position of the Council at first reading with a view to the adoption of a&amp;lt;/Run&amp;gt;&amp;lt;Run FontFamily=&quot;Arial Unicode MS&quot; xml:lang=&quot;en-gb&quot; xml:space=&quot;preserve&quot;&amp;gt; DIRECTIVE OF THE EUROPEAN PARLIAMENT AND OF THE COUNCIL concerning measures for a high common level of security of network and information systems across the Union &amp;lt;/Run&amp;gt;&amp;lt;/Paragraph&amp;gt;&amp;lt;Paragraph&amp;gt;&amp;#8211; Draft Statement of the Council's reasons&amp;lt;/Paragraph&amp;gt;&amp;lt;/FlowDocument&amp;gt;&lt;/xaml&gt;_x000d__x000a_  &lt;/metadata&gt;_x000d__x000a_  &lt;metadata key=&quot;md_SubjectFootnote&quot; /&gt;_x000d__x000a_  &lt;metadata key=&quot;md_DG&quot;&gt;_x000d__x000a_    &lt;text&gt;DGE 2B&lt;/text&gt;_x000d__x000a_  &lt;/metadata&gt;_x000d__x000a_  &lt;metadata key=&quot;md_Initials&quot;&gt;_x000d__x000a_    &lt;text&gt;KM/ek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DW_DQC_HasErrors" w:val="true"/>
    <w:docVar w:name="VSSDB_IniPath" w:val="\\at100\user\wovo\SEILEG\vss\srcsafe.ini"/>
    <w:docVar w:name="VSSDB_ProjectPath" w:val="$/DocuWrite/DOT/DW_COUNCIL"/>
  </w:docVars>
  <w:rsids>
    <w:rsidRoot w:val="00200453"/>
    <w:rsid w:val="00010EF5"/>
    <w:rsid w:val="00023A03"/>
    <w:rsid w:val="00055F22"/>
    <w:rsid w:val="00096B04"/>
    <w:rsid w:val="000A5205"/>
    <w:rsid w:val="000D049C"/>
    <w:rsid w:val="00105AEE"/>
    <w:rsid w:val="00130CD9"/>
    <w:rsid w:val="001721FA"/>
    <w:rsid w:val="00182F2F"/>
    <w:rsid w:val="001B4AE8"/>
    <w:rsid w:val="001C0AEC"/>
    <w:rsid w:val="001C1A89"/>
    <w:rsid w:val="001C5E5F"/>
    <w:rsid w:val="001D22BC"/>
    <w:rsid w:val="00200453"/>
    <w:rsid w:val="00210697"/>
    <w:rsid w:val="00234459"/>
    <w:rsid w:val="002345D5"/>
    <w:rsid w:val="0023622C"/>
    <w:rsid w:val="00261988"/>
    <w:rsid w:val="00356F5F"/>
    <w:rsid w:val="003613DB"/>
    <w:rsid w:val="00364DB6"/>
    <w:rsid w:val="00390B30"/>
    <w:rsid w:val="00414945"/>
    <w:rsid w:val="00436D67"/>
    <w:rsid w:val="00443E73"/>
    <w:rsid w:val="004749D0"/>
    <w:rsid w:val="004A5CE6"/>
    <w:rsid w:val="005E42D0"/>
    <w:rsid w:val="00625999"/>
    <w:rsid w:val="006351BB"/>
    <w:rsid w:val="006563FD"/>
    <w:rsid w:val="00675785"/>
    <w:rsid w:val="00683566"/>
    <w:rsid w:val="006A2C14"/>
    <w:rsid w:val="007161AD"/>
    <w:rsid w:val="007336A7"/>
    <w:rsid w:val="00780852"/>
    <w:rsid w:val="00785492"/>
    <w:rsid w:val="00787E56"/>
    <w:rsid w:val="007B336B"/>
    <w:rsid w:val="007C2050"/>
    <w:rsid w:val="007E4648"/>
    <w:rsid w:val="00815C54"/>
    <w:rsid w:val="00850CAA"/>
    <w:rsid w:val="00857E3C"/>
    <w:rsid w:val="0088328F"/>
    <w:rsid w:val="008F504F"/>
    <w:rsid w:val="00901450"/>
    <w:rsid w:val="009B07D1"/>
    <w:rsid w:val="009C3001"/>
    <w:rsid w:val="009E31C5"/>
    <w:rsid w:val="009E7427"/>
    <w:rsid w:val="00A067AA"/>
    <w:rsid w:val="00A27063"/>
    <w:rsid w:val="00A30641"/>
    <w:rsid w:val="00A36255"/>
    <w:rsid w:val="00A71804"/>
    <w:rsid w:val="00A93207"/>
    <w:rsid w:val="00AC1771"/>
    <w:rsid w:val="00AC4836"/>
    <w:rsid w:val="00AF26CC"/>
    <w:rsid w:val="00AF3113"/>
    <w:rsid w:val="00AF77CE"/>
    <w:rsid w:val="00B51097"/>
    <w:rsid w:val="00B54F86"/>
    <w:rsid w:val="00BC06D1"/>
    <w:rsid w:val="00BE6E3D"/>
    <w:rsid w:val="00BF2A11"/>
    <w:rsid w:val="00C3218F"/>
    <w:rsid w:val="00C65538"/>
    <w:rsid w:val="00C76F19"/>
    <w:rsid w:val="00CE3DD7"/>
    <w:rsid w:val="00D13316"/>
    <w:rsid w:val="00D47FE3"/>
    <w:rsid w:val="00DA643E"/>
    <w:rsid w:val="00DC5EF5"/>
    <w:rsid w:val="00DE0C5E"/>
    <w:rsid w:val="00DF42F3"/>
    <w:rsid w:val="00E17A1E"/>
    <w:rsid w:val="00E271AC"/>
    <w:rsid w:val="00E316D4"/>
    <w:rsid w:val="00E33D7C"/>
    <w:rsid w:val="00E46459"/>
    <w:rsid w:val="00E5767B"/>
    <w:rsid w:val="00E6553B"/>
    <w:rsid w:val="00E80814"/>
    <w:rsid w:val="00E969D0"/>
    <w:rsid w:val="00F21812"/>
    <w:rsid w:val="00F718F8"/>
    <w:rsid w:val="00F86DEA"/>
    <w:rsid w:val="00FC4670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00453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00453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00453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200453"/>
    <w:pPr>
      <w:spacing w:before="0" w:after="0" w:line="240" w:lineRule="auto"/>
    </w:pPr>
  </w:style>
  <w:style w:type="character" w:customStyle="1" w:styleId="FootnoteTextChar">
    <w:name w:val="Footnote Text Char"/>
    <w:aliases w:val="Fußnotentextf Char,Footnote text Char,fn Char,Schriftart: 9 pt Char,Schriftart: 10 pt Char,Schriftart: 8 pt Char,WB-Fußnotentext Char,o Char,Podrozdział Char,Schriftart: 8 p Char,Char Char,Tekst przypisu Char,WB-Fuﬂnotentext Char"/>
    <w:basedOn w:val="DefaultParagraphFont"/>
    <w:rsid w:val="001C5E5F"/>
    <w:rPr>
      <w:sz w:val="24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4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3E"/>
    <w:rPr>
      <w:rFonts w:ascii="Tahoma" w:hAnsi="Tahoma" w:cs="Tahoma"/>
      <w:sz w:val="16"/>
      <w:szCs w:val="16"/>
      <w:lang w:val="bg-BG" w:eastAsia="en-US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0A5205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45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45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45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45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45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45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45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45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45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46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46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46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46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46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40"/>
      </w:numPr>
    </w:pPr>
  </w:style>
  <w:style w:type="paragraph" w:customStyle="1" w:styleId="Bullet1">
    <w:name w:val="Bullet 1"/>
    <w:basedOn w:val="Normal"/>
    <w:rsid w:val="00F86DEA"/>
    <w:pPr>
      <w:numPr>
        <w:numId w:val="41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42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43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44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30"/>
      </w:numPr>
    </w:pPr>
  </w:style>
  <w:style w:type="paragraph" w:customStyle="1" w:styleId="Dash1">
    <w:name w:val="Dash 1"/>
    <w:basedOn w:val="Normal"/>
    <w:rsid w:val="00F86DEA"/>
    <w:pPr>
      <w:numPr>
        <w:numId w:val="31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2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33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34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35"/>
      </w:numPr>
    </w:pPr>
  </w:style>
  <w:style w:type="paragraph" w:customStyle="1" w:styleId="DashEqual1">
    <w:name w:val="Dash Equal 1"/>
    <w:basedOn w:val="Dash1"/>
    <w:rsid w:val="00F86DEA"/>
    <w:pPr>
      <w:numPr>
        <w:numId w:val="36"/>
      </w:numPr>
    </w:pPr>
  </w:style>
  <w:style w:type="paragraph" w:customStyle="1" w:styleId="DashEqual2">
    <w:name w:val="Dash Equal 2"/>
    <w:basedOn w:val="Dash2"/>
    <w:rsid w:val="00F86DEA"/>
    <w:pPr>
      <w:numPr>
        <w:numId w:val="37"/>
      </w:numPr>
    </w:pPr>
  </w:style>
  <w:style w:type="paragraph" w:customStyle="1" w:styleId="DashEqual3">
    <w:name w:val="Dash Equal 3"/>
    <w:basedOn w:val="Dash3"/>
    <w:rsid w:val="00F86DEA"/>
    <w:pPr>
      <w:numPr>
        <w:numId w:val="38"/>
      </w:numPr>
    </w:pPr>
  </w:style>
  <w:style w:type="paragraph" w:customStyle="1" w:styleId="DashEqual4">
    <w:name w:val="Dash Equal 4"/>
    <w:basedOn w:val="Dash4"/>
    <w:rsid w:val="00F86DEA"/>
    <w:pPr>
      <w:numPr>
        <w:numId w:val="39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9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48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47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200453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200453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00453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200453"/>
    <w:pPr>
      <w:spacing w:before="0" w:after="0" w:line="240" w:lineRule="auto"/>
    </w:pPr>
  </w:style>
  <w:style w:type="character" w:customStyle="1" w:styleId="FootnoteTextChar">
    <w:name w:val="Footnote Text Char"/>
    <w:aliases w:val="Fußnotentextf Char,Footnote text Char,fn Char,Schriftart: 9 pt Char,Schriftart: 10 pt Char,Schriftart: 8 pt Char,WB-Fußnotentext Char,o Char,Podrozdział Char,Schriftart: 8 p Char,Char Char,Tekst przypisu Char,WB-Fuﬂnotentext Char"/>
    <w:basedOn w:val="DefaultParagraphFont"/>
    <w:rsid w:val="001C5E5F"/>
    <w:rPr>
      <w:sz w:val="24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4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3E"/>
    <w:rPr>
      <w:rFonts w:ascii="Tahoma" w:hAnsi="Tahoma" w:cs="Tahoma"/>
      <w:sz w:val="16"/>
      <w:szCs w:val="16"/>
      <w:lang w:val="bg-BG" w:eastAsia="en-US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0A5205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45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45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45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45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45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45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45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45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45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46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46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46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46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46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40"/>
      </w:numPr>
    </w:pPr>
  </w:style>
  <w:style w:type="paragraph" w:customStyle="1" w:styleId="Bullet1">
    <w:name w:val="Bullet 1"/>
    <w:basedOn w:val="Normal"/>
    <w:rsid w:val="00F86DEA"/>
    <w:pPr>
      <w:numPr>
        <w:numId w:val="41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42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43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44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30"/>
      </w:numPr>
    </w:pPr>
  </w:style>
  <w:style w:type="paragraph" w:customStyle="1" w:styleId="Dash1">
    <w:name w:val="Dash 1"/>
    <w:basedOn w:val="Normal"/>
    <w:rsid w:val="00F86DEA"/>
    <w:pPr>
      <w:numPr>
        <w:numId w:val="31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2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33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34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35"/>
      </w:numPr>
    </w:pPr>
  </w:style>
  <w:style w:type="paragraph" w:customStyle="1" w:styleId="DashEqual1">
    <w:name w:val="Dash Equal 1"/>
    <w:basedOn w:val="Dash1"/>
    <w:rsid w:val="00F86DEA"/>
    <w:pPr>
      <w:numPr>
        <w:numId w:val="36"/>
      </w:numPr>
    </w:pPr>
  </w:style>
  <w:style w:type="paragraph" w:customStyle="1" w:styleId="DashEqual2">
    <w:name w:val="Dash Equal 2"/>
    <w:basedOn w:val="Dash2"/>
    <w:rsid w:val="00F86DEA"/>
    <w:pPr>
      <w:numPr>
        <w:numId w:val="37"/>
      </w:numPr>
    </w:pPr>
  </w:style>
  <w:style w:type="paragraph" w:customStyle="1" w:styleId="DashEqual3">
    <w:name w:val="Dash Equal 3"/>
    <w:basedOn w:val="Dash3"/>
    <w:rsid w:val="00F86DEA"/>
    <w:pPr>
      <w:numPr>
        <w:numId w:val="38"/>
      </w:numPr>
    </w:pPr>
  </w:style>
  <w:style w:type="paragraph" w:customStyle="1" w:styleId="DashEqual4">
    <w:name w:val="Dash Equal 4"/>
    <w:basedOn w:val="Dash4"/>
    <w:rsid w:val="00F86DEA"/>
    <w:pPr>
      <w:numPr>
        <w:numId w:val="39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9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48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47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3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Corchero Purificacion</dc:creator>
  <cp:lastModifiedBy>STANKOVA Albena</cp:lastModifiedBy>
  <cp:revision>4</cp:revision>
  <cp:lastPrinted>2016-05-17T15:19:00Z</cp:lastPrinted>
  <dcterms:created xsi:type="dcterms:W3CDTF">2016-05-20T08:17:00Z</dcterms:created>
  <dcterms:modified xsi:type="dcterms:W3CDTF">2016-05-20T08:21:00Z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