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53" w:rsidRPr="005E42D0" w:rsidRDefault="00E33D7C" w:rsidP="005E42D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cbdc00d-25e7-4268-92b1-5ea5d61570cc_0" style="width:568.5pt;height:385.65pt">
            <v:imagedata r:id="rId8" o:title=""/>
          </v:shape>
        </w:pict>
      </w:r>
      <w:bookmarkEnd w:id="0"/>
    </w:p>
    <w:p w:rsidR="00200453" w:rsidRDefault="00200453" w:rsidP="00200453">
      <w:pPr>
        <w:sectPr w:rsidR="00200453" w:rsidSect="00E33D7C">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1C5E5F" w:rsidRPr="00F048B5" w:rsidRDefault="001C5E5F" w:rsidP="001C5E5F">
      <w:pPr>
        <w:pStyle w:val="HeadingIVX"/>
        <w:numPr>
          <w:ilvl w:val="0"/>
          <w:numId w:val="21"/>
        </w:numPr>
      </w:pPr>
      <w:r w:rsidRPr="00F048B5">
        <w:lastRenderedPageBreak/>
        <w:t>INTRODUCTION</w:t>
      </w:r>
    </w:p>
    <w:p w:rsidR="00C3218F" w:rsidRPr="00F048B5" w:rsidRDefault="00C3218F" w:rsidP="006A2C14">
      <w:pPr>
        <w:numPr>
          <w:ilvl w:val="0"/>
          <w:numId w:val="22"/>
        </w:numPr>
        <w:ind w:left="1134" w:hanging="567"/>
        <w:rPr>
          <w:rFonts w:eastAsia="Calibri" w:cs="Arial"/>
          <w:szCs w:val="22"/>
        </w:rPr>
      </w:pPr>
      <w:r w:rsidRPr="00F048B5">
        <w:t xml:space="preserve">The </w:t>
      </w:r>
      <w:r w:rsidRPr="00F048B5">
        <w:rPr>
          <w:u w:val="single"/>
        </w:rPr>
        <w:t>Commission</w:t>
      </w:r>
      <w:r w:rsidRPr="00F048B5">
        <w:t xml:space="preserve"> </w:t>
      </w:r>
      <w:r w:rsidR="00261988">
        <w:t>submitted</w:t>
      </w:r>
      <w:r w:rsidRPr="00F048B5">
        <w:t xml:space="preserve"> its proposal for</w:t>
      </w:r>
      <w:r w:rsidRPr="00F048B5">
        <w:rPr>
          <w:i/>
          <w:iCs/>
        </w:rPr>
        <w:t xml:space="preserve"> </w:t>
      </w:r>
      <w:r w:rsidRPr="00261988">
        <w:t>a</w:t>
      </w:r>
      <w:r w:rsidRPr="00F048B5">
        <w:rPr>
          <w:i/>
          <w:iCs/>
        </w:rPr>
        <w:t xml:space="preserve"> </w:t>
      </w:r>
      <w:r w:rsidR="00261988" w:rsidRPr="008A1383">
        <w:t xml:space="preserve">Directive of the European Parliament and of the Council concerning </w:t>
      </w:r>
      <w:r w:rsidR="00261988" w:rsidRPr="000B56E7">
        <w:rPr>
          <w:i/>
          <w:iCs/>
        </w:rPr>
        <w:t>measures to ensure a high common level of network and information security across the Union</w:t>
      </w:r>
      <w:r w:rsidR="00261988" w:rsidRPr="008A1383">
        <w:t xml:space="preserve"> (hereinafter</w:t>
      </w:r>
      <w:r w:rsidR="00261988">
        <w:t xml:space="preserve"> referred to as the</w:t>
      </w:r>
      <w:r w:rsidR="00261988" w:rsidRPr="008A1383">
        <w:t xml:space="preserve"> Directive)</w:t>
      </w:r>
      <w:r w:rsidRPr="00F048B5">
        <w:t xml:space="preserve"> on </w:t>
      </w:r>
      <w:r w:rsidR="00261988">
        <w:t>12</w:t>
      </w:r>
      <w:r w:rsidRPr="00F048B5">
        <w:t xml:space="preserve"> </w:t>
      </w:r>
      <w:r w:rsidR="00261988">
        <w:t>February</w:t>
      </w:r>
      <w:r w:rsidRPr="00F048B5">
        <w:t xml:space="preserve"> 2013 with article 114 TFEU as a legal basis. </w:t>
      </w:r>
    </w:p>
    <w:p w:rsidR="00C3218F" w:rsidRPr="00F048B5" w:rsidRDefault="00C3218F" w:rsidP="006A2C14">
      <w:pPr>
        <w:numPr>
          <w:ilvl w:val="0"/>
          <w:numId w:val="22"/>
        </w:numPr>
        <w:ind w:left="1134" w:hanging="567"/>
        <w:rPr>
          <w:rFonts w:eastAsia="Calibri" w:cs="Arial"/>
          <w:szCs w:val="22"/>
        </w:rPr>
      </w:pPr>
      <w:r w:rsidRPr="00F048B5">
        <w:rPr>
          <w:rFonts w:eastAsia="Calibri" w:cs="Arial"/>
          <w:bCs/>
          <w:color w:val="000000"/>
          <w:szCs w:val="22"/>
          <w:lang w:eastAsia="en-GB"/>
        </w:rPr>
        <w:t xml:space="preserve">The </w:t>
      </w:r>
      <w:r w:rsidRPr="00F048B5">
        <w:rPr>
          <w:rFonts w:eastAsia="Calibri" w:cs="Arial"/>
          <w:bCs/>
          <w:color w:val="000000"/>
          <w:szCs w:val="22"/>
          <w:u w:val="single"/>
          <w:lang w:eastAsia="en-GB"/>
        </w:rPr>
        <w:t>European Economic and Social Committee</w:t>
      </w:r>
      <w:r w:rsidRPr="00F048B5">
        <w:rPr>
          <w:rFonts w:eastAsia="Calibri" w:cs="Arial"/>
          <w:bCs/>
          <w:color w:val="000000"/>
          <w:szCs w:val="22"/>
          <w:lang w:eastAsia="en-GB"/>
        </w:rPr>
        <w:t xml:space="preserve"> voted its Opinion on</w:t>
      </w:r>
      <w:r w:rsidRPr="00F048B5">
        <w:rPr>
          <w:rFonts w:eastAsia="Calibri" w:cs="Arial"/>
          <w:szCs w:val="22"/>
          <w:lang w:eastAsia="en-GB"/>
        </w:rPr>
        <w:t xml:space="preserve"> </w:t>
      </w:r>
      <w:r w:rsidR="00261988">
        <w:rPr>
          <w:rFonts w:eastAsia="Calibri" w:cs="Arial"/>
          <w:szCs w:val="22"/>
          <w:lang w:eastAsia="en-GB"/>
        </w:rPr>
        <w:t>22 May 2013</w:t>
      </w:r>
      <w:r w:rsidRPr="00F048B5">
        <w:rPr>
          <w:rFonts w:eastAsia="Calibri" w:cs="Arial"/>
          <w:szCs w:val="22"/>
          <w:lang w:eastAsia="en-GB"/>
        </w:rPr>
        <w:t xml:space="preserve"> and the </w:t>
      </w:r>
      <w:r w:rsidRPr="00F048B5">
        <w:rPr>
          <w:rFonts w:eastAsia="Calibri" w:cs="Arial"/>
          <w:szCs w:val="22"/>
          <w:u w:val="single"/>
          <w:lang w:eastAsia="en-GB"/>
        </w:rPr>
        <w:t>Committee of the Regions</w:t>
      </w:r>
      <w:r w:rsidRPr="00F048B5">
        <w:rPr>
          <w:rFonts w:eastAsia="Calibri" w:cs="Arial"/>
          <w:szCs w:val="22"/>
          <w:lang w:eastAsia="en-GB"/>
        </w:rPr>
        <w:t xml:space="preserve"> voted its Opinion on </w:t>
      </w:r>
      <w:r w:rsidR="00261988">
        <w:rPr>
          <w:rFonts w:eastAsia="Calibri" w:cs="Arial"/>
          <w:szCs w:val="22"/>
          <w:lang w:eastAsia="en-GB"/>
        </w:rPr>
        <w:t>3</w:t>
      </w:r>
      <w:r w:rsidRPr="00F048B5">
        <w:rPr>
          <w:rFonts w:eastAsia="Calibri" w:cs="Arial"/>
          <w:szCs w:val="22"/>
          <w:lang w:eastAsia="en-GB"/>
        </w:rPr>
        <w:t>-</w:t>
      </w:r>
      <w:r w:rsidR="00261988">
        <w:rPr>
          <w:rFonts w:eastAsia="Calibri" w:cs="Arial"/>
          <w:szCs w:val="22"/>
          <w:lang w:eastAsia="en-GB"/>
        </w:rPr>
        <w:t>4</w:t>
      </w:r>
      <w:r w:rsidRPr="00F048B5">
        <w:rPr>
          <w:rFonts w:eastAsia="Calibri" w:cs="Arial"/>
          <w:szCs w:val="22"/>
          <w:lang w:eastAsia="en-GB"/>
        </w:rPr>
        <w:t xml:space="preserve"> J</w:t>
      </w:r>
      <w:r w:rsidR="00261988">
        <w:rPr>
          <w:rFonts w:eastAsia="Calibri" w:cs="Arial"/>
          <w:szCs w:val="22"/>
          <w:lang w:eastAsia="en-GB"/>
        </w:rPr>
        <w:t>uly</w:t>
      </w:r>
      <w:r w:rsidRPr="00F048B5">
        <w:rPr>
          <w:rFonts w:eastAsia="Calibri" w:cs="Arial"/>
          <w:szCs w:val="22"/>
          <w:lang w:eastAsia="en-GB"/>
        </w:rPr>
        <w:t xml:space="preserve"> 201</w:t>
      </w:r>
      <w:r w:rsidR="00261988">
        <w:rPr>
          <w:rFonts w:eastAsia="Calibri" w:cs="Arial"/>
          <w:szCs w:val="22"/>
          <w:lang w:eastAsia="en-GB"/>
        </w:rPr>
        <w:t>3</w:t>
      </w:r>
      <w:r w:rsidRPr="00F048B5">
        <w:rPr>
          <w:rFonts w:eastAsia="Calibri" w:cs="Arial"/>
          <w:szCs w:val="22"/>
          <w:lang w:eastAsia="en-GB"/>
        </w:rPr>
        <w:t>.</w:t>
      </w:r>
    </w:p>
    <w:p w:rsidR="00DF42F3" w:rsidRPr="00DF42F3" w:rsidRDefault="00C3218F" w:rsidP="006A2C14">
      <w:pPr>
        <w:numPr>
          <w:ilvl w:val="0"/>
          <w:numId w:val="22"/>
        </w:numPr>
        <w:ind w:left="1134" w:hanging="567"/>
      </w:pPr>
      <w:r w:rsidRPr="00DF42F3">
        <w:rPr>
          <w:rFonts w:eastAsia="Calibri" w:cs="Arial"/>
          <w:szCs w:val="22"/>
          <w:lang w:eastAsia="en-GB"/>
        </w:rPr>
        <w:t xml:space="preserve">The </w:t>
      </w:r>
      <w:r w:rsidRPr="00DF42F3">
        <w:rPr>
          <w:rFonts w:eastAsia="Calibri" w:cs="Arial"/>
          <w:szCs w:val="22"/>
          <w:u w:val="single"/>
          <w:lang w:eastAsia="en-GB"/>
        </w:rPr>
        <w:t>European Parliament</w:t>
      </w:r>
      <w:r w:rsidRPr="00DF42F3">
        <w:rPr>
          <w:rFonts w:eastAsia="Calibri" w:cs="Arial"/>
          <w:szCs w:val="22"/>
          <w:lang w:eastAsia="en-GB"/>
        </w:rPr>
        <w:t xml:space="preserve"> voted its legislative resolution in first reading on </w:t>
      </w:r>
      <w:r w:rsidR="00261988" w:rsidRPr="00DF42F3">
        <w:rPr>
          <w:rFonts w:eastAsia="Calibri" w:cs="Arial"/>
          <w:szCs w:val="22"/>
          <w:lang w:eastAsia="en-GB"/>
        </w:rPr>
        <w:t>13</w:t>
      </w:r>
      <w:r w:rsidRPr="00DF42F3">
        <w:rPr>
          <w:rFonts w:eastAsia="Calibri" w:cs="Arial"/>
          <w:szCs w:val="22"/>
          <w:lang w:eastAsia="en-GB"/>
        </w:rPr>
        <w:t xml:space="preserve"> </w:t>
      </w:r>
      <w:r w:rsidR="00261988" w:rsidRPr="00DF42F3">
        <w:rPr>
          <w:rFonts w:eastAsia="Calibri" w:cs="Arial"/>
          <w:szCs w:val="22"/>
          <w:lang w:eastAsia="en-GB"/>
        </w:rPr>
        <w:t>March</w:t>
      </w:r>
      <w:r w:rsidRPr="00DF42F3">
        <w:rPr>
          <w:rFonts w:eastAsia="Calibri" w:cs="Arial"/>
          <w:szCs w:val="22"/>
          <w:lang w:eastAsia="en-GB"/>
        </w:rPr>
        <w:t xml:space="preserve"> 2014</w:t>
      </w:r>
      <w:r w:rsidRPr="00F048B5">
        <w:rPr>
          <w:rFonts w:eastAsia="Calibri" w:cs="Arial"/>
          <w:b/>
          <w:szCs w:val="22"/>
          <w:vertAlign w:val="superscript"/>
          <w:lang w:eastAsia="en-GB"/>
        </w:rPr>
        <w:footnoteReference w:id="1"/>
      </w:r>
      <w:r w:rsidRPr="00DF42F3">
        <w:rPr>
          <w:rFonts w:eastAsia="Calibri" w:cs="Arial"/>
          <w:szCs w:val="22"/>
          <w:lang w:eastAsia="en-GB"/>
        </w:rPr>
        <w:t xml:space="preserve">, adopting </w:t>
      </w:r>
      <w:r w:rsidR="00261988" w:rsidRPr="00DF42F3">
        <w:rPr>
          <w:rFonts w:eastAsia="Calibri" w:cs="Arial"/>
          <w:szCs w:val="22"/>
          <w:lang w:eastAsia="en-GB"/>
        </w:rPr>
        <w:t>138</w:t>
      </w:r>
      <w:r w:rsidRPr="00DF42F3">
        <w:rPr>
          <w:rFonts w:eastAsia="Calibri" w:cs="Arial"/>
          <w:szCs w:val="22"/>
          <w:lang w:eastAsia="en-GB"/>
        </w:rPr>
        <w:t xml:space="preserve"> Amendments.</w:t>
      </w:r>
    </w:p>
    <w:p w:rsidR="00C3218F" w:rsidRPr="00DF42F3" w:rsidRDefault="00C3218F" w:rsidP="006A2C14">
      <w:pPr>
        <w:numPr>
          <w:ilvl w:val="0"/>
          <w:numId w:val="22"/>
        </w:numPr>
        <w:ind w:left="1134" w:hanging="567"/>
      </w:pPr>
      <w:r w:rsidRPr="00DF42F3">
        <w:rPr>
          <w:rFonts w:eastAsia="Calibri" w:cs="Arial"/>
          <w:bCs/>
          <w:color w:val="000000"/>
          <w:szCs w:val="22"/>
          <w:lang w:eastAsia="en-GB"/>
        </w:rPr>
        <w:t xml:space="preserve">The </w:t>
      </w:r>
      <w:r w:rsidRPr="00DF42F3">
        <w:rPr>
          <w:rFonts w:eastAsia="Calibri" w:cs="Arial"/>
          <w:bCs/>
          <w:color w:val="000000"/>
          <w:szCs w:val="22"/>
          <w:u w:val="single"/>
          <w:lang w:eastAsia="en-GB"/>
        </w:rPr>
        <w:t>Council</w:t>
      </w:r>
      <w:r w:rsidRPr="00DF42F3">
        <w:rPr>
          <w:rFonts w:eastAsia="Calibri" w:cs="Arial"/>
          <w:bCs/>
          <w:color w:val="000000"/>
          <w:szCs w:val="22"/>
          <w:lang w:eastAsia="en-GB"/>
        </w:rPr>
        <w:t xml:space="preserve"> and the </w:t>
      </w:r>
      <w:r w:rsidRPr="00DF42F3">
        <w:rPr>
          <w:rFonts w:eastAsia="Calibri" w:cs="Arial"/>
          <w:bCs/>
          <w:color w:val="000000"/>
          <w:szCs w:val="22"/>
          <w:u w:val="single"/>
          <w:lang w:eastAsia="en-GB"/>
        </w:rPr>
        <w:t>European Parliament</w:t>
      </w:r>
      <w:r w:rsidRPr="00DF42F3">
        <w:rPr>
          <w:rFonts w:eastAsia="Calibri" w:cs="Arial"/>
          <w:bCs/>
          <w:color w:val="000000"/>
          <w:szCs w:val="22"/>
          <w:lang w:eastAsia="en-GB"/>
        </w:rPr>
        <w:t xml:space="preserve"> entered into negotiations with a view to reaching an early second reading agreement</w:t>
      </w:r>
      <w:r w:rsidR="00DF42F3">
        <w:rPr>
          <w:rFonts w:eastAsia="Calibri" w:cs="Arial"/>
          <w:bCs/>
          <w:color w:val="000000"/>
          <w:szCs w:val="22"/>
          <w:lang w:eastAsia="en-GB"/>
        </w:rPr>
        <w:t xml:space="preserve"> in October 2014</w:t>
      </w:r>
      <w:r w:rsidRPr="00DF42F3">
        <w:rPr>
          <w:rFonts w:eastAsia="Calibri" w:cs="Arial"/>
          <w:bCs/>
          <w:color w:val="000000"/>
          <w:szCs w:val="22"/>
          <w:lang w:eastAsia="en-GB"/>
        </w:rPr>
        <w:t xml:space="preserve">. The negotiations were successfully concluded on </w:t>
      </w:r>
      <w:r w:rsidR="00261988" w:rsidRPr="00DF42F3">
        <w:rPr>
          <w:rFonts w:eastAsia="Calibri" w:cs="Arial"/>
          <w:bCs/>
          <w:color w:val="000000"/>
          <w:szCs w:val="22"/>
          <w:lang w:eastAsia="en-GB"/>
        </w:rPr>
        <w:t>7</w:t>
      </w:r>
      <w:r w:rsidRPr="00DF42F3">
        <w:rPr>
          <w:rFonts w:eastAsia="Calibri" w:cs="Arial"/>
          <w:bCs/>
          <w:color w:val="000000"/>
          <w:szCs w:val="22"/>
          <w:lang w:eastAsia="en-GB"/>
        </w:rPr>
        <w:t xml:space="preserve"> </w:t>
      </w:r>
      <w:r w:rsidR="00261988" w:rsidRPr="00DF42F3">
        <w:rPr>
          <w:rFonts w:eastAsia="Calibri" w:cs="Arial"/>
          <w:bCs/>
          <w:color w:val="000000"/>
          <w:szCs w:val="22"/>
          <w:lang w:eastAsia="en-GB"/>
        </w:rPr>
        <w:t>December</w:t>
      </w:r>
      <w:r w:rsidRPr="00DF42F3">
        <w:rPr>
          <w:rFonts w:eastAsia="Calibri" w:cs="Arial"/>
          <w:bCs/>
          <w:color w:val="000000"/>
          <w:szCs w:val="22"/>
          <w:lang w:eastAsia="en-GB"/>
        </w:rPr>
        <w:t xml:space="preserve"> 2015 with </w:t>
      </w:r>
      <w:r w:rsidR="00DF42F3">
        <w:rPr>
          <w:rFonts w:eastAsia="Calibri" w:cs="Arial"/>
          <w:bCs/>
          <w:color w:val="000000"/>
          <w:szCs w:val="22"/>
          <w:lang w:eastAsia="en-GB"/>
        </w:rPr>
        <w:t xml:space="preserve">the </w:t>
      </w:r>
      <w:r w:rsidRPr="00DF42F3">
        <w:rPr>
          <w:rFonts w:eastAsia="Calibri" w:cs="Arial"/>
          <w:bCs/>
          <w:color w:val="000000"/>
          <w:szCs w:val="22"/>
          <w:lang w:eastAsia="en-GB"/>
        </w:rPr>
        <w:t>European Parliament and Council reaching a provisional agreement on a compromise text.</w:t>
      </w:r>
    </w:p>
    <w:p w:rsidR="00C3218F" w:rsidRPr="00F048B5" w:rsidRDefault="00C3218F" w:rsidP="006A2C14">
      <w:pPr>
        <w:numPr>
          <w:ilvl w:val="0"/>
          <w:numId w:val="22"/>
        </w:numPr>
        <w:ind w:left="1134" w:hanging="567"/>
        <w:rPr>
          <w:rFonts w:eastAsia="Calibri" w:cs="Arial"/>
          <w:b/>
          <w:color w:val="000000"/>
          <w:szCs w:val="22"/>
          <w:lang w:eastAsia="en-GB"/>
        </w:rPr>
      </w:pPr>
      <w:r w:rsidRPr="00F048B5">
        <w:rPr>
          <w:rFonts w:eastAsia="Calibri" w:cs="Arial"/>
          <w:bCs/>
          <w:color w:val="000000"/>
          <w:szCs w:val="22"/>
          <w:lang w:eastAsia="en-GB"/>
        </w:rPr>
        <w:t xml:space="preserve">On </w:t>
      </w:r>
      <w:r w:rsidR="00261988">
        <w:rPr>
          <w:rFonts w:eastAsia="Calibri" w:cs="Arial"/>
          <w:bCs/>
          <w:color w:val="000000"/>
          <w:szCs w:val="22"/>
          <w:lang w:eastAsia="en-GB"/>
        </w:rPr>
        <w:t>1</w:t>
      </w:r>
      <w:r w:rsidRPr="00F048B5">
        <w:rPr>
          <w:rFonts w:eastAsia="Calibri" w:cs="Arial"/>
          <w:bCs/>
          <w:color w:val="000000"/>
          <w:szCs w:val="22"/>
          <w:lang w:eastAsia="en-GB"/>
        </w:rPr>
        <w:t xml:space="preserve">8 </w:t>
      </w:r>
      <w:r w:rsidR="00261988">
        <w:rPr>
          <w:rFonts w:eastAsia="Calibri" w:cs="Arial"/>
          <w:bCs/>
          <w:color w:val="000000"/>
          <w:szCs w:val="22"/>
          <w:lang w:eastAsia="en-GB"/>
        </w:rPr>
        <w:t>December</w:t>
      </w:r>
      <w:r w:rsidRPr="00F048B5">
        <w:rPr>
          <w:rFonts w:eastAsia="Calibri" w:cs="Arial"/>
          <w:bCs/>
          <w:color w:val="000000"/>
          <w:szCs w:val="22"/>
          <w:lang w:eastAsia="en-GB"/>
        </w:rPr>
        <w:t xml:space="preserve"> 2015 the </w:t>
      </w:r>
      <w:r w:rsidRPr="00F048B5">
        <w:rPr>
          <w:rFonts w:eastAsia="Calibri" w:cs="Arial"/>
          <w:bCs/>
          <w:color w:val="000000"/>
          <w:szCs w:val="22"/>
          <w:u w:val="single"/>
          <w:lang w:eastAsia="en-GB"/>
        </w:rPr>
        <w:t>Committee of Permanent Representatives</w:t>
      </w:r>
      <w:r w:rsidRPr="00F048B5">
        <w:rPr>
          <w:rFonts w:eastAsia="Calibri" w:cs="Arial"/>
          <w:bCs/>
          <w:color w:val="000000"/>
          <w:szCs w:val="22"/>
          <w:lang w:eastAsia="en-GB"/>
        </w:rPr>
        <w:t xml:space="preserve"> confirmed </w:t>
      </w:r>
      <w:r w:rsidRPr="00F048B5">
        <w:rPr>
          <w:snapToGrid w:val="0"/>
        </w:rPr>
        <w:t xml:space="preserve">the compromise text </w:t>
      </w:r>
      <w:r w:rsidRPr="00F048B5">
        <w:rPr>
          <w:rFonts w:eastAsia="Calibri" w:cs="Arial"/>
          <w:bCs/>
          <w:color w:val="000000"/>
          <w:szCs w:val="22"/>
          <w:lang w:eastAsia="en-GB"/>
        </w:rPr>
        <w:t xml:space="preserve">of the </w:t>
      </w:r>
      <w:r w:rsidR="00261988">
        <w:rPr>
          <w:rFonts w:eastAsia="Calibri" w:cs="Arial"/>
          <w:bCs/>
          <w:color w:val="000000"/>
          <w:szCs w:val="22"/>
          <w:lang w:eastAsia="en-GB"/>
        </w:rPr>
        <w:t>Directive</w:t>
      </w:r>
      <w:r w:rsidRPr="00F048B5">
        <w:rPr>
          <w:rFonts w:eastAsia="Calibri" w:cs="Arial"/>
          <w:bCs/>
          <w:color w:val="000000"/>
          <w:szCs w:val="22"/>
          <w:lang w:eastAsia="en-GB"/>
        </w:rPr>
        <w:t>, as it had been agreed by the two institutions.</w:t>
      </w:r>
    </w:p>
    <w:p w:rsidR="00C3218F" w:rsidRPr="00E271AC" w:rsidRDefault="00C3218F" w:rsidP="006A2C14">
      <w:pPr>
        <w:numPr>
          <w:ilvl w:val="0"/>
          <w:numId w:val="22"/>
        </w:numPr>
        <w:ind w:left="1134" w:hanging="567"/>
        <w:rPr>
          <w:rFonts w:eastAsia="Calibri" w:cs="Arial"/>
          <w:b/>
          <w:color w:val="000000"/>
          <w:szCs w:val="22"/>
          <w:lang w:eastAsia="en-GB"/>
        </w:rPr>
      </w:pPr>
      <w:r w:rsidRPr="00F048B5">
        <w:rPr>
          <w:rFonts w:eastAsia="Calibri" w:cs="Arial"/>
          <w:bCs/>
          <w:color w:val="000000"/>
          <w:szCs w:val="22"/>
          <w:lang w:eastAsia="en-GB"/>
        </w:rPr>
        <w:t xml:space="preserve">On </w:t>
      </w:r>
      <w:r w:rsidR="00261988">
        <w:rPr>
          <w:rFonts w:eastAsia="Calibri" w:cs="Arial"/>
          <w:bCs/>
          <w:color w:val="000000"/>
          <w:szCs w:val="22"/>
          <w:lang w:eastAsia="en-GB"/>
        </w:rPr>
        <w:t>28</w:t>
      </w:r>
      <w:r w:rsidRPr="00F048B5">
        <w:rPr>
          <w:rFonts w:eastAsia="Calibri" w:cs="Arial"/>
          <w:bCs/>
          <w:color w:val="000000"/>
          <w:szCs w:val="22"/>
          <w:lang w:eastAsia="en-GB"/>
        </w:rPr>
        <w:t xml:space="preserve"> </w:t>
      </w:r>
      <w:r w:rsidR="00261988">
        <w:rPr>
          <w:rFonts w:eastAsia="Calibri" w:cs="Arial"/>
          <w:bCs/>
          <w:color w:val="000000"/>
          <w:szCs w:val="22"/>
          <w:lang w:eastAsia="en-GB"/>
        </w:rPr>
        <w:t>January</w:t>
      </w:r>
      <w:r w:rsidRPr="00F048B5">
        <w:rPr>
          <w:rFonts w:eastAsia="Calibri" w:cs="Arial"/>
          <w:bCs/>
          <w:color w:val="000000"/>
          <w:szCs w:val="22"/>
          <w:lang w:eastAsia="en-GB"/>
        </w:rPr>
        <w:t xml:space="preserve"> 201</w:t>
      </w:r>
      <w:r w:rsidR="00261988">
        <w:rPr>
          <w:rFonts w:eastAsia="Calibri" w:cs="Arial"/>
          <w:bCs/>
          <w:color w:val="000000"/>
          <w:szCs w:val="22"/>
          <w:lang w:eastAsia="en-GB"/>
        </w:rPr>
        <w:t>6</w:t>
      </w:r>
      <w:r w:rsidRPr="00F048B5">
        <w:rPr>
          <w:rFonts w:eastAsia="Calibri" w:cs="Arial"/>
          <w:bCs/>
          <w:color w:val="000000"/>
          <w:szCs w:val="22"/>
          <w:lang w:eastAsia="en-GB"/>
        </w:rPr>
        <w:t xml:space="preserve"> the </w:t>
      </w:r>
      <w:r w:rsidRPr="00F048B5">
        <w:rPr>
          <w:rFonts w:eastAsia="Calibri" w:cs="Arial"/>
          <w:bCs/>
          <w:color w:val="000000"/>
          <w:szCs w:val="22"/>
          <w:u w:val="single"/>
          <w:lang w:eastAsia="en-GB"/>
        </w:rPr>
        <w:t>Chair of the European Parliament's I</w:t>
      </w:r>
      <w:r w:rsidR="00261988">
        <w:rPr>
          <w:rFonts w:eastAsia="Calibri" w:cs="Arial"/>
          <w:bCs/>
          <w:color w:val="000000"/>
          <w:szCs w:val="22"/>
          <w:u w:val="single"/>
          <w:lang w:eastAsia="en-GB"/>
        </w:rPr>
        <w:t>MCO</w:t>
      </w:r>
      <w:r w:rsidRPr="00F048B5">
        <w:rPr>
          <w:rFonts w:eastAsia="Calibri" w:cs="Arial"/>
          <w:bCs/>
          <w:color w:val="000000"/>
          <w:szCs w:val="22"/>
          <w:u w:val="single"/>
          <w:lang w:eastAsia="en-GB"/>
        </w:rPr>
        <w:t xml:space="preserve"> Committee</w:t>
      </w:r>
      <w:r w:rsidRPr="00F048B5">
        <w:rPr>
          <w:rFonts w:eastAsia="Calibri" w:cs="Arial"/>
          <w:bCs/>
          <w:color w:val="000000"/>
          <w:szCs w:val="22"/>
          <w:lang w:eastAsia="en-GB"/>
        </w:rPr>
        <w:t xml:space="preserve"> addressed a letter to the </w:t>
      </w:r>
      <w:r w:rsidR="00261988">
        <w:rPr>
          <w:rFonts w:eastAsia="Calibri" w:cs="Arial"/>
          <w:bCs/>
          <w:color w:val="000000"/>
          <w:szCs w:val="22"/>
          <w:lang w:eastAsia="en-GB"/>
        </w:rPr>
        <w:t>Chair of the Committee of Permanent Representatives</w:t>
      </w:r>
      <w:r w:rsidRPr="00F048B5">
        <w:rPr>
          <w:rFonts w:eastAsia="Calibri" w:cs="Arial"/>
          <w:bCs/>
          <w:color w:val="000000"/>
          <w:szCs w:val="22"/>
          <w:lang w:eastAsia="en-GB"/>
        </w:rPr>
        <w:t xml:space="preserve"> stating that, should the Council transmit formally to the European Parliament its position as agreed, subject to legal-linguistic verification, </w:t>
      </w:r>
      <w:r w:rsidR="00E271AC">
        <w:rPr>
          <w:rFonts w:eastAsia="Calibri" w:cs="Arial"/>
          <w:bCs/>
          <w:color w:val="000000"/>
          <w:szCs w:val="22"/>
          <w:lang w:eastAsia="en-GB"/>
        </w:rPr>
        <w:t>s</w:t>
      </w:r>
      <w:r w:rsidRPr="00F048B5">
        <w:rPr>
          <w:rFonts w:eastAsia="Calibri" w:cs="Arial"/>
          <w:bCs/>
          <w:color w:val="000000"/>
          <w:szCs w:val="22"/>
          <w:lang w:eastAsia="en-GB"/>
        </w:rPr>
        <w:t>he w</w:t>
      </w:r>
      <w:r w:rsidR="00E271AC">
        <w:rPr>
          <w:rFonts w:eastAsia="Calibri" w:cs="Arial"/>
          <w:bCs/>
          <w:color w:val="000000"/>
          <w:szCs w:val="22"/>
          <w:lang w:eastAsia="en-GB"/>
        </w:rPr>
        <w:t xml:space="preserve">ould </w:t>
      </w:r>
      <w:r w:rsidRPr="00F048B5">
        <w:rPr>
          <w:rFonts w:eastAsia="Calibri" w:cs="Arial"/>
          <w:bCs/>
          <w:color w:val="000000"/>
          <w:szCs w:val="22"/>
          <w:lang w:eastAsia="en-GB"/>
        </w:rPr>
        <w:t>recommend to the Plenary that the Council's position be accepted without amendments at Parliament's second reading.</w:t>
      </w:r>
    </w:p>
    <w:p w:rsidR="00787E56" w:rsidRPr="0088328F" w:rsidRDefault="00E271AC" w:rsidP="006A2C14">
      <w:pPr>
        <w:numPr>
          <w:ilvl w:val="0"/>
          <w:numId w:val="22"/>
        </w:numPr>
        <w:ind w:left="1134" w:hanging="567"/>
        <w:rPr>
          <w:rFonts w:eastAsia="Calibri" w:cs="Arial"/>
          <w:bCs/>
          <w:color w:val="000000"/>
          <w:szCs w:val="22"/>
          <w:lang w:eastAsia="en-GB"/>
        </w:rPr>
      </w:pPr>
      <w:r w:rsidRPr="0088328F">
        <w:rPr>
          <w:rFonts w:eastAsia="Calibri" w:cs="Arial"/>
          <w:bCs/>
          <w:color w:val="000000"/>
          <w:szCs w:val="22"/>
          <w:lang w:eastAsia="en-GB"/>
        </w:rPr>
        <w:t xml:space="preserve">On 29 February 2016, the </w:t>
      </w:r>
      <w:r w:rsidRPr="0088328F">
        <w:rPr>
          <w:rFonts w:eastAsia="Calibri" w:cs="Arial"/>
          <w:bCs/>
          <w:color w:val="000000"/>
          <w:szCs w:val="22"/>
          <w:u w:val="single"/>
          <w:lang w:eastAsia="en-GB"/>
        </w:rPr>
        <w:t>Council</w:t>
      </w:r>
      <w:r w:rsidRPr="0088328F">
        <w:rPr>
          <w:rFonts w:eastAsia="Calibri" w:cs="Arial"/>
          <w:bCs/>
          <w:color w:val="000000"/>
          <w:szCs w:val="22"/>
          <w:lang w:eastAsia="en-GB"/>
        </w:rPr>
        <w:t xml:space="preserve"> confirmed its political agreement to the compromise text of the Directive.</w:t>
      </w:r>
    </w:p>
    <w:p w:rsidR="00E271AC" w:rsidRPr="00E271AC" w:rsidRDefault="00787E56" w:rsidP="00787E56">
      <w:pPr>
        <w:rPr>
          <w:rFonts w:eastAsia="Calibri"/>
          <w:highlight w:val="yellow"/>
          <w:lang w:eastAsia="en-GB"/>
        </w:rPr>
      </w:pPr>
      <w:r>
        <w:rPr>
          <w:rFonts w:eastAsia="Calibri"/>
          <w:highlight w:val="yellow"/>
          <w:lang w:eastAsia="en-GB"/>
        </w:rPr>
        <w:br w:type="page"/>
      </w:r>
    </w:p>
    <w:p w:rsidR="001C5E5F" w:rsidRPr="00F048B5" w:rsidRDefault="001C5E5F" w:rsidP="001C5E5F">
      <w:pPr>
        <w:pStyle w:val="HeadingIVX"/>
        <w:numPr>
          <w:ilvl w:val="0"/>
          <w:numId w:val="21"/>
        </w:numPr>
      </w:pPr>
      <w:r w:rsidRPr="00F048B5">
        <w:t>OBJECTIVE</w:t>
      </w:r>
    </w:p>
    <w:p w:rsidR="00C3218F" w:rsidRPr="00364DB6" w:rsidRDefault="00C3218F" w:rsidP="006A2C14">
      <w:pPr>
        <w:numPr>
          <w:ilvl w:val="0"/>
          <w:numId w:val="22"/>
        </w:numPr>
        <w:ind w:left="1134" w:hanging="567"/>
        <w:rPr>
          <w:rFonts w:eastAsia="Calibri" w:cs="Arial"/>
          <w:bCs/>
          <w:color w:val="000000"/>
          <w:szCs w:val="22"/>
          <w:lang w:eastAsia="en-GB"/>
        </w:rPr>
      </w:pPr>
      <w:r w:rsidRPr="00364DB6">
        <w:rPr>
          <w:rFonts w:eastAsia="Calibri" w:cs="Arial"/>
          <w:bCs/>
          <w:color w:val="000000"/>
          <w:szCs w:val="22"/>
          <w:lang w:eastAsia="en-GB"/>
        </w:rPr>
        <w:t xml:space="preserve">It derives from the outcome of the negotiations that the </w:t>
      </w:r>
      <w:r w:rsidR="00364DB6" w:rsidRPr="00364DB6">
        <w:rPr>
          <w:rFonts w:eastAsia="Calibri" w:cs="Arial"/>
          <w:bCs/>
          <w:color w:val="000000"/>
          <w:szCs w:val="22"/>
          <w:lang w:eastAsia="en-GB"/>
        </w:rPr>
        <w:t>Directive lays down measures with a view to achieving a high common level of security of networks and information systems within the European Union so as to improve the functioning of the internal market</w:t>
      </w:r>
      <w:r w:rsidRPr="00364DB6">
        <w:rPr>
          <w:rFonts w:eastAsia="Calibri" w:cs="Arial"/>
          <w:bCs/>
          <w:color w:val="000000"/>
          <w:szCs w:val="22"/>
          <w:lang w:eastAsia="en-GB"/>
        </w:rPr>
        <w:t xml:space="preserve">. </w:t>
      </w:r>
    </w:p>
    <w:p w:rsidR="001C5E5F" w:rsidRPr="00F048B5" w:rsidRDefault="001C5E5F" w:rsidP="001C5E5F">
      <w:pPr>
        <w:pStyle w:val="HeadingIVX"/>
        <w:numPr>
          <w:ilvl w:val="0"/>
          <w:numId w:val="21"/>
        </w:numPr>
        <w:tabs>
          <w:tab w:val="clear" w:pos="567"/>
        </w:tabs>
        <w:ind w:left="0" w:firstLine="0"/>
      </w:pPr>
      <w:r w:rsidRPr="00F048B5">
        <w:t>ANALYSIS OF THE COUNCIL'S POSITION AT FIRST READING</w:t>
      </w:r>
    </w:p>
    <w:p w:rsidR="001C5E5F" w:rsidRDefault="001C5E5F" w:rsidP="001C5E5F">
      <w:pPr>
        <w:autoSpaceDE w:val="0"/>
        <w:autoSpaceDN w:val="0"/>
        <w:adjustRightInd w:val="0"/>
        <w:ind w:left="567"/>
        <w:outlineLvl w:val="0"/>
        <w:rPr>
          <w:rFonts w:eastAsia="Calibri" w:cs="Arial"/>
          <w:b/>
          <w:color w:val="000000"/>
          <w:lang w:eastAsia="en-GB"/>
        </w:rPr>
      </w:pPr>
      <w:r w:rsidRPr="00F048B5">
        <w:rPr>
          <w:rFonts w:eastAsia="Calibri" w:cs="Arial"/>
          <w:b/>
          <w:color w:val="000000"/>
          <w:lang w:eastAsia="en-GB"/>
        </w:rPr>
        <w:t>A.</w:t>
      </w:r>
      <w:r w:rsidRPr="00F048B5">
        <w:rPr>
          <w:rFonts w:eastAsia="Calibri" w:cs="Arial"/>
          <w:b/>
          <w:color w:val="000000"/>
          <w:lang w:eastAsia="en-GB"/>
        </w:rPr>
        <w:tab/>
        <w:t>General</w:t>
      </w:r>
    </w:p>
    <w:p w:rsidR="00C3218F" w:rsidRPr="00C3218F" w:rsidRDefault="00C3218F" w:rsidP="00C3218F">
      <w:pPr>
        <w:numPr>
          <w:ilvl w:val="0"/>
          <w:numId w:val="24"/>
        </w:numPr>
        <w:ind w:left="1134" w:hanging="567"/>
        <w:rPr>
          <w:lang w:eastAsia="en-GB"/>
        </w:rPr>
      </w:pPr>
      <w:r w:rsidRPr="00F048B5">
        <w:rPr>
          <w:lang w:eastAsia="en-GB"/>
        </w:rPr>
        <w:t>Following the vote in plenary, the European Parliament and the Council conducted negotiations with the aim of concluding a second-reading agreement on the basis of a Council first-reading position that the Parliament could approve as such. The text of the Council's first-reading position fully reflects the compromise reached between the co-legislators.</w:t>
      </w:r>
    </w:p>
    <w:p w:rsidR="001C5E5F" w:rsidRPr="00F048B5" w:rsidRDefault="001C5E5F" w:rsidP="001C5E5F">
      <w:pPr>
        <w:autoSpaceDE w:val="0"/>
        <w:autoSpaceDN w:val="0"/>
        <w:adjustRightInd w:val="0"/>
        <w:ind w:left="567"/>
        <w:outlineLvl w:val="0"/>
        <w:rPr>
          <w:rFonts w:eastAsia="Calibri" w:cs="Arial"/>
          <w:b/>
          <w:color w:val="000000"/>
          <w:lang w:eastAsia="en-GB"/>
        </w:rPr>
      </w:pPr>
      <w:r w:rsidRPr="00F048B5">
        <w:rPr>
          <w:rFonts w:eastAsia="Calibri" w:cs="Arial"/>
          <w:b/>
          <w:color w:val="000000"/>
          <w:lang w:eastAsia="en-GB"/>
        </w:rPr>
        <w:t>B.</w:t>
      </w:r>
      <w:r w:rsidRPr="00F048B5">
        <w:rPr>
          <w:rFonts w:eastAsia="Calibri" w:cs="Arial"/>
          <w:b/>
          <w:color w:val="000000"/>
          <w:lang w:eastAsia="en-GB"/>
        </w:rPr>
        <w:tab/>
        <w:t>Key issues</w:t>
      </w:r>
    </w:p>
    <w:p w:rsidR="00A067AA" w:rsidRPr="00F048B5" w:rsidRDefault="00A067AA" w:rsidP="00A067AA">
      <w:pPr>
        <w:numPr>
          <w:ilvl w:val="0"/>
          <w:numId w:val="24"/>
        </w:numPr>
        <w:ind w:left="1134" w:hanging="567"/>
        <w:rPr>
          <w:lang w:eastAsia="en-GB"/>
        </w:rPr>
      </w:pPr>
      <w:r w:rsidRPr="00F048B5">
        <w:rPr>
          <w:lang w:eastAsia="en-GB"/>
        </w:rPr>
        <w:t>The main elements of the compromise reached with the European Parliament are outlined below:</w:t>
      </w:r>
    </w:p>
    <w:p w:rsidR="00A067AA" w:rsidRPr="00A36255" w:rsidRDefault="00A067AA" w:rsidP="00234459">
      <w:pPr>
        <w:numPr>
          <w:ilvl w:val="1"/>
          <w:numId w:val="28"/>
        </w:numPr>
        <w:rPr>
          <w:lang w:eastAsia="en-GB"/>
        </w:rPr>
      </w:pPr>
      <w:r>
        <w:rPr>
          <w:i/>
          <w:iCs/>
          <w:lang w:eastAsia="en-GB"/>
        </w:rPr>
        <w:t>National capabilities</w:t>
      </w:r>
    </w:p>
    <w:p w:rsidR="00787E56" w:rsidRDefault="009E7427" w:rsidP="00E46459">
      <w:pPr>
        <w:numPr>
          <w:ilvl w:val="0"/>
          <w:numId w:val="24"/>
        </w:numPr>
        <w:ind w:left="1134" w:hanging="567"/>
        <w:rPr>
          <w:noProof/>
          <w:lang w:eastAsia="fr-BE"/>
        </w:rPr>
      </w:pPr>
      <w:r>
        <w:rPr>
          <w:noProof/>
          <w:lang w:eastAsia="fr-BE"/>
        </w:rPr>
        <w:t xml:space="preserve">Under the compromise, Member States have certain obligations with regard to </w:t>
      </w:r>
      <w:r w:rsidR="00CE3DD7">
        <w:rPr>
          <w:noProof/>
          <w:lang w:eastAsia="fr-BE"/>
        </w:rPr>
        <w:t xml:space="preserve">their </w:t>
      </w:r>
      <w:r>
        <w:rPr>
          <w:noProof/>
          <w:lang w:eastAsia="fr-BE"/>
        </w:rPr>
        <w:t xml:space="preserve">national cybersecurity capabilities. Firstly, </w:t>
      </w:r>
      <w:r w:rsidR="00A36255" w:rsidRPr="00753B5B">
        <w:rPr>
          <w:lang w:eastAsia="en-GB"/>
        </w:rPr>
        <w:t>Member</w:t>
      </w:r>
      <w:r w:rsidR="00A36255" w:rsidRPr="00753B5B">
        <w:rPr>
          <w:noProof/>
          <w:lang w:eastAsia="fr-BE"/>
        </w:rPr>
        <w:t xml:space="preserve"> State</w:t>
      </w:r>
      <w:r>
        <w:rPr>
          <w:noProof/>
          <w:lang w:eastAsia="fr-BE"/>
        </w:rPr>
        <w:t>s</w:t>
      </w:r>
      <w:r w:rsidR="00A36255" w:rsidRPr="00753B5B">
        <w:rPr>
          <w:noProof/>
          <w:lang w:eastAsia="fr-BE"/>
        </w:rPr>
        <w:t xml:space="preserve"> </w:t>
      </w:r>
      <w:r>
        <w:rPr>
          <w:noProof/>
          <w:lang w:eastAsia="fr-BE"/>
        </w:rPr>
        <w:t xml:space="preserve">are required to </w:t>
      </w:r>
      <w:r w:rsidR="00A36255" w:rsidRPr="00753B5B">
        <w:rPr>
          <w:noProof/>
          <w:lang w:eastAsia="fr-BE"/>
        </w:rPr>
        <w:t xml:space="preserve">adopt a national </w:t>
      </w:r>
      <w:r>
        <w:rPr>
          <w:noProof/>
          <w:lang w:eastAsia="fr-BE"/>
        </w:rPr>
        <w:t xml:space="preserve">strategy </w:t>
      </w:r>
      <w:r w:rsidR="00A36255" w:rsidRPr="00753B5B">
        <w:rPr>
          <w:noProof/>
          <w:lang w:eastAsia="fr-BE"/>
        </w:rPr>
        <w:t xml:space="preserve">defining the strategic objectives and appropriate policy and regulatory measures with a view to achieving and maintaining a high level of security of networks and information systems.  </w:t>
      </w:r>
    </w:p>
    <w:p w:rsidR="00A36255" w:rsidRDefault="00787E56" w:rsidP="00787E56">
      <w:pPr>
        <w:rPr>
          <w:lang w:eastAsia="en-GB"/>
        </w:rPr>
      </w:pPr>
      <w:r>
        <w:rPr>
          <w:noProof/>
          <w:lang w:eastAsia="fr-BE"/>
        </w:rPr>
        <w:br w:type="page"/>
      </w:r>
    </w:p>
    <w:p w:rsidR="00A36255" w:rsidRPr="00753B5B" w:rsidRDefault="009E7427" w:rsidP="009E7427">
      <w:pPr>
        <w:numPr>
          <w:ilvl w:val="0"/>
          <w:numId w:val="24"/>
        </w:numPr>
        <w:ind w:left="1134" w:hanging="567"/>
        <w:rPr>
          <w:lang w:eastAsia="en-GB"/>
        </w:rPr>
      </w:pPr>
      <w:r>
        <w:rPr>
          <w:lang w:eastAsia="en-GB"/>
        </w:rPr>
        <w:t xml:space="preserve">Secondly, </w:t>
      </w:r>
      <w:r w:rsidR="00A36255" w:rsidRPr="00753B5B">
        <w:rPr>
          <w:lang w:eastAsia="en-GB"/>
        </w:rPr>
        <w:t>Member State</w:t>
      </w:r>
      <w:r>
        <w:rPr>
          <w:lang w:eastAsia="en-GB"/>
        </w:rPr>
        <w:t>s</w:t>
      </w:r>
      <w:r w:rsidR="00A36255" w:rsidRPr="00753B5B">
        <w:rPr>
          <w:lang w:eastAsia="en-GB"/>
        </w:rPr>
        <w:t xml:space="preserve"> shall designate one or more national competent authorities on the security of network and information systems </w:t>
      </w:r>
      <w:r>
        <w:rPr>
          <w:lang w:eastAsia="en-GB"/>
        </w:rPr>
        <w:t>to monitor the application of the Directive at national level</w:t>
      </w:r>
      <w:r w:rsidR="00A36255" w:rsidRPr="00753B5B">
        <w:rPr>
          <w:lang w:eastAsia="en-GB"/>
        </w:rPr>
        <w:t xml:space="preserve">. </w:t>
      </w:r>
    </w:p>
    <w:p w:rsidR="00A36255" w:rsidRPr="00753B5B" w:rsidRDefault="009E7427" w:rsidP="00E46459">
      <w:pPr>
        <w:numPr>
          <w:ilvl w:val="0"/>
          <w:numId w:val="24"/>
        </w:numPr>
        <w:ind w:left="1134" w:hanging="567"/>
        <w:rPr>
          <w:lang w:eastAsia="en-GB"/>
        </w:rPr>
      </w:pPr>
      <w:r>
        <w:rPr>
          <w:lang w:eastAsia="en-GB"/>
        </w:rPr>
        <w:t xml:space="preserve">Thirdly, </w:t>
      </w:r>
      <w:r w:rsidR="00A36255" w:rsidRPr="00A36255">
        <w:rPr>
          <w:lang w:eastAsia="en-GB"/>
        </w:rPr>
        <w:t>Member State</w:t>
      </w:r>
      <w:r>
        <w:rPr>
          <w:lang w:eastAsia="en-GB"/>
        </w:rPr>
        <w:t>s</w:t>
      </w:r>
      <w:r w:rsidR="00A36255" w:rsidRPr="00A36255">
        <w:rPr>
          <w:lang w:eastAsia="en-GB"/>
        </w:rPr>
        <w:t xml:space="preserve"> </w:t>
      </w:r>
      <w:r>
        <w:rPr>
          <w:lang w:eastAsia="en-GB"/>
        </w:rPr>
        <w:t xml:space="preserve">are also required to </w:t>
      </w:r>
      <w:r w:rsidR="00A36255" w:rsidRPr="00A36255">
        <w:rPr>
          <w:lang w:eastAsia="en-GB"/>
        </w:rPr>
        <w:t>designate a national single point of contact on the security of networks and information systems</w:t>
      </w:r>
      <w:r w:rsidR="00E46459">
        <w:rPr>
          <w:lang w:eastAsia="en-GB"/>
        </w:rPr>
        <w:t xml:space="preserve"> that will </w:t>
      </w:r>
      <w:r w:rsidR="00E46459" w:rsidRPr="00753B5B">
        <w:rPr>
          <w:lang w:eastAsia="en-GB"/>
        </w:rPr>
        <w:t xml:space="preserve">exercise a liaison function </w:t>
      </w:r>
      <w:r w:rsidR="00E46459" w:rsidRPr="00A36255">
        <w:rPr>
          <w:lang w:eastAsia="en-GB"/>
        </w:rPr>
        <w:t xml:space="preserve">to ensure cross-border cooperation of </w:t>
      </w:r>
      <w:r w:rsidR="00E46459" w:rsidRPr="00753B5B">
        <w:rPr>
          <w:lang w:eastAsia="en-GB"/>
        </w:rPr>
        <w:t xml:space="preserve">Member State </w:t>
      </w:r>
      <w:r w:rsidR="00E46459" w:rsidRPr="00A36255">
        <w:rPr>
          <w:lang w:eastAsia="en-GB"/>
        </w:rPr>
        <w:t>authorities</w:t>
      </w:r>
      <w:r w:rsidR="00E46459" w:rsidRPr="00753B5B">
        <w:rPr>
          <w:lang w:eastAsia="en-GB"/>
        </w:rPr>
        <w:t xml:space="preserve"> and </w:t>
      </w:r>
      <w:r w:rsidR="00E46459" w:rsidRPr="00A36255">
        <w:rPr>
          <w:lang w:eastAsia="en-GB"/>
        </w:rPr>
        <w:t xml:space="preserve">with the relevant authorities in other Member States and with </w:t>
      </w:r>
      <w:r w:rsidR="00E46459" w:rsidRPr="00753B5B">
        <w:rPr>
          <w:lang w:eastAsia="en-GB"/>
        </w:rPr>
        <w:t>the cooperation group and the CSIRTs network</w:t>
      </w:r>
      <w:r w:rsidR="00A36255" w:rsidRPr="00A36255">
        <w:rPr>
          <w:lang w:eastAsia="en-GB"/>
        </w:rPr>
        <w:t xml:space="preserve">. </w:t>
      </w:r>
      <w:r w:rsidR="00E46459">
        <w:rPr>
          <w:lang w:eastAsia="en-GB"/>
        </w:rPr>
        <w:t>The single point of contact will also submit a yearly report on notifications received to the Cooperation Group.</w:t>
      </w:r>
    </w:p>
    <w:p w:rsidR="00A36255" w:rsidRPr="00A067AA" w:rsidRDefault="00E46459" w:rsidP="00E46459">
      <w:pPr>
        <w:numPr>
          <w:ilvl w:val="0"/>
          <w:numId w:val="24"/>
        </w:numPr>
        <w:ind w:left="1134" w:hanging="567"/>
        <w:rPr>
          <w:noProof/>
          <w:lang w:eastAsia="fr-BE"/>
        </w:rPr>
      </w:pPr>
      <w:r>
        <w:rPr>
          <w:noProof/>
          <w:lang w:eastAsia="fr-BE"/>
        </w:rPr>
        <w:t xml:space="preserve">Finally, </w:t>
      </w:r>
      <w:r w:rsidR="00A36255" w:rsidRPr="00753B5B">
        <w:rPr>
          <w:lang w:eastAsia="en-GB"/>
        </w:rPr>
        <w:t>Member</w:t>
      </w:r>
      <w:r w:rsidR="00A36255" w:rsidRPr="00753B5B">
        <w:rPr>
          <w:noProof/>
          <w:lang w:eastAsia="fr-BE"/>
        </w:rPr>
        <w:t xml:space="preserve"> State</w:t>
      </w:r>
      <w:r>
        <w:rPr>
          <w:noProof/>
          <w:lang w:eastAsia="fr-BE"/>
        </w:rPr>
        <w:t>s</w:t>
      </w:r>
      <w:r w:rsidR="00A36255" w:rsidRPr="00753B5B">
        <w:rPr>
          <w:noProof/>
          <w:lang w:eastAsia="fr-BE"/>
        </w:rPr>
        <w:t xml:space="preserve"> shall designate one or more Computer Security Incident Response Teams ("CSIRTs ") responsible for handling incidents and </w:t>
      </w:r>
      <w:r>
        <w:rPr>
          <w:noProof/>
          <w:lang w:eastAsia="fr-BE"/>
        </w:rPr>
        <w:t>risks. The compromise text provides for requirements and tasks of CSIRTs in its Annex I.</w:t>
      </w:r>
    </w:p>
    <w:p w:rsidR="00A067AA" w:rsidRPr="00A36255" w:rsidRDefault="00A067AA" w:rsidP="00234459">
      <w:pPr>
        <w:numPr>
          <w:ilvl w:val="1"/>
          <w:numId w:val="28"/>
        </w:numPr>
        <w:rPr>
          <w:lang w:eastAsia="en-GB"/>
        </w:rPr>
      </w:pPr>
      <w:r w:rsidRPr="00A067AA">
        <w:rPr>
          <w:i/>
          <w:iCs/>
          <w:lang w:eastAsia="en-GB"/>
        </w:rPr>
        <w:t xml:space="preserve">Cooperation </w:t>
      </w:r>
    </w:p>
    <w:p w:rsidR="00787E56" w:rsidRDefault="00A36255" w:rsidP="001721FA">
      <w:pPr>
        <w:numPr>
          <w:ilvl w:val="0"/>
          <w:numId w:val="24"/>
        </w:numPr>
        <w:ind w:left="1134" w:hanging="567"/>
        <w:rPr>
          <w:noProof/>
        </w:rPr>
      </w:pPr>
      <w:r w:rsidRPr="00753B5B">
        <w:rPr>
          <w:iCs/>
          <w:noProof/>
        </w:rPr>
        <w:t xml:space="preserve">In order to support and facilitate strategic cooperation among Member States, to develop trust and confidence and with a view to achieving a high common level of security of networks and information systems in the Union, </w:t>
      </w:r>
      <w:r w:rsidR="00785492">
        <w:rPr>
          <w:iCs/>
          <w:noProof/>
        </w:rPr>
        <w:t xml:space="preserve">the compromise text establishes </w:t>
      </w:r>
      <w:r w:rsidRPr="00753B5B">
        <w:rPr>
          <w:iCs/>
          <w:noProof/>
        </w:rPr>
        <w:t xml:space="preserve">a </w:t>
      </w:r>
      <w:r w:rsidR="00785492">
        <w:rPr>
          <w:iCs/>
          <w:noProof/>
        </w:rPr>
        <w:t>C</w:t>
      </w:r>
      <w:r w:rsidRPr="00753B5B">
        <w:rPr>
          <w:iCs/>
          <w:noProof/>
        </w:rPr>
        <w:t xml:space="preserve">ooperation </w:t>
      </w:r>
      <w:r w:rsidR="00785492">
        <w:rPr>
          <w:iCs/>
          <w:noProof/>
        </w:rPr>
        <w:t>G</w:t>
      </w:r>
      <w:r w:rsidRPr="00753B5B">
        <w:rPr>
          <w:iCs/>
          <w:noProof/>
        </w:rPr>
        <w:t>roup.</w:t>
      </w:r>
      <w:r w:rsidRPr="00A36255">
        <w:rPr>
          <w:noProof/>
        </w:rPr>
        <w:t xml:space="preserve"> </w:t>
      </w:r>
      <w:r w:rsidR="00785492">
        <w:rPr>
          <w:noProof/>
        </w:rPr>
        <w:t>The Group will be</w:t>
      </w:r>
      <w:r w:rsidRPr="00753B5B">
        <w:rPr>
          <w:noProof/>
        </w:rPr>
        <w:t xml:space="preserve"> composed of representatives from the Member States, the Commission and </w:t>
      </w:r>
      <w:r w:rsidR="00E6553B" w:rsidRPr="00CF77D1">
        <w:rPr>
          <w:lang w:eastAsia="en-GB"/>
        </w:rPr>
        <w:t>the European Union Agency for Network and Information Security ('ENISA')</w:t>
      </w:r>
      <w:r w:rsidR="00785492">
        <w:rPr>
          <w:noProof/>
        </w:rPr>
        <w:t xml:space="preserve"> and will have specific tasks listed in the text</w:t>
      </w:r>
      <w:r w:rsidR="001C0AEC">
        <w:rPr>
          <w:noProof/>
        </w:rPr>
        <w:t>, such as exchanging best practices and information on a number of issues or discussing capabilities and preparedness of Member States</w:t>
      </w:r>
      <w:r w:rsidR="006563FD">
        <w:rPr>
          <w:noProof/>
        </w:rPr>
        <w:t>.</w:t>
      </w:r>
    </w:p>
    <w:p w:rsidR="00A36255" w:rsidRPr="00753B5B" w:rsidRDefault="00787E56" w:rsidP="00787E56">
      <w:pPr>
        <w:rPr>
          <w:noProof/>
        </w:rPr>
      </w:pPr>
      <w:r>
        <w:rPr>
          <w:noProof/>
        </w:rPr>
        <w:br w:type="page"/>
      </w:r>
    </w:p>
    <w:p w:rsidR="00A067AA" w:rsidRPr="00234459" w:rsidRDefault="00AF26CC" w:rsidP="006563FD">
      <w:pPr>
        <w:numPr>
          <w:ilvl w:val="0"/>
          <w:numId w:val="24"/>
        </w:numPr>
        <w:ind w:left="1134" w:hanging="567"/>
        <w:rPr>
          <w:lang w:eastAsia="en-GB"/>
        </w:rPr>
      </w:pPr>
      <w:r>
        <w:rPr>
          <w:noProof/>
          <w:lang w:eastAsia="fr-BE"/>
        </w:rPr>
        <w:t>Furth</w:t>
      </w:r>
      <w:r w:rsidR="006563FD">
        <w:rPr>
          <w:noProof/>
          <w:lang w:eastAsia="fr-BE"/>
        </w:rPr>
        <w:t>ermore, the compromise</w:t>
      </w:r>
      <w:r w:rsidR="00F21812">
        <w:rPr>
          <w:noProof/>
          <w:lang w:eastAsia="fr-BE"/>
        </w:rPr>
        <w:t xml:space="preserve"> establishes a </w:t>
      </w:r>
      <w:r w:rsidR="00F21812" w:rsidRPr="00753B5B">
        <w:rPr>
          <w:noProof/>
          <w:lang w:eastAsia="fr-BE"/>
        </w:rPr>
        <w:t xml:space="preserve">network of the national CSIRTs </w:t>
      </w:r>
      <w:r w:rsidR="00F21812">
        <w:rPr>
          <w:noProof/>
          <w:lang w:eastAsia="fr-BE"/>
        </w:rPr>
        <w:t>i</w:t>
      </w:r>
      <w:r w:rsidR="00A36255" w:rsidRPr="00753B5B">
        <w:rPr>
          <w:noProof/>
          <w:lang w:eastAsia="fr-BE"/>
        </w:rPr>
        <w:t xml:space="preserve">n </w:t>
      </w:r>
      <w:r w:rsidR="00A36255" w:rsidRPr="00C65538">
        <w:rPr>
          <w:iCs/>
          <w:noProof/>
        </w:rPr>
        <w:t>order</w:t>
      </w:r>
      <w:r w:rsidR="00A36255" w:rsidRPr="00753B5B">
        <w:rPr>
          <w:noProof/>
          <w:lang w:eastAsia="fr-BE"/>
        </w:rPr>
        <w:t xml:space="preserve"> to contribute to </w:t>
      </w:r>
      <w:r w:rsidR="00A36255" w:rsidRPr="00C65538">
        <w:rPr>
          <w:iCs/>
          <w:noProof/>
        </w:rPr>
        <w:t>developing</w:t>
      </w:r>
      <w:r w:rsidR="00A36255" w:rsidRPr="00753B5B">
        <w:rPr>
          <w:noProof/>
          <w:lang w:eastAsia="fr-BE"/>
        </w:rPr>
        <w:t xml:space="preserve"> confidence and trust between the Member States and to promote swift and ef</w:t>
      </w:r>
      <w:r w:rsidR="00F21812">
        <w:rPr>
          <w:noProof/>
          <w:lang w:eastAsia="fr-BE"/>
        </w:rPr>
        <w:t>fective operational cooperation</w:t>
      </w:r>
      <w:r w:rsidR="00A36255" w:rsidRPr="00753B5B">
        <w:rPr>
          <w:noProof/>
          <w:lang w:eastAsia="fr-BE"/>
        </w:rPr>
        <w:t>.</w:t>
      </w:r>
      <w:r w:rsidR="00A36255" w:rsidRPr="00C65538">
        <w:rPr>
          <w:iCs/>
          <w:noProof/>
          <w:lang w:eastAsia="fr-BE"/>
        </w:rPr>
        <w:t xml:space="preserve">The network </w:t>
      </w:r>
      <w:r w:rsidR="00E6553B" w:rsidRPr="00C65538">
        <w:rPr>
          <w:iCs/>
          <w:noProof/>
          <w:lang w:eastAsia="fr-BE"/>
        </w:rPr>
        <w:t>will</w:t>
      </w:r>
      <w:r w:rsidR="00A36255" w:rsidRPr="00C65538">
        <w:rPr>
          <w:iCs/>
          <w:noProof/>
          <w:lang w:eastAsia="fr-BE"/>
        </w:rPr>
        <w:t xml:space="preserve"> be composed of representatives of the Member States’ CSIRTs and CERT-EU</w:t>
      </w:r>
      <w:r w:rsidR="00F21812" w:rsidRPr="00C65538">
        <w:rPr>
          <w:iCs/>
          <w:noProof/>
          <w:lang w:eastAsia="fr-BE"/>
        </w:rPr>
        <w:t xml:space="preserve"> and the</w:t>
      </w:r>
      <w:r w:rsidR="00A36255" w:rsidRPr="00C65538">
        <w:rPr>
          <w:iCs/>
          <w:noProof/>
          <w:lang w:eastAsia="fr-BE"/>
        </w:rPr>
        <w:t xml:space="preserve"> Commission </w:t>
      </w:r>
      <w:r w:rsidR="00E6553B" w:rsidRPr="00C65538">
        <w:rPr>
          <w:iCs/>
          <w:noProof/>
          <w:lang w:eastAsia="fr-BE"/>
        </w:rPr>
        <w:t>will</w:t>
      </w:r>
      <w:r w:rsidR="00A36255" w:rsidRPr="00C65538">
        <w:rPr>
          <w:iCs/>
          <w:noProof/>
          <w:lang w:eastAsia="fr-BE"/>
        </w:rPr>
        <w:t xml:space="preserve"> participate in the network as an observer. ENISA </w:t>
      </w:r>
      <w:r w:rsidR="00E6553B" w:rsidRPr="00C65538">
        <w:rPr>
          <w:iCs/>
          <w:noProof/>
          <w:lang w:eastAsia="fr-BE"/>
        </w:rPr>
        <w:t>will</w:t>
      </w:r>
      <w:r w:rsidR="00A36255" w:rsidRPr="00C65538">
        <w:rPr>
          <w:iCs/>
          <w:noProof/>
          <w:lang w:eastAsia="fr-BE"/>
        </w:rPr>
        <w:t xml:space="preserve"> provide the secretariat and actively support the cooperation among the CSIRTs.</w:t>
      </w:r>
      <w:r w:rsidR="00BC06D1" w:rsidRPr="00C65538">
        <w:rPr>
          <w:iCs/>
          <w:noProof/>
          <w:lang w:eastAsia="fr-BE"/>
        </w:rPr>
        <w:t xml:space="preserve"> </w:t>
      </w:r>
      <w:r w:rsidR="00C65538" w:rsidRPr="00C65538">
        <w:rPr>
          <w:iCs/>
          <w:noProof/>
          <w:lang w:eastAsia="fr-BE"/>
        </w:rPr>
        <w:t xml:space="preserve">The text provides for a list of tasks to be carried out by the network, </w:t>
      </w:r>
      <w:r w:rsidR="00C65538">
        <w:rPr>
          <w:iCs/>
          <w:noProof/>
          <w:lang w:eastAsia="fr-BE"/>
        </w:rPr>
        <w:t>such as</w:t>
      </w:r>
      <w:r w:rsidR="00C65538" w:rsidRPr="00C65538">
        <w:rPr>
          <w:iCs/>
          <w:noProof/>
          <w:lang w:eastAsia="fr-BE"/>
        </w:rPr>
        <w:t xml:space="preserve"> exchanging information on CSIRTs services, operations and cooperation capabilities, supporting Member States in addressing cross-border incidents or, under certain conditions, exchanging and discussing information related to incidents and associated risks</w:t>
      </w:r>
      <w:r w:rsidR="006563FD">
        <w:rPr>
          <w:iCs/>
          <w:noProof/>
          <w:lang w:eastAsia="fr-BE"/>
        </w:rPr>
        <w:t>.</w:t>
      </w:r>
    </w:p>
    <w:p w:rsidR="001C0AEC" w:rsidRPr="001C0AEC" w:rsidRDefault="001C0AEC" w:rsidP="001C0AEC">
      <w:pPr>
        <w:numPr>
          <w:ilvl w:val="1"/>
          <w:numId w:val="28"/>
        </w:numPr>
        <w:rPr>
          <w:lang w:eastAsia="en-GB"/>
        </w:rPr>
      </w:pPr>
      <w:r w:rsidRPr="001C0AEC">
        <w:rPr>
          <w:i/>
          <w:iCs/>
          <w:lang w:eastAsia="en-GB"/>
        </w:rPr>
        <w:t xml:space="preserve">Security and notification requirements </w:t>
      </w:r>
    </w:p>
    <w:p w:rsidR="001C0AEC" w:rsidRPr="00234459" w:rsidRDefault="001C0AEC" w:rsidP="006563FD">
      <w:pPr>
        <w:numPr>
          <w:ilvl w:val="0"/>
          <w:numId w:val="24"/>
        </w:numPr>
        <w:ind w:left="1134" w:hanging="567"/>
        <w:rPr>
          <w:lang w:eastAsia="en-GB"/>
        </w:rPr>
      </w:pPr>
      <w:r>
        <w:rPr>
          <w:lang w:eastAsia="en-GB"/>
        </w:rPr>
        <w:t xml:space="preserve">The  Directive </w:t>
      </w:r>
      <w:r w:rsidR="006563FD">
        <w:rPr>
          <w:lang w:eastAsia="en-GB"/>
        </w:rPr>
        <w:t>lays down</w:t>
      </w:r>
      <w:r>
        <w:rPr>
          <w:lang w:eastAsia="en-GB"/>
        </w:rPr>
        <w:t xml:space="preserve"> certain obligations for two sets of market players: operators of essential services and digital service providers.</w:t>
      </w:r>
    </w:p>
    <w:p w:rsidR="001C0AEC" w:rsidRDefault="001C0AEC" w:rsidP="006563FD">
      <w:pPr>
        <w:numPr>
          <w:ilvl w:val="0"/>
          <w:numId w:val="24"/>
        </w:numPr>
        <w:ind w:left="1134" w:hanging="567"/>
        <w:rPr>
          <w:lang w:eastAsia="en-GB"/>
        </w:rPr>
      </w:pPr>
      <w:r>
        <w:rPr>
          <w:lang w:eastAsia="en-GB"/>
        </w:rPr>
        <w:t xml:space="preserve">Annex II of the Directive lists a number of sectors important for society and economy, namely energy, transport, banking, financial market infrastructures, health, drinking water supply and distribution and digital </w:t>
      </w:r>
      <w:r w:rsidRPr="001C0AEC">
        <w:rPr>
          <w:lang w:eastAsia="en-GB"/>
        </w:rPr>
        <w:t>infrastructure. Within these sectors Member States will identify the operators of essential services, based</w:t>
      </w:r>
      <w:r>
        <w:rPr>
          <w:lang w:eastAsia="en-GB"/>
        </w:rPr>
        <w:t xml:space="preserve"> on precise criteria provided for in the Directive.</w:t>
      </w:r>
    </w:p>
    <w:p w:rsidR="00787E56" w:rsidRDefault="001C0AEC" w:rsidP="00AF26CC">
      <w:pPr>
        <w:numPr>
          <w:ilvl w:val="0"/>
          <w:numId w:val="24"/>
        </w:numPr>
        <w:ind w:left="1134" w:hanging="567"/>
        <w:rPr>
          <w:lang w:eastAsia="en-GB"/>
        </w:rPr>
      </w:pPr>
      <w:r>
        <w:rPr>
          <w:lang w:eastAsia="en-GB"/>
        </w:rPr>
        <w:t xml:space="preserve">Annex III of the Directive lists three types of digital services, the providers of  which will have to comply with the </w:t>
      </w:r>
      <w:r w:rsidRPr="001C0AEC">
        <w:rPr>
          <w:lang w:eastAsia="en-GB"/>
        </w:rPr>
        <w:t xml:space="preserve">requirements of the Directive: online market places, online search engines and cloud computing services. All digital service providers providing the listed services </w:t>
      </w:r>
      <w:r>
        <w:rPr>
          <w:lang w:eastAsia="en-GB"/>
        </w:rPr>
        <w:t>will have to comply with the requirements</w:t>
      </w:r>
      <w:r w:rsidRPr="001C0AEC">
        <w:rPr>
          <w:lang w:eastAsia="en-GB"/>
        </w:rPr>
        <w:t xml:space="preserve"> </w:t>
      </w:r>
      <w:r w:rsidR="009C3001">
        <w:rPr>
          <w:lang w:eastAsia="en-GB"/>
        </w:rPr>
        <w:t xml:space="preserve">of the Directive </w:t>
      </w:r>
      <w:r w:rsidRPr="001C0AEC">
        <w:rPr>
          <w:lang w:eastAsia="en-GB"/>
        </w:rPr>
        <w:t>with the exclus</w:t>
      </w:r>
      <w:r>
        <w:rPr>
          <w:lang w:eastAsia="en-GB"/>
        </w:rPr>
        <w:t>ion of micro and small enterprises</w:t>
      </w:r>
      <w:r w:rsidRPr="001C0AEC">
        <w:rPr>
          <w:lang w:eastAsia="en-GB"/>
        </w:rPr>
        <w:t>.</w:t>
      </w:r>
    </w:p>
    <w:p w:rsidR="001C0AEC" w:rsidRPr="001C0AEC" w:rsidRDefault="00787E56" w:rsidP="00787E56">
      <w:pPr>
        <w:rPr>
          <w:lang w:eastAsia="en-GB"/>
        </w:rPr>
      </w:pPr>
      <w:r>
        <w:rPr>
          <w:lang w:eastAsia="en-GB"/>
        </w:rPr>
        <w:br w:type="page"/>
      </w:r>
    </w:p>
    <w:p w:rsidR="001C0AEC" w:rsidRPr="001C0AEC" w:rsidRDefault="001C0AEC" w:rsidP="00AF26CC">
      <w:pPr>
        <w:numPr>
          <w:ilvl w:val="0"/>
          <w:numId w:val="24"/>
        </w:numPr>
        <w:ind w:left="1134" w:hanging="567"/>
        <w:rPr>
          <w:lang w:eastAsia="en-GB"/>
        </w:rPr>
      </w:pPr>
      <w:r w:rsidRPr="001C0AEC">
        <w:rPr>
          <w:lang w:eastAsia="en-GB"/>
        </w:rPr>
        <w:t xml:space="preserve">The two sets of market players will be required to take </w:t>
      </w:r>
      <w:r w:rsidR="00675785">
        <w:rPr>
          <w:lang w:eastAsia="en-GB"/>
        </w:rPr>
        <w:t xml:space="preserve">organisational and technical </w:t>
      </w:r>
      <w:r w:rsidRPr="001C0AEC">
        <w:rPr>
          <w:lang w:eastAsia="en-GB"/>
        </w:rPr>
        <w:t xml:space="preserve">measures to manage the risks posed to the security of networks and information systems and to prevent and to minimise the impact of incidents affecting the security of </w:t>
      </w:r>
      <w:r w:rsidR="0023622C">
        <w:rPr>
          <w:lang w:eastAsia="en-GB"/>
        </w:rPr>
        <w:t>those</w:t>
      </w:r>
      <w:r w:rsidRPr="001C0AEC">
        <w:rPr>
          <w:lang w:eastAsia="en-GB"/>
        </w:rPr>
        <w:t xml:space="preserve"> systems. Moreover, incidents having </w:t>
      </w:r>
      <w:r>
        <w:rPr>
          <w:lang w:eastAsia="en-GB"/>
        </w:rPr>
        <w:t xml:space="preserve">a certain level of </w:t>
      </w:r>
      <w:r w:rsidRPr="001C0AEC">
        <w:rPr>
          <w:lang w:eastAsia="en-GB"/>
        </w:rPr>
        <w:t xml:space="preserve"> impact on the  services in question will have to be notified to the national competent authorities or to CSIRTs. The Directive provides for criteria to determine the level of the impact of such incidents.</w:t>
      </w:r>
    </w:p>
    <w:p w:rsidR="001C0AEC" w:rsidRDefault="000D049C" w:rsidP="00AF26CC">
      <w:pPr>
        <w:numPr>
          <w:ilvl w:val="0"/>
          <w:numId w:val="24"/>
        </w:numPr>
        <w:ind w:left="1134" w:hanging="567"/>
        <w:rPr>
          <w:lang w:eastAsia="en-GB"/>
        </w:rPr>
      </w:pPr>
      <w:r>
        <w:rPr>
          <w:lang w:eastAsia="en-GB"/>
        </w:rPr>
        <w:t>T</w:t>
      </w:r>
      <w:r w:rsidR="001C0AEC" w:rsidRPr="001C0AEC">
        <w:rPr>
          <w:lang w:eastAsia="en-GB"/>
        </w:rPr>
        <w:t xml:space="preserve">he Directive </w:t>
      </w:r>
      <w:r>
        <w:rPr>
          <w:lang w:eastAsia="en-GB"/>
        </w:rPr>
        <w:t>takes a differentiated approach with regard to</w:t>
      </w:r>
      <w:r w:rsidR="001C0AEC">
        <w:rPr>
          <w:lang w:eastAsia="en-GB"/>
        </w:rPr>
        <w:t xml:space="preserve"> the two categories of players. The security and notification requirements are </w:t>
      </w:r>
      <w:r>
        <w:rPr>
          <w:lang w:eastAsia="en-GB"/>
        </w:rPr>
        <w:t>lighter</w:t>
      </w:r>
      <w:r w:rsidR="001C0AEC">
        <w:rPr>
          <w:lang w:eastAsia="en-GB"/>
        </w:rPr>
        <w:t xml:space="preserve"> for digital service providers</w:t>
      </w:r>
      <w:r w:rsidRPr="000D049C">
        <w:rPr>
          <w:lang w:eastAsia="en-GB"/>
        </w:rPr>
        <w:t xml:space="preserve"> </w:t>
      </w:r>
      <w:r>
        <w:rPr>
          <w:lang w:eastAsia="en-GB"/>
        </w:rPr>
        <w:t>than for operators of essential services</w:t>
      </w:r>
      <w:r w:rsidR="001C0AEC">
        <w:rPr>
          <w:lang w:eastAsia="en-GB"/>
        </w:rPr>
        <w:t xml:space="preserve">, which reflects the degree of risk that disruption to their services may pose to society and economy. Moreover, taking into account that digital service providers are often active in many Member States and in order to ensure </w:t>
      </w:r>
      <w:r w:rsidR="00DE0C5E">
        <w:rPr>
          <w:lang w:eastAsia="en-GB"/>
        </w:rPr>
        <w:t>a high level of harmonisation</w:t>
      </w:r>
      <w:r w:rsidR="001C0AEC">
        <w:rPr>
          <w:lang w:eastAsia="en-GB"/>
        </w:rPr>
        <w:t>, the Directive prevents Member States from imposing</w:t>
      </w:r>
      <w:r>
        <w:rPr>
          <w:lang w:eastAsia="en-GB"/>
        </w:rPr>
        <w:t xml:space="preserve"> any </w:t>
      </w:r>
      <w:r w:rsidR="001C0AEC">
        <w:rPr>
          <w:lang w:eastAsia="en-GB"/>
        </w:rPr>
        <w:t>further security and notification requirements</w:t>
      </w:r>
      <w:r>
        <w:rPr>
          <w:lang w:eastAsia="en-GB"/>
        </w:rPr>
        <w:t xml:space="preserve"> on those providers</w:t>
      </w:r>
      <w:r w:rsidR="001C0AEC">
        <w:rPr>
          <w:lang w:eastAsia="en-GB"/>
        </w:rPr>
        <w:t>.</w:t>
      </w:r>
    </w:p>
    <w:p w:rsidR="001D22BC" w:rsidRDefault="001D22BC" w:rsidP="00AF26CC">
      <w:pPr>
        <w:numPr>
          <w:ilvl w:val="0"/>
          <w:numId w:val="24"/>
        </w:numPr>
        <w:ind w:left="1134" w:hanging="567"/>
        <w:rPr>
          <w:lang w:eastAsia="en-GB"/>
        </w:rPr>
      </w:pPr>
      <w:r>
        <w:rPr>
          <w:lang w:eastAsia="en-GB"/>
        </w:rPr>
        <w:t>The compromise text also provides that</w:t>
      </w:r>
      <w:r w:rsidRPr="001D22BC">
        <w:rPr>
          <w:lang w:eastAsia="en-GB"/>
        </w:rPr>
        <w:t xml:space="preserve"> entities which have not been identified as operators of essential services and are not digital service providers may notify</w:t>
      </w:r>
      <w:r>
        <w:rPr>
          <w:lang w:eastAsia="en-GB"/>
        </w:rPr>
        <w:t xml:space="preserve"> </w:t>
      </w:r>
      <w:r w:rsidR="006563FD">
        <w:rPr>
          <w:lang w:eastAsia="en-GB"/>
        </w:rPr>
        <w:t xml:space="preserve">certain </w:t>
      </w:r>
      <w:r w:rsidRPr="001D22BC">
        <w:rPr>
          <w:lang w:eastAsia="en-GB"/>
        </w:rPr>
        <w:t>incidents on a voluntary basis.</w:t>
      </w:r>
    </w:p>
    <w:p w:rsidR="001C0AEC" w:rsidRPr="00AF26CC" w:rsidRDefault="001C0AEC" w:rsidP="00AF26CC">
      <w:pPr>
        <w:numPr>
          <w:ilvl w:val="1"/>
          <w:numId w:val="28"/>
        </w:numPr>
        <w:rPr>
          <w:lang w:eastAsia="en-GB"/>
        </w:rPr>
      </w:pPr>
      <w:r w:rsidRPr="00AF26CC">
        <w:rPr>
          <w:i/>
          <w:iCs/>
          <w:lang w:eastAsia="en-GB"/>
        </w:rPr>
        <w:t>Transposition</w:t>
      </w:r>
    </w:p>
    <w:p w:rsidR="00787E56" w:rsidRDefault="001C0AEC" w:rsidP="00AF26CC">
      <w:pPr>
        <w:numPr>
          <w:ilvl w:val="0"/>
          <w:numId w:val="24"/>
        </w:numPr>
        <w:ind w:left="1134" w:hanging="567"/>
        <w:rPr>
          <w:lang w:eastAsia="en-GB"/>
        </w:rPr>
      </w:pPr>
      <w:r>
        <w:rPr>
          <w:lang w:eastAsia="en-GB"/>
        </w:rPr>
        <w:t>Member States will be required to transpose the Directive by 21 months after the date of its entry into force and will have 6 additional months to identify their operators of essential services.</w:t>
      </w:r>
    </w:p>
    <w:p w:rsidR="001C0AEC" w:rsidRDefault="00787E56" w:rsidP="00787E56">
      <w:pPr>
        <w:rPr>
          <w:lang w:eastAsia="en-GB"/>
        </w:rPr>
      </w:pPr>
      <w:r>
        <w:rPr>
          <w:lang w:eastAsia="en-GB"/>
        </w:rPr>
        <w:br w:type="page"/>
      </w:r>
      <w:bookmarkStart w:id="3" w:name="ControlPages"/>
      <w:bookmarkEnd w:id="3"/>
    </w:p>
    <w:p w:rsidR="001C5E5F" w:rsidRPr="00F048B5" w:rsidRDefault="001C5E5F" w:rsidP="00AF26CC">
      <w:pPr>
        <w:pStyle w:val="HeadingIVX"/>
        <w:numPr>
          <w:ilvl w:val="0"/>
          <w:numId w:val="21"/>
        </w:numPr>
        <w:tabs>
          <w:tab w:val="clear" w:pos="567"/>
        </w:tabs>
        <w:ind w:left="0" w:firstLine="0"/>
        <w:rPr>
          <w:lang w:eastAsia="en-GB"/>
        </w:rPr>
      </w:pPr>
      <w:r w:rsidRPr="00F048B5">
        <w:t>CONCLUSION</w:t>
      </w:r>
    </w:p>
    <w:p w:rsidR="00C3218F" w:rsidRPr="00436D67" w:rsidRDefault="00C3218F" w:rsidP="00AF26CC">
      <w:pPr>
        <w:numPr>
          <w:ilvl w:val="0"/>
          <w:numId w:val="24"/>
        </w:numPr>
        <w:ind w:left="1134" w:hanging="567"/>
      </w:pPr>
      <w:r w:rsidRPr="00F048B5">
        <w:rPr>
          <w:lang w:eastAsia="en-GB"/>
        </w:rPr>
        <w:t xml:space="preserve">The Council's position fully reflects the compromise reached in the negotiations between the European Parliament and the Council, with the agreement of the Commission. </w:t>
      </w:r>
      <w:r w:rsidRPr="00780852">
        <w:rPr>
          <w:lang w:eastAsia="en-GB"/>
        </w:rPr>
        <w:t>The compromise is confirmed by the letter that the Chair of the IMCO Committee addressed to the Chairman of the Permanent Representatives Committee on 2</w:t>
      </w:r>
      <w:r w:rsidR="008F504F" w:rsidRPr="00780852">
        <w:rPr>
          <w:lang w:eastAsia="en-GB"/>
        </w:rPr>
        <w:t>8</w:t>
      </w:r>
      <w:r w:rsidRPr="00780852">
        <w:rPr>
          <w:lang w:eastAsia="en-GB"/>
        </w:rPr>
        <w:t xml:space="preserve"> January 2016.</w:t>
      </w:r>
    </w:p>
    <w:p w:rsidR="00FC4670" w:rsidRPr="00200453" w:rsidRDefault="00FC4670" w:rsidP="00200453">
      <w:pPr>
        <w:pStyle w:val="FinalLine"/>
      </w:pPr>
    </w:p>
    <w:sectPr w:rsidR="00FC4670" w:rsidRPr="00200453" w:rsidSect="00E33D7C">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53" w:rsidRDefault="00200453" w:rsidP="00200453">
      <w:pPr>
        <w:spacing w:before="0" w:after="0" w:line="240" w:lineRule="auto"/>
      </w:pPr>
      <w:r>
        <w:separator/>
      </w:r>
    </w:p>
  </w:endnote>
  <w:endnote w:type="continuationSeparator" w:id="0">
    <w:p w:rsidR="00200453" w:rsidRDefault="00200453" w:rsidP="00200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7C" w:rsidRPr="00E33D7C" w:rsidRDefault="00E33D7C" w:rsidP="00E33D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33D7C" w:rsidRPr="00D94637" w:rsidTr="00E33D7C">
      <w:trPr>
        <w:jc w:val="center"/>
      </w:trPr>
      <w:tc>
        <w:tcPr>
          <w:tcW w:w="5000" w:type="pct"/>
          <w:gridSpan w:val="7"/>
          <w:shd w:val="clear" w:color="auto" w:fill="auto"/>
          <w:tcMar>
            <w:top w:w="57" w:type="dxa"/>
          </w:tcMar>
        </w:tcPr>
        <w:p w:rsidR="00E33D7C" w:rsidRPr="00D94637" w:rsidRDefault="00E33D7C" w:rsidP="00D94637">
          <w:pPr>
            <w:pStyle w:val="FooterText"/>
            <w:pBdr>
              <w:top w:val="single" w:sz="4" w:space="1" w:color="auto"/>
            </w:pBdr>
            <w:spacing w:before="200"/>
            <w:rPr>
              <w:sz w:val="2"/>
              <w:szCs w:val="2"/>
            </w:rPr>
          </w:pPr>
          <w:bookmarkStart w:id="2" w:name="FOOTER_STANDARD"/>
        </w:p>
      </w:tc>
    </w:tr>
    <w:tr w:rsidR="00E33D7C" w:rsidRPr="00B310DC" w:rsidTr="00E33D7C">
      <w:trPr>
        <w:jc w:val="center"/>
      </w:trPr>
      <w:tc>
        <w:tcPr>
          <w:tcW w:w="2500" w:type="pct"/>
          <w:gridSpan w:val="2"/>
          <w:shd w:val="clear" w:color="auto" w:fill="auto"/>
          <w:tcMar>
            <w:top w:w="0" w:type="dxa"/>
          </w:tcMar>
        </w:tcPr>
        <w:p w:rsidR="00E33D7C" w:rsidRPr="00AD7BF2" w:rsidRDefault="00E33D7C" w:rsidP="004F54B2">
          <w:pPr>
            <w:pStyle w:val="FooterText"/>
          </w:pPr>
          <w:r>
            <w:t>5581/1/16</w:t>
          </w:r>
          <w:r w:rsidRPr="002511D8">
            <w:t xml:space="preserve"> </w:t>
          </w:r>
          <w:r>
            <w:t>REV 1 ADD 1</w:t>
          </w:r>
        </w:p>
      </w:tc>
      <w:tc>
        <w:tcPr>
          <w:tcW w:w="625" w:type="pct"/>
          <w:shd w:val="clear" w:color="auto" w:fill="auto"/>
          <w:tcMar>
            <w:top w:w="0" w:type="dxa"/>
          </w:tcMar>
        </w:tcPr>
        <w:p w:rsidR="00E33D7C" w:rsidRPr="00AD7BF2" w:rsidRDefault="00E33D7C" w:rsidP="00D94637">
          <w:pPr>
            <w:pStyle w:val="FooterText"/>
            <w:jc w:val="center"/>
          </w:pPr>
        </w:p>
      </w:tc>
      <w:tc>
        <w:tcPr>
          <w:tcW w:w="1287" w:type="pct"/>
          <w:gridSpan w:val="3"/>
          <w:shd w:val="clear" w:color="auto" w:fill="auto"/>
          <w:tcMar>
            <w:top w:w="0" w:type="dxa"/>
          </w:tcMar>
        </w:tcPr>
        <w:p w:rsidR="00E33D7C" w:rsidRPr="002511D8" w:rsidRDefault="00E33D7C" w:rsidP="00D94637">
          <w:pPr>
            <w:pStyle w:val="FooterText"/>
            <w:jc w:val="center"/>
          </w:pPr>
          <w:proofErr w:type="spellStart"/>
          <w:r>
            <w:t>psc</w:t>
          </w:r>
          <w:proofErr w:type="spellEnd"/>
        </w:p>
      </w:tc>
      <w:tc>
        <w:tcPr>
          <w:tcW w:w="588" w:type="pct"/>
          <w:shd w:val="clear" w:color="auto" w:fill="auto"/>
          <w:tcMar>
            <w:top w:w="0" w:type="dxa"/>
          </w:tcMar>
        </w:tcPr>
        <w:p w:rsidR="00E33D7C" w:rsidRPr="00B310DC" w:rsidRDefault="00E33D7C"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E33D7C" w:rsidRPr="00D94637" w:rsidTr="00E33D7C">
      <w:trPr>
        <w:jc w:val="center"/>
      </w:trPr>
      <w:tc>
        <w:tcPr>
          <w:tcW w:w="1774" w:type="pct"/>
          <w:shd w:val="clear" w:color="auto" w:fill="auto"/>
        </w:tcPr>
        <w:p w:rsidR="00E33D7C" w:rsidRPr="00AD7BF2" w:rsidRDefault="00E33D7C" w:rsidP="00D94637">
          <w:pPr>
            <w:pStyle w:val="FooterText"/>
            <w:spacing w:before="40"/>
          </w:pPr>
        </w:p>
      </w:tc>
      <w:tc>
        <w:tcPr>
          <w:tcW w:w="1455" w:type="pct"/>
          <w:gridSpan w:val="3"/>
          <w:shd w:val="clear" w:color="auto" w:fill="auto"/>
        </w:tcPr>
        <w:p w:rsidR="00E33D7C" w:rsidRPr="00AD7BF2" w:rsidRDefault="00E33D7C" w:rsidP="00D204D6">
          <w:pPr>
            <w:pStyle w:val="FooterText"/>
            <w:spacing w:before="40"/>
            <w:jc w:val="center"/>
          </w:pPr>
          <w:r>
            <w:t>DRI</w:t>
          </w:r>
        </w:p>
      </w:tc>
      <w:tc>
        <w:tcPr>
          <w:tcW w:w="1147" w:type="pct"/>
          <w:shd w:val="clear" w:color="auto" w:fill="auto"/>
        </w:tcPr>
        <w:p w:rsidR="00E33D7C" w:rsidRPr="00D94637" w:rsidRDefault="00E33D7C" w:rsidP="00D94637">
          <w:pPr>
            <w:pStyle w:val="FooterText"/>
            <w:jc w:val="right"/>
            <w:rPr>
              <w:b/>
              <w:position w:val="-4"/>
              <w:sz w:val="36"/>
            </w:rPr>
          </w:pPr>
        </w:p>
      </w:tc>
      <w:tc>
        <w:tcPr>
          <w:tcW w:w="625" w:type="pct"/>
          <w:gridSpan w:val="2"/>
          <w:shd w:val="clear" w:color="auto" w:fill="auto"/>
        </w:tcPr>
        <w:p w:rsidR="00E33D7C" w:rsidRPr="00D94637" w:rsidRDefault="00E33D7C" w:rsidP="00D94637">
          <w:pPr>
            <w:pStyle w:val="FooterText"/>
            <w:jc w:val="right"/>
            <w:rPr>
              <w:sz w:val="16"/>
            </w:rPr>
          </w:pPr>
          <w:r>
            <w:rPr>
              <w:b/>
              <w:position w:val="-4"/>
              <w:sz w:val="36"/>
            </w:rPr>
            <w:t>EN</w:t>
          </w:r>
        </w:p>
      </w:tc>
    </w:tr>
    <w:bookmarkEnd w:id="2"/>
  </w:tbl>
  <w:p w:rsidR="00200453" w:rsidRPr="00E33D7C" w:rsidRDefault="00200453" w:rsidP="00E33D7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33D7C" w:rsidRPr="00D94637" w:rsidTr="00E33D7C">
      <w:trPr>
        <w:jc w:val="center"/>
      </w:trPr>
      <w:tc>
        <w:tcPr>
          <w:tcW w:w="5000" w:type="pct"/>
          <w:gridSpan w:val="7"/>
          <w:shd w:val="clear" w:color="auto" w:fill="auto"/>
          <w:tcMar>
            <w:top w:w="57" w:type="dxa"/>
          </w:tcMar>
        </w:tcPr>
        <w:p w:rsidR="00E33D7C" w:rsidRPr="00D94637" w:rsidRDefault="00E33D7C" w:rsidP="00D94637">
          <w:pPr>
            <w:pStyle w:val="FooterText"/>
            <w:pBdr>
              <w:top w:val="single" w:sz="4" w:space="1" w:color="auto"/>
            </w:pBdr>
            <w:spacing w:before="200"/>
            <w:rPr>
              <w:sz w:val="2"/>
              <w:szCs w:val="2"/>
            </w:rPr>
          </w:pPr>
        </w:p>
      </w:tc>
    </w:tr>
    <w:tr w:rsidR="00E33D7C" w:rsidRPr="00B310DC" w:rsidTr="00E33D7C">
      <w:trPr>
        <w:jc w:val="center"/>
      </w:trPr>
      <w:tc>
        <w:tcPr>
          <w:tcW w:w="2500" w:type="pct"/>
          <w:gridSpan w:val="2"/>
          <w:shd w:val="clear" w:color="auto" w:fill="auto"/>
          <w:tcMar>
            <w:top w:w="0" w:type="dxa"/>
          </w:tcMar>
        </w:tcPr>
        <w:p w:rsidR="00E33D7C" w:rsidRPr="00AD7BF2" w:rsidRDefault="00E33D7C" w:rsidP="004F54B2">
          <w:pPr>
            <w:pStyle w:val="FooterText"/>
          </w:pPr>
          <w:r>
            <w:t>5581/1/16</w:t>
          </w:r>
          <w:r w:rsidRPr="002511D8">
            <w:t xml:space="preserve"> </w:t>
          </w:r>
          <w:r>
            <w:t>REV 1 ADD 1</w:t>
          </w:r>
        </w:p>
      </w:tc>
      <w:tc>
        <w:tcPr>
          <w:tcW w:w="625" w:type="pct"/>
          <w:shd w:val="clear" w:color="auto" w:fill="auto"/>
          <w:tcMar>
            <w:top w:w="0" w:type="dxa"/>
          </w:tcMar>
        </w:tcPr>
        <w:p w:rsidR="00E33D7C" w:rsidRPr="00AD7BF2" w:rsidRDefault="00E33D7C" w:rsidP="00D94637">
          <w:pPr>
            <w:pStyle w:val="FooterText"/>
            <w:jc w:val="center"/>
          </w:pPr>
        </w:p>
      </w:tc>
      <w:tc>
        <w:tcPr>
          <w:tcW w:w="1287" w:type="pct"/>
          <w:gridSpan w:val="3"/>
          <w:shd w:val="clear" w:color="auto" w:fill="auto"/>
          <w:tcMar>
            <w:top w:w="0" w:type="dxa"/>
          </w:tcMar>
        </w:tcPr>
        <w:p w:rsidR="00E33D7C" w:rsidRPr="002511D8" w:rsidRDefault="00E33D7C" w:rsidP="00D94637">
          <w:pPr>
            <w:pStyle w:val="FooterText"/>
            <w:jc w:val="center"/>
          </w:pPr>
          <w:proofErr w:type="spellStart"/>
          <w:r>
            <w:t>psc</w:t>
          </w:r>
          <w:proofErr w:type="spellEnd"/>
        </w:p>
      </w:tc>
      <w:tc>
        <w:tcPr>
          <w:tcW w:w="588" w:type="pct"/>
          <w:shd w:val="clear" w:color="auto" w:fill="auto"/>
          <w:tcMar>
            <w:top w:w="0" w:type="dxa"/>
          </w:tcMar>
        </w:tcPr>
        <w:p w:rsidR="00E33D7C" w:rsidRPr="00B310DC" w:rsidRDefault="00E33D7C"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E33D7C" w:rsidRPr="00D94637" w:rsidTr="00E33D7C">
      <w:trPr>
        <w:jc w:val="center"/>
      </w:trPr>
      <w:tc>
        <w:tcPr>
          <w:tcW w:w="1774" w:type="pct"/>
          <w:shd w:val="clear" w:color="auto" w:fill="auto"/>
        </w:tcPr>
        <w:p w:rsidR="00E33D7C" w:rsidRPr="00AD7BF2" w:rsidRDefault="00E33D7C" w:rsidP="00D94637">
          <w:pPr>
            <w:pStyle w:val="FooterText"/>
            <w:spacing w:before="40"/>
          </w:pPr>
        </w:p>
      </w:tc>
      <w:tc>
        <w:tcPr>
          <w:tcW w:w="1455" w:type="pct"/>
          <w:gridSpan w:val="3"/>
          <w:shd w:val="clear" w:color="auto" w:fill="auto"/>
        </w:tcPr>
        <w:p w:rsidR="00E33D7C" w:rsidRPr="00AD7BF2" w:rsidRDefault="00E33D7C" w:rsidP="00D204D6">
          <w:pPr>
            <w:pStyle w:val="FooterText"/>
            <w:spacing w:before="40"/>
            <w:jc w:val="center"/>
          </w:pPr>
          <w:r>
            <w:t>DRI</w:t>
          </w:r>
        </w:p>
      </w:tc>
      <w:tc>
        <w:tcPr>
          <w:tcW w:w="1147" w:type="pct"/>
          <w:shd w:val="clear" w:color="auto" w:fill="auto"/>
        </w:tcPr>
        <w:p w:rsidR="00E33D7C" w:rsidRPr="00D94637" w:rsidRDefault="00E33D7C" w:rsidP="00D94637">
          <w:pPr>
            <w:pStyle w:val="FooterText"/>
            <w:jc w:val="right"/>
            <w:rPr>
              <w:b/>
              <w:position w:val="-4"/>
              <w:sz w:val="36"/>
            </w:rPr>
          </w:pPr>
        </w:p>
      </w:tc>
      <w:tc>
        <w:tcPr>
          <w:tcW w:w="625" w:type="pct"/>
          <w:gridSpan w:val="2"/>
          <w:shd w:val="clear" w:color="auto" w:fill="auto"/>
        </w:tcPr>
        <w:p w:rsidR="00E33D7C" w:rsidRPr="00D94637" w:rsidRDefault="00E33D7C" w:rsidP="00D94637">
          <w:pPr>
            <w:pStyle w:val="FooterText"/>
            <w:jc w:val="right"/>
            <w:rPr>
              <w:sz w:val="16"/>
            </w:rPr>
          </w:pPr>
          <w:r>
            <w:rPr>
              <w:b/>
              <w:position w:val="-4"/>
              <w:sz w:val="36"/>
            </w:rPr>
            <w:t>EN</w:t>
          </w:r>
        </w:p>
      </w:tc>
    </w:tr>
  </w:tbl>
  <w:p w:rsidR="00200453" w:rsidRPr="00E33D7C" w:rsidRDefault="00200453" w:rsidP="00E33D7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53" w:rsidRDefault="00200453" w:rsidP="00200453">
      <w:pPr>
        <w:spacing w:before="0" w:after="0" w:line="240" w:lineRule="auto"/>
      </w:pPr>
      <w:r>
        <w:separator/>
      </w:r>
    </w:p>
  </w:footnote>
  <w:footnote w:type="continuationSeparator" w:id="0">
    <w:p w:rsidR="00200453" w:rsidRDefault="00200453" w:rsidP="00200453">
      <w:pPr>
        <w:spacing w:before="0" w:after="0" w:line="240" w:lineRule="auto"/>
      </w:pPr>
      <w:r>
        <w:continuationSeparator/>
      </w:r>
    </w:p>
  </w:footnote>
  <w:footnote w:id="1">
    <w:p w:rsidR="00C3218F" w:rsidRPr="00F048B5" w:rsidRDefault="00C3218F" w:rsidP="00261988">
      <w:pPr>
        <w:pStyle w:val="FootnoteText"/>
        <w:ind w:left="567" w:hanging="567"/>
      </w:pPr>
      <w:r>
        <w:rPr>
          <w:rStyle w:val="FootnoteReference"/>
        </w:rPr>
        <w:footnoteRef/>
      </w:r>
      <w:r w:rsidRPr="00F048B5">
        <w:tab/>
      </w:r>
      <w:r w:rsidRPr="006A2C14">
        <w:t xml:space="preserve">European Parliament legislative resolution of </w:t>
      </w:r>
      <w:r w:rsidR="00261988" w:rsidRPr="006A2C14">
        <w:t>1</w:t>
      </w:r>
      <w:r w:rsidRPr="006A2C14">
        <w:t xml:space="preserve">3 </w:t>
      </w:r>
      <w:r w:rsidR="00261988" w:rsidRPr="006A2C14">
        <w:t>March</w:t>
      </w:r>
      <w:r w:rsidRPr="006A2C14">
        <w:t xml:space="preserve"> 2014 </w:t>
      </w:r>
      <w:r w:rsidR="00261988" w:rsidRPr="006A2C14">
        <w:t>on the proposal for a directive of the European Parliament and of the Council concerning measures to ensure a high common level of network and information security (NIS) across the Union</w:t>
      </w:r>
      <w:r w:rsidR="00261988" w:rsidRPr="00261988">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7C" w:rsidRPr="00E33D7C" w:rsidRDefault="00E33D7C" w:rsidP="00E33D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7C" w:rsidRPr="00E33D7C" w:rsidRDefault="00E33D7C" w:rsidP="00E33D7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7C" w:rsidRPr="00E33D7C" w:rsidRDefault="00E33D7C" w:rsidP="00E33D7C">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53" w:rsidRPr="00E33D7C" w:rsidRDefault="00200453" w:rsidP="00E33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A29461D"/>
    <w:multiLevelType w:val="hybridMultilevel"/>
    <w:tmpl w:val="26B2BD5C"/>
    <w:lvl w:ilvl="0" w:tplc="E8CEC572">
      <w:start w:val="1"/>
      <w:numFmt w:val="decimal"/>
      <w:lvlText w:val="%1."/>
      <w:lvlJc w:val="left"/>
      <w:pPr>
        <w:ind w:left="927"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3C7007"/>
    <w:multiLevelType w:val="hybridMultilevel"/>
    <w:tmpl w:val="0D6C2804"/>
    <w:lvl w:ilvl="0" w:tplc="125000C8">
      <w:start w:val="9"/>
      <w:numFmt w:val="decimal"/>
      <w:lvlText w:val="%1."/>
      <w:lvlJc w:val="left"/>
      <w:pPr>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7">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A7C0103"/>
    <w:multiLevelType w:val="hybridMultilevel"/>
    <w:tmpl w:val="B78C23F6"/>
    <w:name w:val="Heading IVX3"/>
    <w:lvl w:ilvl="0" w:tplc="125000C8">
      <w:start w:val="9"/>
      <w:numFmt w:val="decimal"/>
      <w:lvlText w:val="%1."/>
      <w:lvlJc w:val="left"/>
      <w:pPr>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0">
    <w:nsid w:val="30EF02FA"/>
    <w:multiLevelType w:val="hybridMultilevel"/>
    <w:tmpl w:val="D408E368"/>
    <w:lvl w:ilvl="0" w:tplc="125000C8">
      <w:start w:val="9"/>
      <w:numFmt w:val="decimal"/>
      <w:lvlText w:val="%1."/>
      <w:lvlJc w:val="left"/>
      <w:pPr>
        <w:ind w:left="107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2">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3">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4">
    <w:nsid w:val="3CDD1796"/>
    <w:multiLevelType w:val="hybridMultilevel"/>
    <w:tmpl w:val="614885D4"/>
    <w:name w:val="Heading IVX222"/>
    <w:lvl w:ilvl="0" w:tplc="88B4001A">
      <w:start w:val="1"/>
      <w:numFmt w:val="lowerLetter"/>
      <w:lvlText w:val="(%1)"/>
      <w:lvlJc w:val="left"/>
      <w:pPr>
        <w:ind w:left="1854" w:hanging="360"/>
      </w:pPr>
    </w:lvl>
    <w:lvl w:ilvl="1" w:tplc="B90E06EE">
      <w:start w:val="1"/>
      <w:numFmt w:val="lowerLetter"/>
      <w:lvlText w:val="%2."/>
      <w:lvlJc w:val="left"/>
      <w:pPr>
        <w:ind w:left="2574" w:hanging="360"/>
      </w:pPr>
      <w:rPr>
        <w:i/>
        <w:iCs/>
      </w:r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5">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6">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7">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8">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2">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3">
    <w:nsid w:val="6CB703EF"/>
    <w:multiLevelType w:val="hybridMultilevel"/>
    <w:tmpl w:val="DE74B050"/>
    <w:lvl w:ilvl="0" w:tplc="E8CEC572">
      <w:start w:val="1"/>
      <w:numFmt w:val="decimal"/>
      <w:lvlText w:val="%1."/>
      <w:lvlJc w:val="left"/>
      <w:pPr>
        <w:ind w:left="927"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5">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21"/>
  </w:num>
  <w:num w:numId="2">
    <w:abstractNumId w:val="16"/>
  </w:num>
  <w:num w:numId="3">
    <w:abstractNumId w:val="15"/>
  </w:num>
  <w:num w:numId="4">
    <w:abstractNumId w:val="17"/>
  </w:num>
  <w:num w:numId="5">
    <w:abstractNumId w:val="12"/>
  </w:num>
  <w:num w:numId="6">
    <w:abstractNumId w:val="2"/>
  </w:num>
  <w:num w:numId="7">
    <w:abstractNumId w:val="11"/>
  </w:num>
  <w:num w:numId="8">
    <w:abstractNumId w:val="9"/>
  </w:num>
  <w:num w:numId="9">
    <w:abstractNumId w:val="6"/>
  </w:num>
  <w:num w:numId="10">
    <w:abstractNumId w:val="24"/>
  </w:num>
  <w:num w:numId="11">
    <w:abstractNumId w:val="25"/>
  </w:num>
  <w:num w:numId="12">
    <w:abstractNumId w:val="1"/>
  </w:num>
  <w:num w:numId="13">
    <w:abstractNumId w:val="27"/>
  </w:num>
  <w:num w:numId="14">
    <w:abstractNumId w:val="22"/>
  </w:num>
  <w:num w:numId="15">
    <w:abstractNumId w:val="19"/>
  </w:num>
  <w:num w:numId="16">
    <w:abstractNumId w:val="13"/>
  </w:num>
  <w:num w:numId="17">
    <w:abstractNumId w:val="20"/>
  </w:num>
  <w:num w:numId="18">
    <w:abstractNumId w:val="3"/>
  </w:num>
  <w:num w:numId="19">
    <w:abstractNumId w:val="2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3"/>
  </w:num>
  <w:num w:numId="26">
    <w:abstractNumId w:val="4"/>
  </w:num>
  <w:num w:numId="27">
    <w:abstractNumId w:val="10"/>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ecbdc00d-25e7-4268-92b1-5ea5d61570c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0&quot; text=&quot;STATEMENT OF THE COUNCIL'S REASONS&quot; /&gt;_x000d__x000a_    &lt;/basicdatatype&gt;_x000d__x000a_  &lt;/metadata&gt;_x000d__x000a_  &lt;metadata key=&quot;md_HeadingText&quot;&gt;_x000d__x000a_    &lt;headingtext text=&quot;STATEMENT OF THE COUNCIL'S REASONS&quot;&gt;_x000d__x000a_      &lt;formattedtext&gt;_x000d__x000a_        &lt;xaml text=&quot;STATEMENT OF THE COUNCIL'S REASONS&quot;&gt;&amp;lt;FlowDocument xmlns=&quot;http://schemas.microsoft.com/winfx/2006/xaml/presentation&quot;&amp;gt;&amp;lt;Paragraph&amp;gt;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17&lt;/text&gt;_x000d__x000a_  &lt;/metadata&gt;_x000d__x000a_  &lt;metadata key=&quot;md_Prefix&quot;&gt;_x000d__x000a_    &lt;text&gt;&lt;/text&gt;_x000d__x000a_  &lt;/metadata&gt;_x000d__x000a_  &lt;metadata key=&quot;md_DocumentNumber&quot;&gt;_x000d__x000a_    &lt;text&gt;5581&lt;/text&gt;_x000d__x000a_  &lt;/metadata&gt;_x000d__x000a_  &lt;metadata key=&quot;md_YearDocumentNumber&quot;&gt;_x000d__x000a_    &lt;text&gt;2016&lt;/text&gt;_x000d__x000a_  &lt;/metadata&gt;_x000d__x000a_  &lt;metadata key=&quot;md_Suffixes&quot;&gt;_x000d__x000a_    &lt;text&gt;REV 1 ADD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7&lt;/text&gt;_x000d__x000a_      &lt;text&gt;DATAPROTECT 6&lt;/text&gt;_x000d__x000a_      &lt;text&gt;CYBER 4&lt;/text&gt;_x000d__x000a_      &lt;text&gt;MI 37&lt;/text&gt;_x000d__x000a_      &lt;text&gt;CSC 15 &lt;/text&gt;_x000d__x000a_      &lt;text&gt;CODEC 84&lt;/text&gt;_x000d__x000a_      &lt;text&gt;PARLNAT 154&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27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of the Council at first reading with a view to the adoption of a DIRECTIVE OF THE EUROPEAN PARLIAMENT AND OF THE COUNCIL concerning measures for a high common level of security of network and information systems across the Union  &amp;#8211; Statement of the Council's reasons &amp;#8211; Adopted by the Council on 17 May 2016&quot;&gt;&amp;lt;FlowDocument FontFamily=&quot;Arial Unicode MS&quot; FontSize=&quot;12&quot; PageWidth=&quot;329&quot; PagePadding=&quot;0,0,0,0&quot; AllowDrop=&quot;False&quot; xmlns=&quot;http://schemas.microsoft.com/winfx/2006/xaml/presentation&quot; xmlns:x=&quot;http://schemas.microsoft.com/winfx/2006/xaml&quot;&amp;gt;&amp;lt;Paragraph xml:space=&quot;preserve&quot;&amp;gt;Position of the Council at first reading with a view to the adoption of a DIRECTIVE OF THE EUROPEAN PARLIAMENT AND OF THE COUNCIL concerning measures for a high common level of security of network and information systems across the Union &amp;lt;/Paragraph&amp;gt;&amp;lt;Paragraph&amp;gt;&amp;#8211; Statement of the Council's reasons&amp;lt;LineBreak /&amp;gt;&amp;#8211; Adopted by the Council on &amp;lt;Run xml:lang=&quot;fr-be&quot;&amp;gt;17 May 2016&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psc&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7.7&quot; technicalblockguid=&quot;cd994c83-e1e2-4892-ac41-9af33c406e8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59&quot; text=&quot;DRAFT STATEMENT OF THE COUNCIL'S REASONS&quot; /&gt;_x000d__x000a_    &lt;/basicdatatype&gt;_x000d__x000a_  &lt;/metadata&gt;_x000d__x000a_  &lt;metadata key=&quot;md_HeadingText&quot;&gt;_x000d__x000a_    &lt;headingtext text=&quot;DRAFT STATEMENT OF THE COUNCIL'S REASONS&quot;&gt;_x000d__x000a_      &lt;formattedtext&gt;_x000d__x000a_        &lt;xaml text=&quot;DRAFT STATEMENT OF THE COUNCIL'S REASONS&quot;&gt;&amp;lt;FlowDocument xmlns=&quot;http://schemas.microsoft.com/winfx/2006/xaml/presentation&quot;&amp;gt;&amp;lt;Paragraph&amp;gt;DRAFT STATEMENT OF THE COUNCIL'S REASONS&amp;lt;/Paragraph&amp;gt;&amp;lt;/FlowDocument&amp;gt;&lt;/xaml&gt;_x000d__x000a_      &lt;/formattedtext&gt;_x000d__x000a_    &lt;/headingtext&gt;_x000d__x000a_  &lt;/metadata&gt;_x000d__x000a_  &lt;metadata key=&quot;md_DocumentGroup&quot;&gt;_x000d__x000a_    &lt;basicdatatype&gt;_x000d__x000a_      &lt;document_group key=&quot;dg_10&quot; text=&quot;Statemen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4-21&lt;/text&gt;_x000d__x000a_  &lt;/metadata&gt;_x000d__x000a_  &lt;metadata key=&quot;md_Prefix&quot;&gt;_x000d__x000a_    &lt;text&gt;&lt;/text&gt;_x000d__x000a_  &lt;/metadata&gt;_x000d__x000a_  &lt;metadata key=&quot;md_DocumentNumber&quot;&gt;_x000d__x000a_    &lt;text&gt;5581&lt;/text&gt;_x000d__x000a_  &lt;/metadata&gt;_x000d__x000a_  &lt;metadata key=&quot;md_YearDocumentNumber&quot;&gt;_x000d__x000a_    &lt;text&gt;2016&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ELECOM 7&lt;/text&gt;_x000d__x000a_      &lt;text&gt;DATAPROTECT 6&lt;/text&gt;_x000d__x000a_      &lt;text&gt;CYBER 4&lt;/text&gt;_x000d__x000a_      &lt;text&gt;MI 37&lt;/text&gt;_x000d__x000a_      &lt;text&gt;CSC 15&lt;/text&gt;_x000d__x000a_      &lt;text&gt;CODEC 8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7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concerning measures for a high common level of security of network and information systems across the Union  &amp;#8211; Draft Statement of the Council's reasons&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Arial Unicode MS&quot;&amp;gt;Position of the Council at first reading with a view to the adoption of a&amp;lt;/Run&amp;gt;&amp;lt;Run FontFamily=&quot;Arial Unicode MS&quot; xml:lang=&quot;en-gb&quot; xml:space=&quot;preserve&quot;&amp;gt; DIRECTIVE OF THE EUROPEAN PARLIAMENT AND OF THE COUNCIL concerning measures for a high common level of security of network and information systems across the Union &amp;lt;/Run&amp;gt;&amp;lt;/Paragraph&amp;gt;&amp;lt;Paragraph&amp;gt;&amp;#8211; Draft Statement of the Council's reasons&amp;lt;/Paragraph&amp;gt;&amp;lt;/FlowDocument&amp;gt;&lt;/xaml&gt;_x000d__x000a_  &lt;/metadata&gt;_x000d__x000a_  &lt;metadata key=&quot;md_SubjectFootnote&quot; /&gt;_x000d__x000a_  &lt;metadata key=&quot;md_DG&quot;&gt;_x000d__x000a_    &lt;text&gt;DGE 2B&lt;/text&gt;_x000d__x000a_  &lt;/metadata&gt;_x000d__x000a_  &lt;metadata key=&quot;md_Initials&quot;&gt;_x000d__x000a_    &lt;text&gt;KM/ek&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200453"/>
    <w:rsid w:val="00023A03"/>
    <w:rsid w:val="00096B04"/>
    <w:rsid w:val="000D049C"/>
    <w:rsid w:val="00105AEE"/>
    <w:rsid w:val="00130CD9"/>
    <w:rsid w:val="001721FA"/>
    <w:rsid w:val="00182F2F"/>
    <w:rsid w:val="001C0AEC"/>
    <w:rsid w:val="001C1A89"/>
    <w:rsid w:val="001C5E5F"/>
    <w:rsid w:val="001D22BC"/>
    <w:rsid w:val="00200453"/>
    <w:rsid w:val="00210697"/>
    <w:rsid w:val="00234459"/>
    <w:rsid w:val="002345D5"/>
    <w:rsid w:val="0023622C"/>
    <w:rsid w:val="00261988"/>
    <w:rsid w:val="00356F5F"/>
    <w:rsid w:val="003613DB"/>
    <w:rsid w:val="00364DB6"/>
    <w:rsid w:val="00390B30"/>
    <w:rsid w:val="00414945"/>
    <w:rsid w:val="00436D67"/>
    <w:rsid w:val="00443E73"/>
    <w:rsid w:val="004749D0"/>
    <w:rsid w:val="004A5CE6"/>
    <w:rsid w:val="005E42D0"/>
    <w:rsid w:val="00625999"/>
    <w:rsid w:val="006351BB"/>
    <w:rsid w:val="006563FD"/>
    <w:rsid w:val="00675785"/>
    <w:rsid w:val="006A2C14"/>
    <w:rsid w:val="007161AD"/>
    <w:rsid w:val="007336A7"/>
    <w:rsid w:val="00780852"/>
    <w:rsid w:val="00785492"/>
    <w:rsid w:val="00787E56"/>
    <w:rsid w:val="007B336B"/>
    <w:rsid w:val="007C2050"/>
    <w:rsid w:val="007E4648"/>
    <w:rsid w:val="00815C54"/>
    <w:rsid w:val="00857E3C"/>
    <w:rsid w:val="0088328F"/>
    <w:rsid w:val="008F504F"/>
    <w:rsid w:val="00901450"/>
    <w:rsid w:val="009B07D1"/>
    <w:rsid w:val="009C3001"/>
    <w:rsid w:val="009E7427"/>
    <w:rsid w:val="00A067AA"/>
    <w:rsid w:val="00A27063"/>
    <w:rsid w:val="00A30641"/>
    <w:rsid w:val="00A36255"/>
    <w:rsid w:val="00A71804"/>
    <w:rsid w:val="00A93207"/>
    <w:rsid w:val="00AC4836"/>
    <w:rsid w:val="00AF26CC"/>
    <w:rsid w:val="00AF3113"/>
    <w:rsid w:val="00AF77CE"/>
    <w:rsid w:val="00B51097"/>
    <w:rsid w:val="00B54F86"/>
    <w:rsid w:val="00BC06D1"/>
    <w:rsid w:val="00BE6E3D"/>
    <w:rsid w:val="00C3218F"/>
    <w:rsid w:val="00C65538"/>
    <w:rsid w:val="00C76F19"/>
    <w:rsid w:val="00CE3DD7"/>
    <w:rsid w:val="00D13316"/>
    <w:rsid w:val="00DA643E"/>
    <w:rsid w:val="00DC5EF5"/>
    <w:rsid w:val="00DE0C5E"/>
    <w:rsid w:val="00DF42F3"/>
    <w:rsid w:val="00E17A1E"/>
    <w:rsid w:val="00E271AC"/>
    <w:rsid w:val="00E316D4"/>
    <w:rsid w:val="00E33D7C"/>
    <w:rsid w:val="00E46459"/>
    <w:rsid w:val="00E5767B"/>
    <w:rsid w:val="00E6553B"/>
    <w:rsid w:val="00E80814"/>
    <w:rsid w:val="00E969D0"/>
    <w:rsid w:val="00F21812"/>
    <w:rsid w:val="00F718F8"/>
    <w:rsid w:val="00F86DEA"/>
    <w:rsid w:val="00FC4670"/>
    <w:rsid w:val="00FE1C1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ootnote text,fn,Schriftart: 9 pt,Schriftart: 10 pt,Schriftart: 8 pt,WB-Fußnotentext,o,Podrozdział,Schriftart: 8 p,Char,Tekst przypisu,WB-Fuﬂnotentext,Voetnoottekst Char,Voetnoottekst Char1,Footnotes,f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Ref,no..."/>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5E42D0"/>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200453"/>
    <w:pPr>
      <w:spacing w:before="0" w:after="440"/>
      <w:ind w:left="-1134" w:right="-1134"/>
    </w:pPr>
    <w:rPr>
      <w:sz w:val="2"/>
    </w:rPr>
  </w:style>
  <w:style w:type="character" w:customStyle="1" w:styleId="TechnicalBlockChar">
    <w:name w:val="Technical Block Char"/>
    <w:basedOn w:val="DefaultParagraphFont"/>
    <w:link w:val="TechnicalBlock"/>
    <w:rsid w:val="00200453"/>
    <w:rPr>
      <w:sz w:val="24"/>
      <w:szCs w:val="24"/>
      <w:lang w:val="en-GB" w:eastAsia="en-US"/>
    </w:rPr>
  </w:style>
  <w:style w:type="character" w:customStyle="1" w:styleId="HeaderCouncilLargeChar">
    <w:name w:val="Header Council Large Char"/>
    <w:basedOn w:val="TechnicalBlockChar"/>
    <w:link w:val="HeaderCouncilLarge"/>
    <w:rsid w:val="00200453"/>
    <w:rPr>
      <w:sz w:val="2"/>
      <w:szCs w:val="24"/>
      <w:lang w:val="en-GB" w:eastAsia="en-US"/>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link w:val="FootnoteText"/>
    <w:rsid w:val="001C5E5F"/>
    <w:rPr>
      <w:sz w:val="24"/>
      <w:lang w:val="en-GB" w:eastAsia="en-US"/>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aliases w:val="Fußnotentextf,Footnote text,fn,Schriftart: 9 pt,Schriftart: 10 pt,Schriftart: 8 pt,WB-Fußnotentext,o,Podrozdział,Schriftart: 8 p,Char,Tekst przypisu,WB-Fuﬂnotentext,Voetnoottekst Char,Voetnoottekst Char1,Footnotes,f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Ref,no..."/>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5E42D0"/>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200453"/>
    <w:pPr>
      <w:spacing w:before="0" w:after="440"/>
      <w:ind w:left="-1134" w:right="-1134"/>
    </w:pPr>
    <w:rPr>
      <w:sz w:val="2"/>
    </w:rPr>
  </w:style>
  <w:style w:type="character" w:customStyle="1" w:styleId="TechnicalBlockChar">
    <w:name w:val="Technical Block Char"/>
    <w:basedOn w:val="DefaultParagraphFont"/>
    <w:link w:val="TechnicalBlock"/>
    <w:rsid w:val="00200453"/>
    <w:rPr>
      <w:sz w:val="24"/>
      <w:szCs w:val="24"/>
      <w:lang w:val="en-GB" w:eastAsia="en-US"/>
    </w:rPr>
  </w:style>
  <w:style w:type="character" w:customStyle="1" w:styleId="HeaderCouncilLargeChar">
    <w:name w:val="Header Council Large Char"/>
    <w:basedOn w:val="TechnicalBlockChar"/>
    <w:link w:val="HeaderCouncilLarge"/>
    <w:rsid w:val="00200453"/>
    <w:rPr>
      <w:sz w:val="2"/>
      <w:szCs w:val="24"/>
      <w:lang w:val="en-GB" w:eastAsia="en-US"/>
    </w:rPr>
  </w:style>
  <w:style w:type="paragraph" w:customStyle="1" w:styleId="FooterText">
    <w:name w:val="Footer Text"/>
    <w:basedOn w:val="Normal"/>
    <w:rsid w:val="00200453"/>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Tekst przypisu Char,WB-Fuﬂnotentext Char"/>
    <w:basedOn w:val="DefaultParagraphFont"/>
    <w:link w:val="FootnoteText"/>
    <w:rsid w:val="001C5E5F"/>
    <w:rPr>
      <w:sz w:val="24"/>
      <w:lang w:val="en-GB" w:eastAsia="en-US"/>
    </w:rPr>
  </w:style>
  <w:style w:type="paragraph" w:styleId="BalloonText">
    <w:name w:val="Balloon Text"/>
    <w:basedOn w:val="Normal"/>
    <w:link w:val="BalloonTextChar"/>
    <w:uiPriority w:val="99"/>
    <w:semiHidden/>
    <w:unhideWhenUsed/>
    <w:rsid w:val="00DA64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43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Corchero Purificacion</dc:creator>
  <cp:lastModifiedBy>SANCHEZ Corchero Purificacion</cp:lastModifiedBy>
  <cp:revision>3</cp:revision>
  <cp:lastPrinted>2016-05-17T15:19:00Z</cp:lastPrinted>
  <dcterms:created xsi:type="dcterms:W3CDTF">2016-05-17T15:19:00Z</dcterms:created>
  <dcterms:modified xsi:type="dcterms:W3CDTF">2016-05-17T15:19:00Z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3.7.7, Build 20151207</vt:lpwstr>
  </property>
  <property fmtid="{D5CDD505-2E9C-101B-9397-08002B2CF9AE}" pid="5" name="SkipControlLengthPage">
    <vt:lpwstr/>
  </property>
</Properties>
</file>