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3B" w:rsidRPr="005E76B5" w:rsidRDefault="005E76B5" w:rsidP="005E76B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3b609bc-ef41-4fc2-9e33-de7c4b49dbf4_1" style="width:568.5pt;height:480pt">
            <v:imagedata r:id="rId9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D00C31" w:rsidRDefault="00D00C31" w:rsidP="00D00C31">
      <w:pPr>
        <w:pStyle w:val="EntText"/>
        <w:spacing w:before="480"/>
      </w:pPr>
      <w:r>
        <w:t>Delegations will find attached the above mentioned opinion.</w:t>
      </w:r>
    </w:p>
    <w:p w:rsidR="00D00C31" w:rsidRDefault="00D00C31" w:rsidP="00D00C31">
      <w:pPr>
        <w:pStyle w:val="EntText"/>
        <w:spacing w:before="480"/>
        <w:jc w:val="center"/>
      </w:pPr>
      <w:r w:rsidRPr="008457BA">
        <w:rPr>
          <w:rFonts w:asciiTheme="majorBidi" w:hAnsiTheme="majorBidi" w:cstheme="majorBidi"/>
        </w:rPr>
        <w:t>___________________</w:t>
      </w:r>
    </w:p>
    <w:p w:rsidR="00D00C31" w:rsidRDefault="00D00C31" w:rsidP="00D00C31">
      <w:pPr>
        <w:pStyle w:val="EntText"/>
      </w:pPr>
    </w:p>
    <w:p w:rsidR="00D00C31" w:rsidRDefault="00D00C31" w:rsidP="00D00C31">
      <w:pPr>
        <w:pStyle w:val="EntText"/>
        <w:spacing w:before="480"/>
        <w:sectPr w:rsidR="00D00C31" w:rsidSect="005E76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7" w:h="16840" w:code="9"/>
          <w:pgMar w:top="624" w:right="1134" w:bottom="1134" w:left="1134" w:header="567" w:footer="567" w:gutter="0"/>
          <w:pgNumType w:start="0"/>
          <w:cols w:space="720"/>
          <w:titlePg/>
          <w:docGrid w:linePitch="326"/>
        </w:sectPr>
      </w:pPr>
    </w:p>
    <w:p w:rsidR="0042323B" w:rsidRDefault="0042323B" w:rsidP="0042323B"/>
    <w:p w:rsidR="005B12EC" w:rsidRDefault="005B12EC" w:rsidP="0042323B">
      <w:r>
        <w:rPr>
          <w:noProof/>
          <w:lang w:val="es-ES" w:eastAsia="es-ES"/>
        </w:rPr>
        <w:drawing>
          <wp:inline distT="0" distB="0" distL="0" distR="0" wp14:anchorId="77008276">
            <wp:extent cx="6376670" cy="7919085"/>
            <wp:effectExtent l="0" t="0" r="508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791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5A4" w:rsidRDefault="005B12EC" w:rsidP="005B12EC">
      <w:r>
        <w:br w:type="page"/>
      </w:r>
      <w:r w:rsidR="0042323B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0" allowOverlap="1" wp14:anchorId="066FA5E1" wp14:editId="043B4DE8">
            <wp:simplePos x="0" y="0"/>
            <wp:positionH relativeFrom="column">
              <wp:posOffset>-19050</wp:posOffset>
            </wp:positionH>
            <wp:positionV relativeFrom="paragraph">
              <wp:posOffset>121920</wp:posOffset>
            </wp:positionV>
            <wp:extent cx="6176010" cy="8591550"/>
            <wp:effectExtent l="0" t="0" r="0" b="0"/>
            <wp:wrapNone/>
            <wp:docPr id="58" name="Picture 58" descr="Opinia_128_PL_P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Opinia_128_PL_Page_1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859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23B">
        <w:rPr>
          <w:noProof/>
          <w:lang w:val="es-ES" w:eastAsia="es-ES"/>
        </w:rPr>
        <w:drawing>
          <wp:inline distT="0" distB="0" distL="0" distR="0" wp14:anchorId="15048DF2" wp14:editId="6AC629F2">
            <wp:extent cx="6126480" cy="8648700"/>
            <wp:effectExtent l="0" t="0" r="0" b="0"/>
            <wp:docPr id="1" name="Picture 1" descr="Opinia_128_PL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nia_128_PL_Page_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00" w:rsidRPr="001D6618" w:rsidRDefault="003B3650" w:rsidP="005B12EC">
      <w:pPr>
        <w:pStyle w:val="Heading2"/>
        <w:keepNext w:val="0"/>
        <w:numPr>
          <w:ilvl w:val="0"/>
          <w:numId w:val="0"/>
        </w:numPr>
        <w:ind w:left="851"/>
        <w:rPr>
          <w:i/>
          <w:lang w:eastAsia="pl-PL"/>
        </w:rPr>
      </w:pPr>
      <w:r>
        <w:br w:type="page"/>
      </w:r>
      <w:r>
        <w:rPr>
          <w:noProof/>
          <w:lang w:val="es-ES" w:eastAsia="es-ES"/>
        </w:rPr>
        <w:drawing>
          <wp:inline distT="0" distB="0" distL="0" distR="0">
            <wp:extent cx="6120765" cy="8629898"/>
            <wp:effectExtent l="0" t="0" r="0" b="0"/>
            <wp:docPr id="2" name="Picture 2" descr="Opinia_128_PL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nia_128_PL_Page_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600">
        <w:br w:type="page"/>
      </w:r>
      <w:r w:rsidR="000D7600" w:rsidRPr="001D6618">
        <w:rPr>
          <w:i/>
          <w:lang w:eastAsia="pl-PL"/>
        </w:rPr>
        <w:t>Courtesy translation</w:t>
      </w:r>
    </w:p>
    <w:p w:rsidR="000D7600" w:rsidRPr="001D6618" w:rsidRDefault="000D7600" w:rsidP="000D7600">
      <w:pPr>
        <w:widowControl/>
        <w:tabs>
          <w:tab w:val="left" w:pos="5103"/>
        </w:tabs>
        <w:ind w:right="567"/>
        <w:rPr>
          <w:lang w:eastAsia="pl-PL"/>
        </w:rPr>
      </w:pPr>
    </w:p>
    <w:p w:rsidR="000D7600" w:rsidRPr="001D6618" w:rsidRDefault="000D7600" w:rsidP="000D7600">
      <w:pPr>
        <w:widowControl/>
        <w:tabs>
          <w:tab w:val="left" w:pos="5103"/>
        </w:tabs>
        <w:ind w:right="567"/>
        <w:rPr>
          <w:lang w:eastAsia="pl-PL"/>
        </w:rPr>
      </w:pPr>
    </w:p>
    <w:p w:rsidR="000D7600" w:rsidRPr="001D6618" w:rsidRDefault="000D7600" w:rsidP="000D7600">
      <w:pPr>
        <w:widowControl/>
        <w:ind w:firstLine="567"/>
        <w:jc w:val="both"/>
        <w:rPr>
          <w:lang w:eastAsia="pl-PL"/>
        </w:rPr>
      </w:pPr>
    </w:p>
    <w:p w:rsidR="000D7600" w:rsidRDefault="000D7600" w:rsidP="000D7600">
      <w:pPr>
        <w:widowControl/>
        <w:jc w:val="both"/>
        <w:rPr>
          <w:rFonts w:eastAsia="MS Mincho"/>
          <w:color w:val="000000"/>
          <w:lang w:eastAsia="pl-PL"/>
        </w:rPr>
      </w:pPr>
      <w:r w:rsidRPr="001D6618">
        <w:rPr>
          <w:rFonts w:eastAsia="MS Mincho"/>
          <w:color w:val="000000"/>
          <w:lang w:eastAsia="pl-PL"/>
        </w:rPr>
        <w:t>I would like to inform that the Senate, at the 16</w:t>
      </w:r>
      <w:r w:rsidRPr="001D6618">
        <w:rPr>
          <w:rFonts w:eastAsia="MS Mincho"/>
          <w:color w:val="000000"/>
          <w:vertAlign w:val="superscript"/>
          <w:lang w:eastAsia="pl-PL"/>
        </w:rPr>
        <w:t>th</w:t>
      </w:r>
      <w:r w:rsidRPr="001D6618">
        <w:rPr>
          <w:rFonts w:eastAsia="MS Mincho"/>
          <w:color w:val="000000"/>
          <w:lang w:eastAsia="pl-PL"/>
        </w:rPr>
        <w:t xml:space="preserve"> session held on 29 April 2016, examined the proposal for a Directive of the European Parliament and of the Council amending Directive 96/71/EC of the European Parliament and of the Council of 16 December 1996 concerning the posting of workers in the framework of the provision of services </w:t>
      </w:r>
      <w:r w:rsidRPr="001D6618">
        <w:rPr>
          <w:rFonts w:ascii="Courier New" w:eastAsia="MS Mincho" w:hAnsi="Courier New" w:cs="Courier New"/>
          <w:color w:val="000000"/>
          <w:lang w:eastAsia="pl-PL"/>
        </w:rPr>
        <w:t>-</w:t>
      </w:r>
      <w:r w:rsidRPr="001D6618">
        <w:rPr>
          <w:rFonts w:eastAsia="MS Mincho"/>
          <w:color w:val="000000"/>
          <w:lang w:eastAsia="pl-PL"/>
        </w:rPr>
        <w:t xml:space="preserve"> COM(2016)128, and decided that the proposal did not comply with the subsidiarity principle, referred to in Article 5 para. 3 of the Treaty on European Union. </w:t>
      </w:r>
    </w:p>
    <w:p w:rsidR="000D7600" w:rsidRPr="001D6618" w:rsidRDefault="000D7600" w:rsidP="000D7600">
      <w:pPr>
        <w:widowControl/>
        <w:jc w:val="both"/>
        <w:rPr>
          <w:rFonts w:eastAsia="MS Mincho"/>
          <w:color w:val="000000"/>
          <w:lang w:eastAsia="pl-PL"/>
        </w:rPr>
      </w:pPr>
    </w:p>
    <w:p w:rsidR="000D7600" w:rsidRPr="001D6618" w:rsidRDefault="000D7600" w:rsidP="000D7600">
      <w:pPr>
        <w:widowControl/>
        <w:autoSpaceDE w:val="0"/>
        <w:autoSpaceDN w:val="0"/>
        <w:adjustRightInd w:val="0"/>
        <w:jc w:val="both"/>
        <w:rPr>
          <w:rFonts w:eastAsia="MS Mincho"/>
          <w:color w:val="000000"/>
          <w:lang w:eastAsia="pl-PL"/>
        </w:rPr>
      </w:pPr>
      <w:r w:rsidRPr="001D6618">
        <w:rPr>
          <w:rFonts w:eastAsia="MS Mincho"/>
          <w:color w:val="000000"/>
          <w:lang w:eastAsia="pl-PL"/>
        </w:rPr>
        <w:t>Pursuant to the procedure provided for in Protocol No. 2 of the Treaty on European Union and the Treaty on the Functioning of the European Union as regards the application of the principles of subsidiarity and proportionality, I hereby submit the Senate’s reasoned opinion stating that the above proposal does not comply with the principle of subsidiarity.</w:t>
      </w:r>
    </w:p>
    <w:p w:rsidR="000D7600" w:rsidRPr="001D6618" w:rsidRDefault="000D7600" w:rsidP="000D7600">
      <w:pPr>
        <w:widowControl/>
        <w:rPr>
          <w:lang w:val="en-US" w:eastAsia="pl-PL"/>
        </w:rPr>
      </w:pPr>
    </w:p>
    <w:p w:rsidR="000D7600" w:rsidRPr="001D6618" w:rsidRDefault="000D7600" w:rsidP="000D7600">
      <w:pPr>
        <w:widowControl/>
        <w:rPr>
          <w:lang w:val="en-US" w:eastAsia="pl-PL"/>
        </w:rPr>
      </w:pPr>
    </w:p>
    <w:p w:rsidR="000D7600" w:rsidRPr="001D6618" w:rsidRDefault="000D7600" w:rsidP="000D7600">
      <w:pPr>
        <w:widowControl/>
        <w:rPr>
          <w:lang w:val="en-US" w:eastAsia="pl-PL"/>
        </w:rPr>
      </w:pPr>
    </w:p>
    <w:p w:rsidR="000D7600" w:rsidRPr="001D6618" w:rsidRDefault="000D7600" w:rsidP="000D7600">
      <w:pPr>
        <w:widowControl/>
        <w:rPr>
          <w:lang w:val="en-US" w:eastAsia="pl-PL"/>
        </w:rPr>
      </w:pPr>
      <w:r w:rsidRPr="001D6618">
        <w:rPr>
          <w:lang w:val="en-US" w:eastAsia="pl-PL"/>
        </w:rPr>
        <w:tab/>
      </w:r>
      <w:r w:rsidRPr="001D6618">
        <w:rPr>
          <w:lang w:val="en-US" w:eastAsia="pl-PL"/>
        </w:rPr>
        <w:tab/>
      </w:r>
      <w:r w:rsidRPr="001D6618">
        <w:rPr>
          <w:lang w:val="en-US" w:eastAsia="pl-PL"/>
        </w:rPr>
        <w:tab/>
      </w:r>
      <w:r w:rsidRPr="001D6618">
        <w:rPr>
          <w:lang w:val="en-US" w:eastAsia="pl-PL"/>
        </w:rPr>
        <w:tab/>
      </w:r>
      <w:r w:rsidRPr="001D6618">
        <w:rPr>
          <w:lang w:val="en-US" w:eastAsia="pl-PL"/>
        </w:rPr>
        <w:tab/>
      </w:r>
      <w:r w:rsidRPr="001D6618">
        <w:rPr>
          <w:lang w:val="en-US" w:eastAsia="pl-PL"/>
        </w:rPr>
        <w:tab/>
      </w:r>
      <w:r w:rsidRPr="001D6618">
        <w:rPr>
          <w:lang w:val="en-US" w:eastAsia="pl-PL"/>
        </w:rPr>
        <w:tab/>
      </w:r>
      <w:r w:rsidRPr="001D6618">
        <w:rPr>
          <w:lang w:val="en-US" w:eastAsia="pl-PL"/>
        </w:rPr>
        <w:tab/>
        <w:t>/-/ Stanisław Karczewski</w:t>
      </w:r>
    </w:p>
    <w:p w:rsidR="000D7600" w:rsidRDefault="000D7600" w:rsidP="000D7600">
      <w:pPr>
        <w:spacing w:line="240" w:lineRule="auto"/>
        <w:rPr>
          <w:szCs w:val="24"/>
        </w:rPr>
      </w:pPr>
    </w:p>
    <w:p w:rsidR="000D7600" w:rsidRPr="00E65903" w:rsidRDefault="000D7600" w:rsidP="000D7600">
      <w:pPr>
        <w:pStyle w:val="Titreobjet"/>
        <w:spacing w:before="0" w:after="0"/>
        <w:jc w:val="right"/>
        <w:rPr>
          <w:i/>
          <w:lang w:val="en-US"/>
        </w:rPr>
      </w:pPr>
      <w:r w:rsidRPr="001D6618">
        <w:rPr>
          <w:lang w:val="en-GB"/>
        </w:rPr>
        <w:br w:type="page"/>
      </w:r>
      <w:r>
        <w:rPr>
          <w:i/>
          <w:lang w:val="en-GB"/>
        </w:rPr>
        <w:t>Courtesy translation</w:t>
      </w:r>
    </w:p>
    <w:p w:rsidR="000D7600" w:rsidRPr="00E65903" w:rsidRDefault="000D7600" w:rsidP="000D7600">
      <w:pPr>
        <w:spacing w:line="240" w:lineRule="auto"/>
        <w:rPr>
          <w:lang w:val="en-US"/>
        </w:rPr>
      </w:pPr>
    </w:p>
    <w:p w:rsidR="000D7600" w:rsidRPr="00E65903" w:rsidRDefault="000D7600" w:rsidP="000D7600">
      <w:pPr>
        <w:pStyle w:val="Titreobjet"/>
        <w:spacing w:before="0" w:after="0"/>
        <w:rPr>
          <w:lang w:val="en-US"/>
        </w:rPr>
      </w:pPr>
      <w:r w:rsidRPr="003A120A">
        <w:rPr>
          <w:lang w:val="en-GB"/>
        </w:rPr>
        <w:t>OPINION</w:t>
      </w:r>
    </w:p>
    <w:p w:rsidR="000D7600" w:rsidRPr="00E65903" w:rsidRDefault="000D7600" w:rsidP="000D7600">
      <w:pPr>
        <w:spacing w:line="240" w:lineRule="auto"/>
        <w:jc w:val="center"/>
        <w:rPr>
          <w:lang w:val="en-US"/>
        </w:rPr>
      </w:pPr>
      <w:r w:rsidRPr="003A120A">
        <w:t>OF THE SENATE OF THE REPUBLIC OF POLAND</w:t>
      </w:r>
    </w:p>
    <w:p w:rsidR="000D7600" w:rsidRPr="00E65903" w:rsidRDefault="000D7600" w:rsidP="000D7600">
      <w:pPr>
        <w:spacing w:line="240" w:lineRule="auto"/>
        <w:jc w:val="center"/>
        <w:rPr>
          <w:lang w:val="en-US"/>
        </w:rPr>
      </w:pPr>
      <w:r w:rsidRPr="003A120A">
        <w:t xml:space="preserve">of </w:t>
      </w:r>
      <w:r>
        <w:t>29 April, 2016</w:t>
      </w:r>
    </w:p>
    <w:p w:rsidR="000D7600" w:rsidRPr="00E65903" w:rsidRDefault="000D7600" w:rsidP="000D7600">
      <w:pPr>
        <w:spacing w:line="240" w:lineRule="auto"/>
        <w:jc w:val="center"/>
        <w:rPr>
          <w:lang w:val="en-US"/>
        </w:rPr>
      </w:pPr>
    </w:p>
    <w:p w:rsidR="000D7600" w:rsidRPr="00E65903" w:rsidRDefault="000D7600" w:rsidP="000D7600">
      <w:pPr>
        <w:spacing w:line="240" w:lineRule="auto"/>
        <w:jc w:val="center"/>
        <w:rPr>
          <w:b/>
          <w:lang w:val="en-US"/>
        </w:rPr>
      </w:pPr>
    </w:p>
    <w:p w:rsidR="000D7600" w:rsidRPr="00E65903" w:rsidRDefault="000D7600" w:rsidP="000D7600">
      <w:pPr>
        <w:spacing w:line="240" w:lineRule="auto"/>
        <w:jc w:val="center"/>
        <w:rPr>
          <w:b/>
          <w:lang w:val="en-US"/>
        </w:rPr>
      </w:pPr>
      <w:r w:rsidRPr="003A120A">
        <w:rPr>
          <w:b/>
        </w:rPr>
        <w:t>on the incompatibility</w:t>
      </w:r>
      <w:r>
        <w:rPr>
          <w:b/>
        </w:rPr>
        <w:t xml:space="preserve"> </w:t>
      </w:r>
      <w:r w:rsidRPr="003A120A">
        <w:rPr>
          <w:b/>
        </w:rPr>
        <w:t>with the principle of subsidiarity</w:t>
      </w:r>
    </w:p>
    <w:p w:rsidR="000D7600" w:rsidRPr="00E65903" w:rsidRDefault="000D7600" w:rsidP="000D7600">
      <w:pPr>
        <w:spacing w:line="240" w:lineRule="auto"/>
        <w:jc w:val="center"/>
        <w:rPr>
          <w:lang w:val="en-US"/>
        </w:rPr>
      </w:pPr>
      <w:r w:rsidRPr="003A120A">
        <w:rPr>
          <w:b/>
        </w:rPr>
        <w:t>of the Proposal for a Directive of the European Parliament and of the Council amending Directive 96/71/EC of the European Parliament and of the Council of 16 December 1996 concerning the posting of workers in the framework of the provision of services</w:t>
      </w:r>
    </w:p>
    <w:p w:rsidR="000D7600" w:rsidRPr="00E65903" w:rsidRDefault="000D7600" w:rsidP="000D7600">
      <w:pPr>
        <w:pStyle w:val="Titreobjet"/>
        <w:spacing w:before="0" w:after="0"/>
        <w:rPr>
          <w:lang w:val="en-US"/>
        </w:rPr>
      </w:pPr>
      <w:r w:rsidRPr="003A120A">
        <w:rPr>
          <w:lang w:val="en-GB"/>
        </w:rPr>
        <w:t>COM(2016)128</w:t>
      </w:r>
    </w:p>
    <w:p w:rsidR="000D7600" w:rsidRPr="00E65903" w:rsidRDefault="000D7600" w:rsidP="000D7600">
      <w:pPr>
        <w:rPr>
          <w:lang w:val="en-US"/>
        </w:rPr>
      </w:pPr>
    </w:p>
    <w:p w:rsidR="000D7600" w:rsidRPr="00E65903" w:rsidRDefault="000D7600" w:rsidP="000D7600">
      <w:pPr>
        <w:rPr>
          <w:lang w:val="en-US"/>
        </w:rPr>
      </w:pPr>
    </w:p>
    <w:p w:rsidR="000D7600" w:rsidRPr="00E65903" w:rsidRDefault="000D7600" w:rsidP="000D7600">
      <w:pPr>
        <w:spacing w:line="280" w:lineRule="auto"/>
        <w:jc w:val="both"/>
        <w:rPr>
          <w:lang w:val="en-US"/>
        </w:rPr>
      </w:pPr>
      <w:r w:rsidRPr="003A120A">
        <w:t xml:space="preserve">Having considered the Proposal for a Directive of the European Parliament and of the Council amending Directive 96/71/EC of the European Parliament and of the Council of 16 December 1996 concerning the posting of workers in the framework of the provision of services (COM(2016)128), the Senate </w:t>
      </w:r>
      <w:r>
        <w:t>finds</w:t>
      </w:r>
      <w:r w:rsidRPr="003A120A">
        <w:t xml:space="preserve"> that the proposal is incompatible with the principle of subsidiarity as referred to in Article 5(3) of the Treaty on European Union.</w:t>
      </w:r>
    </w:p>
    <w:p w:rsidR="000D7600" w:rsidRPr="00E65903" w:rsidRDefault="000D7600" w:rsidP="000D7600">
      <w:pPr>
        <w:spacing w:line="276" w:lineRule="auto"/>
        <w:jc w:val="both"/>
        <w:rPr>
          <w:lang w:val="en-US"/>
        </w:rPr>
      </w:pPr>
    </w:p>
    <w:p w:rsidR="000D7600" w:rsidRPr="00E65903" w:rsidRDefault="000D7600" w:rsidP="000D7600">
      <w:pPr>
        <w:pStyle w:val="ListParagraph"/>
        <w:numPr>
          <w:ilvl w:val="0"/>
          <w:numId w:val="15"/>
        </w:numPr>
        <w:spacing w:line="280" w:lineRule="auto"/>
        <w:ind w:left="567" w:hanging="567"/>
        <w:jc w:val="both"/>
        <w:rPr>
          <w:lang w:val="en-US"/>
        </w:rPr>
      </w:pPr>
      <w:r w:rsidRPr="003A120A">
        <w:rPr>
          <w:lang w:val="en-GB"/>
        </w:rPr>
        <w:t xml:space="preserve">Article 3 (1a) of the proposed Directive </w:t>
      </w:r>
      <w:r>
        <w:rPr>
          <w:lang w:val="en-GB"/>
        </w:rPr>
        <w:t>submits</w:t>
      </w:r>
      <w:r w:rsidRPr="003A120A">
        <w:rPr>
          <w:lang w:val="en-GB"/>
        </w:rPr>
        <w:t xml:space="preserve"> subcontractors from other Member States</w:t>
      </w:r>
      <w:r>
        <w:rPr>
          <w:lang w:val="en-GB"/>
        </w:rPr>
        <w:t xml:space="preserve"> to </w:t>
      </w:r>
      <w:r w:rsidRPr="003A120A">
        <w:rPr>
          <w:lang w:val="en-GB"/>
        </w:rPr>
        <w:t xml:space="preserve">requirements </w:t>
      </w:r>
      <w:r>
        <w:rPr>
          <w:lang w:val="en-GB"/>
        </w:rPr>
        <w:t>laid down</w:t>
      </w:r>
      <w:r w:rsidRPr="003A120A">
        <w:rPr>
          <w:lang w:val="en-GB"/>
        </w:rPr>
        <w:t xml:space="preserve"> in </w:t>
      </w:r>
      <w:r>
        <w:rPr>
          <w:lang w:val="en-GB"/>
        </w:rPr>
        <w:t>acts of law</w:t>
      </w:r>
      <w:r w:rsidRPr="003A120A">
        <w:rPr>
          <w:lang w:val="en-GB"/>
        </w:rPr>
        <w:t xml:space="preserve">, </w:t>
      </w:r>
      <w:r>
        <w:rPr>
          <w:lang w:val="en-GB"/>
        </w:rPr>
        <w:t xml:space="preserve">implementing </w:t>
      </w:r>
      <w:r w:rsidRPr="003A120A">
        <w:rPr>
          <w:lang w:val="en-GB"/>
        </w:rPr>
        <w:t>regulations</w:t>
      </w:r>
      <w:r>
        <w:rPr>
          <w:lang w:val="en-GB"/>
        </w:rPr>
        <w:t>,</w:t>
      </w:r>
      <w:r w:rsidRPr="003A120A">
        <w:rPr>
          <w:lang w:val="en-GB"/>
        </w:rPr>
        <w:t xml:space="preserve"> administrative provisions </w:t>
      </w:r>
      <w:r>
        <w:rPr>
          <w:lang w:val="en-GB"/>
        </w:rPr>
        <w:t>and</w:t>
      </w:r>
      <w:r w:rsidRPr="003A120A">
        <w:rPr>
          <w:lang w:val="en-GB"/>
        </w:rPr>
        <w:t xml:space="preserve"> collective agreements</w:t>
      </w:r>
      <w:r>
        <w:rPr>
          <w:lang w:val="en-GB"/>
        </w:rPr>
        <w:t>, to</w:t>
      </w:r>
      <w:r w:rsidRPr="003A120A">
        <w:rPr>
          <w:lang w:val="en-GB"/>
        </w:rPr>
        <w:t xml:space="preserve"> which subcontractors have not been </w:t>
      </w:r>
      <w:r>
        <w:rPr>
          <w:lang w:val="en-GB"/>
        </w:rPr>
        <w:t>submitted so far on a general basis</w:t>
      </w:r>
      <w:r w:rsidRPr="003A120A">
        <w:rPr>
          <w:lang w:val="en-GB"/>
        </w:rPr>
        <w:t>.</w:t>
      </w:r>
    </w:p>
    <w:p w:rsidR="000D7600" w:rsidRPr="00E65903" w:rsidRDefault="000D7600" w:rsidP="000D7600">
      <w:pPr>
        <w:pStyle w:val="ListParagraph"/>
        <w:spacing w:line="280" w:lineRule="auto"/>
        <w:ind w:left="567"/>
        <w:jc w:val="both"/>
        <w:rPr>
          <w:lang w:val="en-US"/>
        </w:rPr>
      </w:pPr>
      <w:r>
        <w:rPr>
          <w:lang w:val="en-GB"/>
        </w:rPr>
        <w:t>This</w:t>
      </w:r>
      <w:r w:rsidRPr="003A120A">
        <w:rPr>
          <w:lang w:val="en-GB"/>
        </w:rPr>
        <w:t xml:space="preserve"> </w:t>
      </w:r>
      <w:r>
        <w:rPr>
          <w:lang w:val="en-GB"/>
        </w:rPr>
        <w:t>restrains</w:t>
      </w:r>
      <w:r w:rsidRPr="003A120A">
        <w:rPr>
          <w:lang w:val="en-GB"/>
        </w:rPr>
        <w:t xml:space="preserve"> the Member States</w:t>
      </w:r>
      <w:r>
        <w:rPr>
          <w:lang w:val="en-GB"/>
        </w:rPr>
        <w:t xml:space="preserve">’ discretion </w:t>
      </w:r>
      <w:r w:rsidRPr="003A120A">
        <w:rPr>
          <w:lang w:val="en-GB"/>
        </w:rPr>
        <w:t xml:space="preserve">to </w:t>
      </w:r>
      <w:r>
        <w:rPr>
          <w:lang w:val="en-GB"/>
        </w:rPr>
        <w:t>establish</w:t>
      </w:r>
      <w:r w:rsidRPr="003A120A">
        <w:rPr>
          <w:lang w:val="en-GB"/>
        </w:rPr>
        <w:t xml:space="preserve"> such an obligation </w:t>
      </w:r>
      <w:r>
        <w:rPr>
          <w:lang w:val="en-GB"/>
        </w:rPr>
        <w:t>or not</w:t>
      </w:r>
      <w:r w:rsidRPr="003A120A">
        <w:rPr>
          <w:lang w:val="en-GB"/>
        </w:rPr>
        <w:t>.</w:t>
      </w:r>
      <w:r w:rsidRPr="00E65903">
        <w:rPr>
          <w:lang w:val="en-US"/>
        </w:rPr>
        <w:t xml:space="preserve"> </w:t>
      </w:r>
      <w:r w:rsidRPr="002D7813">
        <w:rPr>
          <w:lang w:val="en-GB"/>
        </w:rPr>
        <w:t xml:space="preserve">The Commission did not convincingly justify that in this case full harmonisation </w:t>
      </w:r>
      <w:r>
        <w:rPr>
          <w:lang w:val="en-GB"/>
        </w:rPr>
        <w:t xml:space="preserve">would </w:t>
      </w:r>
      <w:r w:rsidRPr="002D7813">
        <w:rPr>
          <w:lang w:val="en-GB"/>
        </w:rPr>
        <w:t>contribut</w:t>
      </w:r>
      <w:r>
        <w:rPr>
          <w:lang w:val="en-GB"/>
        </w:rPr>
        <w:t>e</w:t>
      </w:r>
      <w:r w:rsidRPr="002D7813">
        <w:rPr>
          <w:lang w:val="en-GB"/>
        </w:rPr>
        <w:t xml:space="preserve"> to better protection of employees.</w:t>
      </w:r>
      <w:r w:rsidRPr="00E65903">
        <w:rPr>
          <w:lang w:val="en-US"/>
        </w:rPr>
        <w:t xml:space="preserve"> </w:t>
      </w:r>
      <w:r>
        <w:rPr>
          <w:lang w:val="en-GB"/>
        </w:rPr>
        <w:t>At present, t</w:t>
      </w:r>
      <w:r w:rsidRPr="002D7813">
        <w:rPr>
          <w:lang w:val="en-GB"/>
        </w:rPr>
        <w:t xml:space="preserve">he Member States </w:t>
      </w:r>
      <w:r>
        <w:rPr>
          <w:lang w:val="en-GB"/>
        </w:rPr>
        <w:t>are free to</w:t>
      </w:r>
      <w:r w:rsidRPr="002D7813">
        <w:rPr>
          <w:lang w:val="en-GB"/>
        </w:rPr>
        <w:t xml:space="preserve"> </w:t>
      </w:r>
      <w:r>
        <w:rPr>
          <w:lang w:val="en-GB"/>
        </w:rPr>
        <w:t>decide on</w:t>
      </w:r>
      <w:r w:rsidRPr="002D7813">
        <w:rPr>
          <w:lang w:val="en-GB"/>
        </w:rPr>
        <w:t xml:space="preserve"> the scope of subcontractors' obligations in this field</w:t>
      </w:r>
      <w:r>
        <w:rPr>
          <w:lang w:val="en-GB"/>
        </w:rPr>
        <w:t xml:space="preserve">; </w:t>
      </w:r>
      <w:r w:rsidRPr="002D7813">
        <w:rPr>
          <w:lang w:val="en-GB"/>
        </w:rPr>
        <w:t xml:space="preserve">the current wording of </w:t>
      </w:r>
      <w:r>
        <w:rPr>
          <w:lang w:val="en-GB"/>
        </w:rPr>
        <w:t xml:space="preserve">the </w:t>
      </w:r>
      <w:r w:rsidRPr="002D7813">
        <w:rPr>
          <w:lang w:val="en-GB"/>
        </w:rPr>
        <w:t xml:space="preserve">directives allows them to </w:t>
      </w:r>
      <w:r>
        <w:rPr>
          <w:lang w:val="en-GB"/>
        </w:rPr>
        <w:t>reduce this</w:t>
      </w:r>
      <w:r w:rsidRPr="002D7813">
        <w:rPr>
          <w:lang w:val="en-GB"/>
        </w:rPr>
        <w:t xml:space="preserve"> scope in relation to service providers from other Member States.</w:t>
      </w:r>
      <w:r w:rsidRPr="00E65903">
        <w:rPr>
          <w:lang w:val="en-US"/>
        </w:rPr>
        <w:t xml:space="preserve"> </w:t>
      </w:r>
      <w:r w:rsidRPr="002D7813">
        <w:rPr>
          <w:lang w:val="en-GB"/>
        </w:rPr>
        <w:t>Therefore, in our opinion, this issue should be left to the Member States</w:t>
      </w:r>
      <w:r>
        <w:rPr>
          <w:lang w:val="en-GB"/>
        </w:rPr>
        <w:t>’ regulatory discretion</w:t>
      </w:r>
      <w:r w:rsidRPr="002D7813">
        <w:rPr>
          <w:lang w:val="en-GB"/>
        </w:rPr>
        <w:t xml:space="preserve">, while providing for the possibility to </w:t>
      </w:r>
      <w:r>
        <w:rPr>
          <w:lang w:val="en-GB"/>
        </w:rPr>
        <w:t>submit</w:t>
      </w:r>
      <w:r w:rsidRPr="002D7813">
        <w:rPr>
          <w:lang w:val="en-GB"/>
        </w:rPr>
        <w:t xml:space="preserve"> subcontractors from other Member States </w:t>
      </w:r>
      <w:r>
        <w:rPr>
          <w:lang w:val="en-GB"/>
        </w:rPr>
        <w:t>to</w:t>
      </w:r>
      <w:r w:rsidRPr="002D7813">
        <w:rPr>
          <w:lang w:val="en-GB"/>
        </w:rPr>
        <w:t xml:space="preserve"> all requirements arising from agreements (collective agreements</w:t>
      </w:r>
      <w:r>
        <w:rPr>
          <w:lang w:val="en-GB"/>
        </w:rPr>
        <w:t>) which are not generally binding</w:t>
      </w:r>
      <w:r w:rsidRPr="002D7813">
        <w:rPr>
          <w:lang w:val="en-GB"/>
        </w:rPr>
        <w:t>.</w:t>
      </w:r>
    </w:p>
    <w:p w:rsidR="000D7600" w:rsidRPr="00E65903" w:rsidRDefault="000D7600" w:rsidP="000D7600">
      <w:pPr>
        <w:pStyle w:val="ListParagraph"/>
        <w:spacing w:line="276" w:lineRule="auto"/>
        <w:ind w:left="567" w:hanging="567"/>
        <w:jc w:val="both"/>
        <w:rPr>
          <w:lang w:val="en-US"/>
        </w:rPr>
      </w:pPr>
    </w:p>
    <w:p w:rsidR="000D7600" w:rsidRPr="00E65903" w:rsidRDefault="000D7600" w:rsidP="000D7600">
      <w:pPr>
        <w:pStyle w:val="ListParagraph"/>
        <w:numPr>
          <w:ilvl w:val="0"/>
          <w:numId w:val="15"/>
        </w:numPr>
        <w:adjustRightInd w:val="0"/>
        <w:spacing w:line="280" w:lineRule="auto"/>
        <w:ind w:left="567" w:hanging="567"/>
        <w:jc w:val="both"/>
        <w:rPr>
          <w:lang w:val="en-US"/>
        </w:rPr>
      </w:pPr>
      <w:r w:rsidRPr="002D7813">
        <w:rPr>
          <w:lang w:val="en-GB"/>
        </w:rPr>
        <w:t xml:space="preserve">Article 3 (1b) of the </w:t>
      </w:r>
      <w:r w:rsidRPr="003F68A2">
        <w:rPr>
          <w:lang w:val="en-GB"/>
        </w:rPr>
        <w:t>proposed Directive restrains the Member States’ discretion to decide whether posted workers employed by temporary work agencies must meet the requirements specified in Article 5 of the Directive 2008/104/EC of the European Parliament and of the Council on temporary agency work.</w:t>
      </w:r>
      <w:r w:rsidRPr="00E65903">
        <w:rPr>
          <w:lang w:val="en-US"/>
        </w:rPr>
        <w:t xml:space="preserve"> </w:t>
      </w:r>
      <w:r w:rsidRPr="003F68A2">
        <w:rPr>
          <w:lang w:val="en-GB"/>
        </w:rPr>
        <w:t>Currently, such an obligation is optional,</w:t>
      </w:r>
      <w:r w:rsidRPr="00E65903">
        <w:rPr>
          <w:lang w:val="en-US"/>
        </w:rPr>
        <w:t xml:space="preserve"> </w:t>
      </w:r>
      <w:r w:rsidRPr="003F68A2">
        <w:rPr>
          <w:lang w:val="en-GB"/>
        </w:rPr>
        <w:t>which allows the Member States to assess by themselves if the introduction of such an obligation is necessary, for instance, due to the local labour market conditions.</w:t>
      </w:r>
      <w:r w:rsidRPr="00E65903">
        <w:rPr>
          <w:lang w:val="en-US"/>
        </w:rPr>
        <w:t xml:space="preserve"> </w:t>
      </w:r>
      <w:r w:rsidRPr="003F68A2">
        <w:rPr>
          <w:lang w:val="en-GB"/>
        </w:rPr>
        <w:t>Therefore, it seems that the intervention of the Union legislator is</w:t>
      </w:r>
      <w:r w:rsidRPr="002D7813">
        <w:rPr>
          <w:lang w:val="en-GB"/>
        </w:rPr>
        <w:t xml:space="preserve"> not required </w:t>
      </w:r>
      <w:r>
        <w:rPr>
          <w:lang w:val="en-GB"/>
        </w:rPr>
        <w:t>in this case</w:t>
      </w:r>
      <w:r w:rsidRPr="002D7813">
        <w:rPr>
          <w:lang w:val="en-GB"/>
        </w:rPr>
        <w:t>.</w:t>
      </w:r>
    </w:p>
    <w:p w:rsidR="000D7600" w:rsidRPr="00E65903" w:rsidRDefault="000D7600" w:rsidP="000D7600">
      <w:pPr>
        <w:adjustRightInd w:val="0"/>
        <w:spacing w:line="276" w:lineRule="auto"/>
        <w:jc w:val="both"/>
        <w:rPr>
          <w:lang w:val="en-US"/>
        </w:rPr>
      </w:pPr>
    </w:p>
    <w:p w:rsidR="000D7600" w:rsidRPr="00E65903" w:rsidRDefault="000D7600" w:rsidP="000D7600">
      <w:pPr>
        <w:adjustRightInd w:val="0"/>
        <w:spacing w:line="280" w:lineRule="auto"/>
        <w:jc w:val="both"/>
        <w:rPr>
          <w:lang w:val="en-US"/>
        </w:rPr>
      </w:pPr>
      <w:r w:rsidRPr="002D7813">
        <w:t xml:space="preserve">Therefore, </w:t>
      </w:r>
      <w:r>
        <w:t>we find</w:t>
      </w:r>
      <w:r w:rsidRPr="002D7813">
        <w:t xml:space="preserve"> that the proposed regulation is in breach of the principle of subsidiarity.</w:t>
      </w:r>
    </w:p>
    <w:p w:rsidR="000D7600" w:rsidRDefault="000D7600" w:rsidP="000D7600">
      <w:pPr>
        <w:spacing w:line="240" w:lineRule="auto"/>
        <w:rPr>
          <w:szCs w:val="24"/>
          <w:lang w:val="en-US"/>
        </w:rPr>
      </w:pPr>
    </w:p>
    <w:p w:rsidR="00A32821" w:rsidRPr="00A32821" w:rsidRDefault="000D7600" w:rsidP="000D7600">
      <w:pPr>
        <w:spacing w:line="240" w:lineRule="auto"/>
        <w:jc w:val="center"/>
      </w:pPr>
      <w:r>
        <w:rPr>
          <w:szCs w:val="24"/>
          <w:lang w:val="en-US"/>
        </w:rPr>
        <w:t>______________________</w:t>
      </w:r>
    </w:p>
    <w:sectPr w:rsidR="00A32821" w:rsidRPr="00A32821" w:rsidSect="005E76B5">
      <w:headerReference w:type="default" r:id="rId19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21" w:rsidRDefault="00A32821">
      <w:r>
        <w:separator/>
      </w:r>
    </w:p>
  </w:endnote>
  <w:endnote w:type="continuationSeparator" w:id="0">
    <w:p w:rsidR="00A32821" w:rsidRDefault="00A32821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B5" w:rsidRPr="005E76B5" w:rsidRDefault="005E76B5" w:rsidP="005E76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E76B5" w:rsidRPr="00D94637" w:rsidTr="005E76B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E76B5" w:rsidRPr="00D94637" w:rsidRDefault="005E76B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E76B5" w:rsidRPr="00B310DC" w:rsidTr="005E76B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E76B5" w:rsidRPr="00AD7BF2" w:rsidRDefault="005E76B5" w:rsidP="004F54B2">
          <w:pPr>
            <w:pStyle w:val="FooterText"/>
          </w:pPr>
          <w:r>
            <w:t>8763/16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E76B5" w:rsidRPr="00AD7BF2" w:rsidRDefault="005E76B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E76B5" w:rsidRPr="002511D8" w:rsidRDefault="005E76B5" w:rsidP="00D94637">
          <w:pPr>
            <w:pStyle w:val="FooterText"/>
            <w:jc w:val="center"/>
          </w:pPr>
          <w:r>
            <w:t>PR/</w:t>
          </w:r>
          <w:proofErr w:type="spellStart"/>
          <w:r>
            <w:t>mk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E76B5" w:rsidRPr="00B310DC" w:rsidRDefault="005E76B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0</w:t>
          </w:r>
          <w:r>
            <w:fldChar w:fldCharType="end"/>
          </w:r>
        </w:p>
      </w:tc>
    </w:tr>
    <w:tr w:rsidR="005E76B5" w:rsidRPr="00D94637" w:rsidTr="005E76B5">
      <w:trPr>
        <w:jc w:val="center"/>
      </w:trPr>
      <w:tc>
        <w:tcPr>
          <w:tcW w:w="1774" w:type="pct"/>
          <w:shd w:val="clear" w:color="auto" w:fill="auto"/>
        </w:tcPr>
        <w:p w:rsidR="005E76B5" w:rsidRPr="00AD7BF2" w:rsidRDefault="005E76B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E76B5" w:rsidRPr="00AD7BF2" w:rsidRDefault="005E76B5" w:rsidP="00D204D6">
          <w:pPr>
            <w:pStyle w:val="FooterText"/>
            <w:spacing w:before="40"/>
            <w:jc w:val="center"/>
          </w:pPr>
          <w:r>
            <w:t>DG B 3A</w:t>
          </w:r>
        </w:p>
      </w:tc>
      <w:tc>
        <w:tcPr>
          <w:tcW w:w="1147" w:type="pct"/>
          <w:shd w:val="clear" w:color="auto" w:fill="auto"/>
        </w:tcPr>
        <w:p w:rsidR="005E76B5" w:rsidRPr="00D94637" w:rsidRDefault="005E76B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E76B5" w:rsidRPr="00D94637" w:rsidRDefault="005E76B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EN/PL</w:t>
          </w:r>
        </w:p>
      </w:tc>
    </w:tr>
    <w:bookmarkEnd w:id="2"/>
  </w:tbl>
  <w:p w:rsidR="0042323B" w:rsidRPr="005E76B5" w:rsidRDefault="0042323B" w:rsidP="005E76B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E76B5" w:rsidRPr="00D94637" w:rsidTr="005E76B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E76B5" w:rsidRPr="00D94637" w:rsidRDefault="005E76B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E76B5" w:rsidRPr="00B310DC" w:rsidTr="005E76B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E76B5" w:rsidRPr="00AD7BF2" w:rsidRDefault="005E76B5" w:rsidP="004F54B2">
          <w:pPr>
            <w:pStyle w:val="FooterText"/>
          </w:pPr>
          <w:r>
            <w:t>8763/16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E76B5" w:rsidRPr="00AD7BF2" w:rsidRDefault="005E76B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E76B5" w:rsidRPr="002511D8" w:rsidRDefault="005E76B5" w:rsidP="00D94637">
          <w:pPr>
            <w:pStyle w:val="FooterText"/>
            <w:jc w:val="center"/>
          </w:pPr>
          <w:r>
            <w:t>PR/</w:t>
          </w:r>
          <w:proofErr w:type="spellStart"/>
          <w:r>
            <w:t>mk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E76B5" w:rsidRPr="00B310DC" w:rsidRDefault="005E76B5" w:rsidP="00D94637">
          <w:pPr>
            <w:pStyle w:val="FooterText"/>
            <w:jc w:val="right"/>
          </w:pPr>
        </w:p>
      </w:tc>
    </w:tr>
    <w:tr w:rsidR="005E76B5" w:rsidRPr="00D94637" w:rsidTr="005E76B5">
      <w:trPr>
        <w:jc w:val="center"/>
      </w:trPr>
      <w:tc>
        <w:tcPr>
          <w:tcW w:w="1774" w:type="pct"/>
          <w:shd w:val="clear" w:color="auto" w:fill="auto"/>
        </w:tcPr>
        <w:p w:rsidR="005E76B5" w:rsidRPr="00AD7BF2" w:rsidRDefault="005E76B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E76B5" w:rsidRPr="00AD7BF2" w:rsidRDefault="005E76B5" w:rsidP="00D204D6">
          <w:pPr>
            <w:pStyle w:val="FooterText"/>
            <w:spacing w:before="40"/>
            <w:jc w:val="center"/>
          </w:pPr>
          <w:r>
            <w:t>DG B 3A</w:t>
          </w:r>
        </w:p>
      </w:tc>
      <w:tc>
        <w:tcPr>
          <w:tcW w:w="1147" w:type="pct"/>
          <w:shd w:val="clear" w:color="auto" w:fill="auto"/>
        </w:tcPr>
        <w:p w:rsidR="005E76B5" w:rsidRPr="00D94637" w:rsidRDefault="005E76B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E76B5" w:rsidRPr="00D94637" w:rsidRDefault="005E76B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EN/PL</w:t>
          </w:r>
        </w:p>
      </w:tc>
    </w:tr>
  </w:tbl>
  <w:p w:rsidR="0042323B" w:rsidRPr="005E76B5" w:rsidRDefault="0042323B" w:rsidP="005E76B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21" w:rsidRDefault="00A32821">
      <w:pPr>
        <w:pStyle w:val="FootnoteText"/>
      </w:pPr>
      <w:r>
        <w:separator/>
      </w:r>
    </w:p>
  </w:footnote>
  <w:footnote w:type="continuationSeparator" w:id="0">
    <w:p w:rsidR="00A32821" w:rsidRDefault="00A32821">
      <w:pPr>
        <w:pStyle w:val="FootnoteText"/>
      </w:pPr>
      <w:r>
        <w:separator/>
      </w:r>
    </w:p>
  </w:footnote>
  <w:footnote w:id="1">
    <w:p w:rsidR="005E76B5" w:rsidRPr="005E76B5" w:rsidRDefault="005E76B5">
      <w:pPr>
        <w:pStyle w:val="FootnoteText"/>
      </w:pPr>
      <w:r>
        <w:rPr>
          <w:rStyle w:val="FootnoteReference"/>
        </w:rPr>
        <w:footnoteRef/>
      </w:r>
      <w:r>
        <w:tab/>
      </w:r>
      <w:r w:rsidRPr="005E76B5">
        <w:t xml:space="preserve">For available translations of this opinion see the </w:t>
      </w:r>
      <w:proofErr w:type="spellStart"/>
      <w:r w:rsidRPr="005E76B5">
        <w:t>interparliamentary</w:t>
      </w:r>
      <w:proofErr w:type="spellEnd"/>
      <w:r w:rsidRPr="005E76B5">
        <w:t xml:space="preserve"> EU information exchange site (IPEX) at the following address: http://www.ipex.eu/IPEXL-WEB/dossier/document/COM20160128.do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B5" w:rsidRPr="005E76B5" w:rsidRDefault="005E76B5" w:rsidP="005E76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B5" w:rsidRPr="005E76B5" w:rsidRDefault="005E76B5" w:rsidP="005E76B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B5" w:rsidRPr="005E76B5" w:rsidRDefault="005E76B5" w:rsidP="005E76B5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3B" w:rsidRPr="005E76B5" w:rsidRDefault="0042323B" w:rsidP="005E76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5E2B659B"/>
    <w:multiLevelType w:val="hybridMultilevel"/>
    <w:tmpl w:val="C6121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1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Num" w:val="0"/>
    <w:docVar w:name="Council" w:val="true"/>
    <w:docVar w:name="CoverPageOnWordDoc" w:val="true"/>
    <w:docVar w:name="DocuWriteMetaData" w:val="&lt;metadataset docuwriteversion=&quot;3.7.7&quot; technicalblockguid=&quot;93b609bc-ef41-4fc2-9e33-de7c4b49dbf4&quot;&gt;_x000d__x000a_  &lt;metadata key=&quot;md_DocumentLanguages&quot;&gt;_x000d__x000a_    &lt;basicdatatypelist&gt;_x000d__x000a_      &lt;language key=&quot;EN&quot; text=&quot;EN&quot; /&gt;_x000d__x000a_      &lt;language key=&quot;PL&quot; text=&quot;PL&quot; /&gt;_x000d__x000a_    &lt;/basicdatatypelist&gt;_x000d__x000a_  &lt;/metadata&gt;_x000d__x000a_  &lt;metadata key=&quot;md_OriginalLanguages&quot;&gt;_x000d__x000a_    &lt;basicdatatypelist&gt;_x000d__x000a_      &lt;language key=&quot;PL&quot; text=&quot;PL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1&lt;/text&gt;_x000d__x000a_  &lt;/metadata&gt;_x000d__x000a_  &lt;metadata key=&quot;md_Prefix&quot;&gt;_x000d__x000a_    &lt;text&gt;&lt;/text&gt;_x000d__x000a_  &lt;/metadata&gt;_x000d__x000a_  &lt;metadata key=&quot;md_DocumentNumber&quot;&gt;_x000d__x000a_    &lt;text&gt;8763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SOC 241&lt;/text&gt;_x000d__x000a_      &lt;text&gt;EMPL 149&lt;/text&gt;_x000d__x000a_      &lt;text&gt;MI 317&lt;/text&gt;_x000d__x000a_      &lt;text&gt;COMPET 226&lt;/text&gt;_x000d__x000a_      &lt;text&gt;CODEC 629&lt;/text&gt;_x000d__x000a_      &lt;text&gt;JUSTCIV 101&lt;/text&gt;_x000d__x000a_      &lt;text&gt;INST 204&lt;/text&gt;_x000d__x000a_      &lt;text&gt;PARLNAT 14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6/0070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The Polish Senate&quot;&gt;&amp;lt;FlowDocument PagePadding=&quot;5,0,5,0&quot; AllowDrop=&quot;True&quot; xmlns=&quot;http://schemas.microsoft.com/winfx/2006/xaml/presentation&quot;&amp;gt;&amp;lt;Paragraph&amp;gt;The Polish Senate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PagePadding=&quot;5,0,5,0&quot; AllowDrop=&quot;True&quot; xmlns=&quot;http://schemas.microsoft.com/winfx/2006/xaml/presentation&quot;&amp;gt;&amp;lt;Paragraph&amp;gt;President of the Council of the European Union&amp;lt;/Paragraph&amp;gt;&amp;lt;/FlowDocument&amp;gt;&lt;/xaml&gt;_x000d__x000a_    &lt;/basicdatatype&gt;_x000d__x000a_  &lt;/metadata&gt;_x000d__x000a_  &lt;metadata key=&quot;md_DateOfReceipt&quot;&gt;_x000d__x000a_    &lt;text&gt;2016-05-05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DIRECTIVE OF THE EUROPEAN PARLIAMENT AND OF THE COUNCIL amending Directive 96/71/EC of The European Parliament and of the Council of 16 December 1996 concerning the posting of workers in the framework of the provision of services [doc. 6987/16 SOC 144 EMPL 97 MI 142 COMPET 118 CODEC 279 - COM(2016) 128 final] - Reasoned opinion on the application of the Principles of Subsidiarity and Proportionality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Proposal for a DIRECTIVE OF THE EUROPEAN PARLIAMENT AND OF THE COUNCIL amending Directive 96/71/EC of The European Parliament and of the Council of 16 December 1996 concerning the posting of workers in the framework of the provision of services&amp;lt;/Run&amp;gt;&amp;lt;/Paragraph&amp;gt;&amp;lt;Paragraph FontFamily=&quot;Georgia&quot; FontSize=&quot;16&quot;&amp;gt;&amp;lt;Run FontFamily=&quot;Arial Unicode MS&quot;&amp;gt;[doc. 6987/16 SOC 144 EMPL 97 MI 142 COMPET 118 CODEC 279 - COM(2016) 128 final]&amp;lt;/Run&amp;gt;&amp;lt;/Paragraph&amp;gt;&amp;lt;Paragraph FontFamily=&quot;Georgia&quot; FontSize=&quot;16&quot;&amp;gt;&amp;lt;Run FontFamily=&quot;Arial Unicode MS&quot; FontStyle=&quot;Italic&quot; xml:space=&quot;preserve&quot;&amp;gt;-_x0009_Reasoned opinion on the application of the Principles of Subsidiarity and Proportionality&amp;lt;/Run&amp;gt;&amp;lt;Hyperlink NavigateUri=&quot;{x:Null}&quot; Style=&quot;{x:Null}&quot; Name=&quot;Footnote1&quot; Tag=&quot;{}{fn}For available translations of this opinion see the interparliamentary EU information exchange site (IPEX) at the following address: http://www.ipex.eu/IPEXL-WEB/dossier/document/COM20160128.do{/fn}&quot; ToolTip=&quot;For available translations of this opinion see the interparliamentary EU information exchange site (IPEX) at the following address: http://www.ipex.eu/IPEXL-WEB/dossier/document/COM20160128.do&quot;&amp;gt;&amp;lt;Hyperlink.TextDecorations&amp;gt;&amp;lt;TextDecorationCollection /&amp;gt;&amp;lt;/Hyperlink.TextDecorations&amp;gt;&amp;lt;Run BaselineAlignment=&quot;Superscript&quot; FontStyle=&quot;Italic&quot;&amp;gt;1&amp;lt;/Run&amp;gt;&amp;lt;/Hyperlink&amp;gt;&amp;lt;/Paragraph&amp;gt;&amp;lt;/FlowDocument&amp;gt;&lt;/xaml&gt;_x000d__x000a_  &lt;/metadata&gt;_x000d__x000a_  &lt;metadata key=&quot;md_SubjectFootnote&quot; /&gt;_x000d__x000a_  &lt;metadata key=&quot;md_DG&quot;&gt;_x000d__x000a_    &lt;text&gt;DG B 3A&lt;/text&gt;_x000d__x000a_  &lt;/metadata&gt;_x000d__x000a_  &lt;metadata key=&quot;md_Initials&quot;&gt;_x000d__x000a_    &lt;text&gt;PR/mk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A32821"/>
    <w:rsid w:val="00007A54"/>
    <w:rsid w:val="000449B4"/>
    <w:rsid w:val="0005086A"/>
    <w:rsid w:val="00054C4B"/>
    <w:rsid w:val="00067F31"/>
    <w:rsid w:val="00075910"/>
    <w:rsid w:val="00083FBC"/>
    <w:rsid w:val="000867FF"/>
    <w:rsid w:val="00092472"/>
    <w:rsid w:val="0009569C"/>
    <w:rsid w:val="000A3826"/>
    <w:rsid w:val="000D2B33"/>
    <w:rsid w:val="000D7600"/>
    <w:rsid w:val="000E1C75"/>
    <w:rsid w:val="0012665C"/>
    <w:rsid w:val="0014406C"/>
    <w:rsid w:val="00156CB3"/>
    <w:rsid w:val="00164E11"/>
    <w:rsid w:val="00171F08"/>
    <w:rsid w:val="0017477F"/>
    <w:rsid w:val="00174E40"/>
    <w:rsid w:val="00174EC6"/>
    <w:rsid w:val="001915AA"/>
    <w:rsid w:val="001D60D8"/>
    <w:rsid w:val="001F59C5"/>
    <w:rsid w:val="001F7964"/>
    <w:rsid w:val="0020127F"/>
    <w:rsid w:val="00204F63"/>
    <w:rsid w:val="00220AE0"/>
    <w:rsid w:val="0022170F"/>
    <w:rsid w:val="0022250D"/>
    <w:rsid w:val="00234D95"/>
    <w:rsid w:val="0024283F"/>
    <w:rsid w:val="0025703C"/>
    <w:rsid w:val="00282319"/>
    <w:rsid w:val="002A000E"/>
    <w:rsid w:val="002B28C5"/>
    <w:rsid w:val="002C2564"/>
    <w:rsid w:val="002D0849"/>
    <w:rsid w:val="002D1EFE"/>
    <w:rsid w:val="002D5B64"/>
    <w:rsid w:val="002E46F1"/>
    <w:rsid w:val="002F1116"/>
    <w:rsid w:val="00304C1B"/>
    <w:rsid w:val="00304DEB"/>
    <w:rsid w:val="00316D9A"/>
    <w:rsid w:val="00323DF1"/>
    <w:rsid w:val="003317EC"/>
    <w:rsid w:val="00335A55"/>
    <w:rsid w:val="00365A1E"/>
    <w:rsid w:val="00376FF1"/>
    <w:rsid w:val="003812B9"/>
    <w:rsid w:val="0039090B"/>
    <w:rsid w:val="00391802"/>
    <w:rsid w:val="00392040"/>
    <w:rsid w:val="003B3650"/>
    <w:rsid w:val="003B4BBB"/>
    <w:rsid w:val="003D12D6"/>
    <w:rsid w:val="003D5361"/>
    <w:rsid w:val="003F010B"/>
    <w:rsid w:val="003F7522"/>
    <w:rsid w:val="00410588"/>
    <w:rsid w:val="0042323B"/>
    <w:rsid w:val="00426C28"/>
    <w:rsid w:val="00434BDE"/>
    <w:rsid w:val="00445F2C"/>
    <w:rsid w:val="00446EA1"/>
    <w:rsid w:val="00462C5A"/>
    <w:rsid w:val="00462CBB"/>
    <w:rsid w:val="00465B83"/>
    <w:rsid w:val="00490932"/>
    <w:rsid w:val="00491ACF"/>
    <w:rsid w:val="004D202F"/>
    <w:rsid w:val="004E09B5"/>
    <w:rsid w:val="004E30A8"/>
    <w:rsid w:val="004F1F3A"/>
    <w:rsid w:val="005115B2"/>
    <w:rsid w:val="005176C6"/>
    <w:rsid w:val="00517AFA"/>
    <w:rsid w:val="0053148A"/>
    <w:rsid w:val="005555EB"/>
    <w:rsid w:val="005725A4"/>
    <w:rsid w:val="00573235"/>
    <w:rsid w:val="00591446"/>
    <w:rsid w:val="005B12EC"/>
    <w:rsid w:val="005C1DE3"/>
    <w:rsid w:val="005C4936"/>
    <w:rsid w:val="005D11D1"/>
    <w:rsid w:val="005D3C88"/>
    <w:rsid w:val="005E76B5"/>
    <w:rsid w:val="005F45C3"/>
    <w:rsid w:val="005F793E"/>
    <w:rsid w:val="00604699"/>
    <w:rsid w:val="00615C14"/>
    <w:rsid w:val="006164E1"/>
    <w:rsid w:val="00624C6D"/>
    <w:rsid w:val="00627335"/>
    <w:rsid w:val="0065291B"/>
    <w:rsid w:val="006609FB"/>
    <w:rsid w:val="00681EB1"/>
    <w:rsid w:val="0069311C"/>
    <w:rsid w:val="006937B9"/>
    <w:rsid w:val="006A0D97"/>
    <w:rsid w:val="006B3FE1"/>
    <w:rsid w:val="006C6C26"/>
    <w:rsid w:val="006D2C19"/>
    <w:rsid w:val="006E5355"/>
    <w:rsid w:val="006F22F6"/>
    <w:rsid w:val="006F3E3F"/>
    <w:rsid w:val="0075359F"/>
    <w:rsid w:val="00754CB7"/>
    <w:rsid w:val="007651B0"/>
    <w:rsid w:val="007654CE"/>
    <w:rsid w:val="0076794C"/>
    <w:rsid w:val="00775244"/>
    <w:rsid w:val="0077561E"/>
    <w:rsid w:val="007838EE"/>
    <w:rsid w:val="007B0930"/>
    <w:rsid w:val="007B0D74"/>
    <w:rsid w:val="007B6E58"/>
    <w:rsid w:val="007D0248"/>
    <w:rsid w:val="007F38E2"/>
    <w:rsid w:val="007F7819"/>
    <w:rsid w:val="0081789E"/>
    <w:rsid w:val="00820D9C"/>
    <w:rsid w:val="0083043C"/>
    <w:rsid w:val="00853B46"/>
    <w:rsid w:val="0088319A"/>
    <w:rsid w:val="008B3E59"/>
    <w:rsid w:val="008D04D2"/>
    <w:rsid w:val="008D3B70"/>
    <w:rsid w:val="008D3F5F"/>
    <w:rsid w:val="008E6CE1"/>
    <w:rsid w:val="008F0F94"/>
    <w:rsid w:val="00901A25"/>
    <w:rsid w:val="00907A87"/>
    <w:rsid w:val="009135EF"/>
    <w:rsid w:val="00925BB6"/>
    <w:rsid w:val="00950B14"/>
    <w:rsid w:val="009700CD"/>
    <w:rsid w:val="009846A3"/>
    <w:rsid w:val="00995506"/>
    <w:rsid w:val="009A1D2C"/>
    <w:rsid w:val="009C45E7"/>
    <w:rsid w:val="009D15C2"/>
    <w:rsid w:val="009E7878"/>
    <w:rsid w:val="009F0FE5"/>
    <w:rsid w:val="00A12F9B"/>
    <w:rsid w:val="00A32821"/>
    <w:rsid w:val="00A3456F"/>
    <w:rsid w:val="00A55EB4"/>
    <w:rsid w:val="00A56CF2"/>
    <w:rsid w:val="00A83A74"/>
    <w:rsid w:val="00A8452C"/>
    <w:rsid w:val="00A9225C"/>
    <w:rsid w:val="00A9613B"/>
    <w:rsid w:val="00AA3A04"/>
    <w:rsid w:val="00AD020C"/>
    <w:rsid w:val="00AE6D64"/>
    <w:rsid w:val="00B01529"/>
    <w:rsid w:val="00B104EA"/>
    <w:rsid w:val="00B112C8"/>
    <w:rsid w:val="00B40E1C"/>
    <w:rsid w:val="00B55A5E"/>
    <w:rsid w:val="00B63A32"/>
    <w:rsid w:val="00B722DD"/>
    <w:rsid w:val="00B845E7"/>
    <w:rsid w:val="00B9096D"/>
    <w:rsid w:val="00B97461"/>
    <w:rsid w:val="00BC3FE8"/>
    <w:rsid w:val="00BE0095"/>
    <w:rsid w:val="00BE0D86"/>
    <w:rsid w:val="00BE7C2A"/>
    <w:rsid w:val="00BF1051"/>
    <w:rsid w:val="00C22400"/>
    <w:rsid w:val="00C351CC"/>
    <w:rsid w:val="00C4415B"/>
    <w:rsid w:val="00C502FD"/>
    <w:rsid w:val="00C548E9"/>
    <w:rsid w:val="00C55246"/>
    <w:rsid w:val="00C66DC8"/>
    <w:rsid w:val="00C82663"/>
    <w:rsid w:val="00C83670"/>
    <w:rsid w:val="00C86DDC"/>
    <w:rsid w:val="00CD35C2"/>
    <w:rsid w:val="00CE0701"/>
    <w:rsid w:val="00CE1387"/>
    <w:rsid w:val="00CE3420"/>
    <w:rsid w:val="00CE51DE"/>
    <w:rsid w:val="00CF309C"/>
    <w:rsid w:val="00D00C31"/>
    <w:rsid w:val="00D125DB"/>
    <w:rsid w:val="00D25D34"/>
    <w:rsid w:val="00D3163B"/>
    <w:rsid w:val="00D31A71"/>
    <w:rsid w:val="00D34375"/>
    <w:rsid w:val="00D40257"/>
    <w:rsid w:val="00D5388E"/>
    <w:rsid w:val="00D565A6"/>
    <w:rsid w:val="00D605D1"/>
    <w:rsid w:val="00D852EB"/>
    <w:rsid w:val="00D954D7"/>
    <w:rsid w:val="00D96E50"/>
    <w:rsid w:val="00D97143"/>
    <w:rsid w:val="00DA36BB"/>
    <w:rsid w:val="00DC015F"/>
    <w:rsid w:val="00DC0246"/>
    <w:rsid w:val="00DD54E0"/>
    <w:rsid w:val="00DE1D55"/>
    <w:rsid w:val="00DE42A7"/>
    <w:rsid w:val="00DF2DF3"/>
    <w:rsid w:val="00E0581F"/>
    <w:rsid w:val="00E40BDE"/>
    <w:rsid w:val="00E45613"/>
    <w:rsid w:val="00E5556D"/>
    <w:rsid w:val="00E56089"/>
    <w:rsid w:val="00EB3FB2"/>
    <w:rsid w:val="00EC0A2A"/>
    <w:rsid w:val="00EE00BA"/>
    <w:rsid w:val="00EE6E72"/>
    <w:rsid w:val="00F030A6"/>
    <w:rsid w:val="00F1732C"/>
    <w:rsid w:val="00F42ECF"/>
    <w:rsid w:val="00F64303"/>
    <w:rsid w:val="00F75257"/>
    <w:rsid w:val="00F91457"/>
    <w:rsid w:val="00FA264E"/>
    <w:rsid w:val="00FB16BD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paragraph" w:customStyle="1" w:styleId="TechnicalBlock">
    <w:name w:val="Technical Block"/>
    <w:basedOn w:val="Normal"/>
    <w:link w:val="TechnicalBlockChar"/>
    <w:rsid w:val="0042323B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42323B"/>
    <w:rPr>
      <w:sz w:val="24"/>
      <w:lang w:eastAsia="fr-BE"/>
    </w:rPr>
  </w:style>
  <w:style w:type="paragraph" w:customStyle="1" w:styleId="EntText">
    <w:name w:val="EntText"/>
    <w:basedOn w:val="Normal"/>
    <w:rsid w:val="0042323B"/>
    <w:pPr>
      <w:widowControl/>
      <w:spacing w:before="120" w:after="120"/>
    </w:pPr>
    <w:rPr>
      <w:szCs w:val="24"/>
      <w:lang w:eastAsia="en-US"/>
    </w:rPr>
  </w:style>
  <w:style w:type="paragraph" w:customStyle="1" w:styleId="Lignefinal">
    <w:name w:val="Ligne final"/>
    <w:basedOn w:val="Normal"/>
    <w:next w:val="Normal"/>
    <w:rsid w:val="0042323B"/>
    <w:pPr>
      <w:widowControl/>
      <w:pBdr>
        <w:bottom w:val="single" w:sz="4" w:space="0" w:color="000000"/>
      </w:pBdr>
      <w:spacing w:before="360" w:after="120"/>
      <w:ind w:left="3400" w:right="3400"/>
      <w:jc w:val="center"/>
    </w:pPr>
    <w:rPr>
      <w:b/>
      <w:szCs w:val="24"/>
      <w:lang w:eastAsia="en-US"/>
    </w:rPr>
  </w:style>
  <w:style w:type="character" w:customStyle="1" w:styleId="Marker">
    <w:name w:val="Marker"/>
    <w:rsid w:val="007B0930"/>
    <w:rPr>
      <w:i/>
      <w:iCs/>
      <w:color w:val="0000FF"/>
    </w:rPr>
  </w:style>
  <w:style w:type="paragraph" w:customStyle="1" w:styleId="pj">
    <w:name w:val="p.j."/>
    <w:basedOn w:val="Normal"/>
    <w:link w:val="pjChar"/>
    <w:rsid w:val="0042323B"/>
    <w:pPr>
      <w:spacing w:before="1200" w:after="120" w:line="240" w:lineRule="auto"/>
      <w:ind w:left="1440" w:hanging="1440"/>
    </w:pPr>
  </w:style>
  <w:style w:type="character" w:customStyle="1" w:styleId="pjChar">
    <w:name w:val="p.j. Char"/>
    <w:basedOn w:val="TechnicalBlockChar"/>
    <w:link w:val="pj"/>
    <w:rsid w:val="0042323B"/>
    <w:rPr>
      <w:sz w:val="24"/>
      <w:lang w:eastAsia="fr-BE"/>
    </w:rPr>
  </w:style>
  <w:style w:type="paragraph" w:customStyle="1" w:styleId="HeaderCouncil">
    <w:name w:val="Header Council"/>
    <w:basedOn w:val="Normal"/>
    <w:link w:val="HeaderCouncilChar"/>
    <w:rsid w:val="0042323B"/>
    <w:rPr>
      <w:sz w:val="2"/>
    </w:rPr>
  </w:style>
  <w:style w:type="character" w:customStyle="1" w:styleId="HeaderCouncilChar">
    <w:name w:val="Header Council Char"/>
    <w:basedOn w:val="pjChar"/>
    <w:link w:val="HeaderCouncil"/>
    <w:rsid w:val="0042323B"/>
    <w:rPr>
      <w:sz w:val="2"/>
      <w:lang w:eastAsia="fr-BE"/>
    </w:rPr>
  </w:style>
  <w:style w:type="paragraph" w:customStyle="1" w:styleId="HeaderCouncilLarge">
    <w:name w:val="Header Council Large"/>
    <w:basedOn w:val="Normal"/>
    <w:link w:val="HeaderCouncilLargeChar"/>
    <w:rsid w:val="0042323B"/>
    <w:pPr>
      <w:spacing w:after="440"/>
    </w:pPr>
    <w:rPr>
      <w:sz w:val="2"/>
    </w:rPr>
  </w:style>
  <w:style w:type="character" w:customStyle="1" w:styleId="HeaderCouncilLargeChar">
    <w:name w:val="Header Council Large Char"/>
    <w:basedOn w:val="pjChar"/>
    <w:link w:val="HeaderCouncilLarge"/>
    <w:rsid w:val="0042323B"/>
    <w:rPr>
      <w:sz w:val="2"/>
      <w:lang w:eastAsia="fr-BE"/>
    </w:rPr>
  </w:style>
  <w:style w:type="paragraph" w:customStyle="1" w:styleId="FooterCouncil">
    <w:name w:val="Footer Council"/>
    <w:basedOn w:val="Normal"/>
    <w:link w:val="FooterCouncilChar"/>
    <w:rsid w:val="0042323B"/>
    <w:rPr>
      <w:sz w:val="2"/>
    </w:rPr>
  </w:style>
  <w:style w:type="character" w:customStyle="1" w:styleId="FooterCouncilChar">
    <w:name w:val="Footer Council Char"/>
    <w:basedOn w:val="pjChar"/>
    <w:link w:val="FooterCouncil"/>
    <w:rsid w:val="0042323B"/>
    <w:rPr>
      <w:sz w:val="2"/>
      <w:lang w:eastAsia="fr-BE"/>
    </w:rPr>
  </w:style>
  <w:style w:type="paragraph" w:customStyle="1" w:styleId="FooterText">
    <w:name w:val="Footer Text"/>
    <w:basedOn w:val="Normal"/>
    <w:rsid w:val="0042323B"/>
    <w:pPr>
      <w:widowControl/>
      <w:spacing w:line="240" w:lineRule="auto"/>
    </w:pPr>
    <w:rPr>
      <w:szCs w:val="24"/>
      <w:lang w:eastAsia="en-US"/>
    </w:rPr>
  </w:style>
  <w:style w:type="paragraph" w:customStyle="1" w:styleId="Titreobjet">
    <w:name w:val="Titre objet"/>
    <w:basedOn w:val="Normal"/>
    <w:next w:val="Normal"/>
    <w:rsid w:val="000D7600"/>
    <w:pPr>
      <w:widowControl/>
      <w:autoSpaceDE w:val="0"/>
      <w:autoSpaceDN w:val="0"/>
      <w:spacing w:before="360" w:after="360" w:line="240" w:lineRule="auto"/>
      <w:jc w:val="center"/>
    </w:pPr>
    <w:rPr>
      <w:b/>
      <w:bCs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0D7600"/>
    <w:pPr>
      <w:widowControl/>
      <w:autoSpaceDE w:val="0"/>
      <w:autoSpaceDN w:val="0"/>
      <w:ind w:left="720"/>
      <w:contextualSpacing/>
    </w:pPr>
    <w:rPr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paragraph" w:customStyle="1" w:styleId="TechnicalBlock">
    <w:name w:val="Technical Block"/>
    <w:basedOn w:val="Normal"/>
    <w:link w:val="TechnicalBlockChar"/>
    <w:rsid w:val="0042323B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42323B"/>
    <w:rPr>
      <w:sz w:val="24"/>
      <w:lang w:eastAsia="fr-BE"/>
    </w:rPr>
  </w:style>
  <w:style w:type="paragraph" w:customStyle="1" w:styleId="EntText">
    <w:name w:val="EntText"/>
    <w:basedOn w:val="Normal"/>
    <w:rsid w:val="0042323B"/>
    <w:pPr>
      <w:widowControl/>
      <w:spacing w:before="120" w:after="120"/>
    </w:pPr>
    <w:rPr>
      <w:szCs w:val="24"/>
      <w:lang w:eastAsia="en-US"/>
    </w:rPr>
  </w:style>
  <w:style w:type="paragraph" w:customStyle="1" w:styleId="Lignefinal">
    <w:name w:val="Ligne final"/>
    <w:basedOn w:val="Normal"/>
    <w:next w:val="Normal"/>
    <w:rsid w:val="0042323B"/>
    <w:pPr>
      <w:widowControl/>
      <w:pBdr>
        <w:bottom w:val="single" w:sz="4" w:space="0" w:color="000000"/>
      </w:pBdr>
      <w:spacing w:before="360" w:after="120"/>
      <w:ind w:left="3400" w:right="3400"/>
      <w:jc w:val="center"/>
    </w:pPr>
    <w:rPr>
      <w:b/>
      <w:szCs w:val="24"/>
      <w:lang w:eastAsia="en-US"/>
    </w:rPr>
  </w:style>
  <w:style w:type="character" w:customStyle="1" w:styleId="Marker">
    <w:name w:val="Marker"/>
    <w:rsid w:val="007B0930"/>
    <w:rPr>
      <w:i/>
      <w:iCs/>
      <w:color w:val="0000FF"/>
    </w:rPr>
  </w:style>
  <w:style w:type="paragraph" w:customStyle="1" w:styleId="pj">
    <w:name w:val="p.j."/>
    <w:basedOn w:val="Normal"/>
    <w:link w:val="pjChar"/>
    <w:rsid w:val="0042323B"/>
    <w:pPr>
      <w:spacing w:before="1200" w:after="120" w:line="240" w:lineRule="auto"/>
      <w:ind w:left="1440" w:hanging="1440"/>
    </w:pPr>
  </w:style>
  <w:style w:type="character" w:customStyle="1" w:styleId="pjChar">
    <w:name w:val="p.j. Char"/>
    <w:basedOn w:val="TechnicalBlockChar"/>
    <w:link w:val="pj"/>
    <w:rsid w:val="0042323B"/>
    <w:rPr>
      <w:sz w:val="24"/>
      <w:lang w:eastAsia="fr-BE"/>
    </w:rPr>
  </w:style>
  <w:style w:type="paragraph" w:customStyle="1" w:styleId="HeaderCouncil">
    <w:name w:val="Header Council"/>
    <w:basedOn w:val="Normal"/>
    <w:link w:val="HeaderCouncilChar"/>
    <w:rsid w:val="0042323B"/>
    <w:rPr>
      <w:sz w:val="2"/>
    </w:rPr>
  </w:style>
  <w:style w:type="character" w:customStyle="1" w:styleId="HeaderCouncilChar">
    <w:name w:val="Header Council Char"/>
    <w:basedOn w:val="pjChar"/>
    <w:link w:val="HeaderCouncil"/>
    <w:rsid w:val="0042323B"/>
    <w:rPr>
      <w:sz w:val="2"/>
      <w:lang w:eastAsia="fr-BE"/>
    </w:rPr>
  </w:style>
  <w:style w:type="paragraph" w:customStyle="1" w:styleId="HeaderCouncilLarge">
    <w:name w:val="Header Council Large"/>
    <w:basedOn w:val="Normal"/>
    <w:link w:val="HeaderCouncilLargeChar"/>
    <w:rsid w:val="0042323B"/>
    <w:pPr>
      <w:spacing w:after="440"/>
    </w:pPr>
    <w:rPr>
      <w:sz w:val="2"/>
    </w:rPr>
  </w:style>
  <w:style w:type="character" w:customStyle="1" w:styleId="HeaderCouncilLargeChar">
    <w:name w:val="Header Council Large Char"/>
    <w:basedOn w:val="pjChar"/>
    <w:link w:val="HeaderCouncilLarge"/>
    <w:rsid w:val="0042323B"/>
    <w:rPr>
      <w:sz w:val="2"/>
      <w:lang w:eastAsia="fr-BE"/>
    </w:rPr>
  </w:style>
  <w:style w:type="paragraph" w:customStyle="1" w:styleId="FooterCouncil">
    <w:name w:val="Footer Council"/>
    <w:basedOn w:val="Normal"/>
    <w:link w:val="FooterCouncilChar"/>
    <w:rsid w:val="0042323B"/>
    <w:rPr>
      <w:sz w:val="2"/>
    </w:rPr>
  </w:style>
  <w:style w:type="character" w:customStyle="1" w:styleId="FooterCouncilChar">
    <w:name w:val="Footer Council Char"/>
    <w:basedOn w:val="pjChar"/>
    <w:link w:val="FooterCouncil"/>
    <w:rsid w:val="0042323B"/>
    <w:rPr>
      <w:sz w:val="2"/>
      <w:lang w:eastAsia="fr-BE"/>
    </w:rPr>
  </w:style>
  <w:style w:type="paragraph" w:customStyle="1" w:styleId="FooterText">
    <w:name w:val="Footer Text"/>
    <w:basedOn w:val="Normal"/>
    <w:rsid w:val="0042323B"/>
    <w:pPr>
      <w:widowControl/>
      <w:spacing w:line="240" w:lineRule="auto"/>
    </w:pPr>
    <w:rPr>
      <w:szCs w:val="24"/>
      <w:lang w:eastAsia="en-US"/>
    </w:rPr>
  </w:style>
  <w:style w:type="paragraph" w:customStyle="1" w:styleId="Titreobjet">
    <w:name w:val="Titre objet"/>
    <w:basedOn w:val="Normal"/>
    <w:next w:val="Normal"/>
    <w:rsid w:val="000D7600"/>
    <w:pPr>
      <w:widowControl/>
      <w:autoSpaceDE w:val="0"/>
      <w:autoSpaceDN w:val="0"/>
      <w:spacing w:before="360" w:after="360" w:line="240" w:lineRule="auto"/>
      <w:jc w:val="center"/>
    </w:pPr>
    <w:rPr>
      <w:b/>
      <w:bCs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0D7600"/>
    <w:pPr>
      <w:widowControl/>
      <w:autoSpaceDE w:val="0"/>
      <w:autoSpaceDN w:val="0"/>
      <w:ind w:left="720"/>
      <w:contextualSpacing/>
    </w:pPr>
    <w:rPr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B262-E6B8-40D3-8522-907CF8A0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600</Words>
  <Characters>3064</Characters>
  <Application>Microsoft Office Word</Application>
  <DocSecurity>0</DocSecurity>
  <Lines>105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ARTO HIJOS Maria Jose</dc:creator>
  <cp:lastModifiedBy>ARTO HIJOS Maria Jose</cp:lastModifiedBy>
  <cp:revision>6</cp:revision>
  <cp:lastPrinted>2004-04-02T13:43:00Z</cp:lastPrinted>
  <dcterms:created xsi:type="dcterms:W3CDTF">2016-05-12T12:51:00Z</dcterms:created>
  <dcterms:modified xsi:type="dcterms:W3CDTF">2016-05-12T16:30:00Z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3.7.7, Build 20151207</vt:lpwstr>
  </property>
  <property fmtid="{D5CDD505-2E9C-101B-9397-08002B2CF9AE}" pid="3" name="Last edited using">
    <vt:lpwstr>DocuWrite 3.7.7, Build 20151207</vt:lpwstr>
  </property>
</Properties>
</file>