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982D1E8ABA964526AE5992B7F92B607A" style="width:450.8pt;height:400.7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CopyToNewDocument_"/>
      <w:bookmarkStart w:id="1" w:name="_GoBack"/>
      <w:bookmarkEnd w:id="0"/>
      <w:bookmarkEnd w:id="1"/>
      <w:r>
        <w:rPr>
          <w:noProof/>
          <w:u w:val="none"/>
        </w:rPr>
        <w:lastRenderedPageBreak/>
        <w:t>ПРИЛОЖЕНИЕ 1</w:t>
      </w:r>
      <w:r>
        <w:rPr>
          <w:noProof/>
        </w:rPr>
        <w:br/>
      </w:r>
      <w:r>
        <w:rPr>
          <w:noProof/>
        </w:rPr>
        <w:br/>
      </w:r>
      <w:r>
        <w:rPr>
          <w:noProof/>
          <w:u w:val="none"/>
        </w:rPr>
        <w:t>РЕШЕНИЕ НА СЪВМЕСТНИЯ КОМИТЕТ НА ЕИП</w:t>
      </w:r>
      <w:r>
        <w:rPr>
          <w:noProof/>
        </w:rPr>
        <w:br/>
      </w:r>
      <w:r>
        <w:rPr>
          <w:noProof/>
          <w:u w:val="none"/>
        </w:rPr>
        <w:t>№</w:t>
      </w:r>
      <w:r>
        <w:rPr>
          <w:noProof/>
        </w:rPr>
        <w:br/>
      </w:r>
      <w:r>
        <w:rPr>
          <w:noProof/>
        </w:rPr>
        <w:br/>
      </w:r>
      <w:r>
        <w:rPr>
          <w:noProof/>
          <w:u w:val="none"/>
        </w:rPr>
        <w:t>от</w:t>
      </w:r>
      <w:r>
        <w:rPr>
          <w:noProof/>
        </w:rPr>
        <w:br/>
      </w:r>
      <w:r>
        <w:rPr>
          <w:noProof/>
        </w:rPr>
        <w:br/>
      </w:r>
      <w:r>
        <w:rPr>
          <w:noProof/>
          <w:u w:val="none"/>
        </w:rPr>
        <w:t>за изменение на приложение IX (Финансови услуги) към Споразумението за ЕИП</w:t>
      </w:r>
      <w:r>
        <w:rPr>
          <w:noProof/>
        </w:rPr>
        <w:br/>
      </w:r>
    </w:p>
    <w:p>
      <w:pPr>
        <w:pStyle w:val="Institutionquiagit"/>
        <w:rPr>
          <w:noProof/>
        </w:rPr>
      </w:pPr>
      <w:r>
        <w:rPr>
          <w:noProof/>
        </w:rPr>
        <w:t>СЪВМЕСТНИЯТ КОМИТЕТ НА ЕИП,</w:t>
      </w:r>
    </w:p>
    <w:p>
      <w:pPr>
        <w:rPr>
          <w:noProof/>
        </w:rPr>
      </w:pPr>
      <w:r>
        <w:rPr>
          <w:noProof/>
        </w:rPr>
        <w:t>като взе предвид Споразумението за Европейското икономическо пространство („Споразумението за ЕИП“), и по-специално член 98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9"/>
        </w:numPr>
        <w:rPr>
          <w:noProof/>
        </w:rPr>
      </w:pPr>
      <w:bookmarkStart w:id="2" w:name="DQPStarAt1DQPStarAt047F6F67119F4F5991D01"/>
      <w:bookmarkStart w:id="3" w:name="OLE_LINK1"/>
      <w:bookmarkStart w:id="4" w:name="OLE_LINK2"/>
      <w:bookmarkStart w:id="5" w:name="OLE_LINK7"/>
      <w:bookmarkEnd w:id="2"/>
      <w:r>
        <w:rPr>
          <w:noProof/>
        </w:rPr>
        <w:t>Регламент (ЕС) № 1092/2010 на Европейския парламент и на Съвета от 24 ноември 2010 г. за пруденциалния надзор върху финансовата система на Европейския съюз на макроравнище и за създаване на Европейски съвет за системен риск</w:t>
      </w:r>
      <w:bookmarkEnd w:id="3"/>
      <w:bookmarkEnd w:id="4"/>
      <w:bookmarkEnd w:id="5"/>
      <w:r>
        <w:rPr>
          <w:rStyle w:val="FootnoteReference"/>
          <w:noProof/>
        </w:rPr>
        <w:footnoteReference w:id="1"/>
      </w:r>
      <w:r>
        <w:rPr>
          <w:noProof/>
        </w:rPr>
        <w:t xml:space="preserve"> следва да бъде включен в Споразумението за ЕИП.</w:t>
      </w:r>
    </w:p>
    <w:p>
      <w:pPr>
        <w:pStyle w:val="Considrant"/>
        <w:rPr>
          <w:noProof/>
        </w:rPr>
      </w:pPr>
      <w:r>
        <w:rPr>
          <w:noProof/>
        </w:rPr>
        <w:t>Поради това приложение IX към Споразумението за ЕИП следва да бъде съответно изменено,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След точка 31дг (Решение 2010/C 326/07 на Комисията) от приложение IX към Споразумението за ЕИП се вмъква следното:</w:t>
      </w:r>
    </w:p>
    <w:p>
      <w:pPr>
        <w:pStyle w:val="Point0"/>
        <w:rPr>
          <w:noProof/>
        </w:rPr>
      </w:pPr>
      <w:r>
        <w:rPr>
          <w:noProof/>
        </w:rPr>
        <w:t>„31е.</w:t>
      </w:r>
      <w:r>
        <w:rPr>
          <w:noProof/>
        </w:rPr>
        <w:tab/>
      </w:r>
      <w:r>
        <w:rPr>
          <w:b/>
          <w:noProof/>
        </w:rPr>
        <w:t>32010 R 1092</w:t>
      </w:r>
      <w:r>
        <w:rPr>
          <w:noProof/>
        </w:rPr>
        <w:t>: Регламент (ЕС) № 1092/2010 на Европейския парламент и на Съвета от 24 ноември 2010 г. за пруденциалния надзор върху финансовата система на Европейския съюз на макроравнище и за създаване на Европейски съвет за системен риск (ОВ L 331, 15.12.2010 г., стр. 1).</w:t>
      </w:r>
    </w:p>
    <w:p>
      <w:pPr>
        <w:pStyle w:val="Text1"/>
        <w:rPr>
          <w:noProof/>
        </w:rPr>
      </w:pPr>
      <w:r>
        <w:rPr>
          <w:noProof/>
        </w:rPr>
        <w:t>За целите на настоящото споразумение разпоредбите на този регламент се четат със следните адаптации: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Съответните органи на държавите от ЕАСТ участват в работата на Европейския съвет за системен риск (ЕССР).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Независимо от разпоредбите на Протокол 1 към настоящото споразумение, в допълнение към значението си в този регламент понятията „държава(и) членка(и)“, „компетентни органи“ и „надзорни органи“ включват съответно и държавите от ЕАСТ, техните компетентни органи и техните надзорни органи. Това не се прилага по отношение на член 5, параграф 2, член 9, параграф 5 и член 11, параграф 1, буква в).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В член 6, параграф 2 се добавя следното:</w:t>
      </w:r>
    </w:p>
    <w:p>
      <w:pPr>
        <w:pStyle w:val="Point2"/>
        <w:rPr>
          <w:noProof/>
        </w:rPr>
      </w:pPr>
      <w:r>
        <w:rPr>
          <w:noProof/>
        </w:rPr>
        <w:lastRenderedPageBreak/>
        <w:t>„в)</w:t>
      </w:r>
      <w:r>
        <w:rPr>
          <w:noProof/>
        </w:rPr>
        <w:tab/>
        <w:t>управителите на националните централни банки на държавите от ЕАСТ или, що се отнася до Лихтенщайн, представител на високо равнище на Министерството на финансите</w:t>
      </w:r>
      <w:bookmarkStart w:id="6" w:name="OLE_LINK3"/>
      <w:bookmarkStart w:id="7" w:name="OLE_LINK4"/>
      <w:r>
        <w:rPr>
          <w:noProof/>
        </w:rPr>
        <w:t>;</w:t>
      </w:r>
    </w:p>
    <w:p>
      <w:pPr>
        <w:pStyle w:val="Point2"/>
        <w:rPr>
          <w:noProof/>
        </w:rPr>
      </w:pPr>
      <w:r>
        <w:rPr>
          <w:noProof/>
        </w:rPr>
        <w:t>г)</w:t>
      </w:r>
      <w:r>
        <w:rPr>
          <w:noProof/>
        </w:rPr>
        <w:tab/>
        <w:t>член на колегиума на Надзорния орган на ЕАСТ в случаите, отнасящи се до задачите на този орган.</w:t>
      </w:r>
      <w:bookmarkEnd w:id="6"/>
      <w:bookmarkEnd w:id="7"/>
    </w:p>
    <w:p>
      <w:pPr>
        <w:pStyle w:val="Text1"/>
        <w:ind w:left="1416"/>
        <w:rPr>
          <w:noProof/>
        </w:rPr>
      </w:pPr>
      <w:r>
        <w:rPr>
          <w:noProof/>
        </w:rPr>
        <w:t>Членовете на Генералния съвет без право на глас, посочени в букви в) и г), не участват в работата на Генералния съвет, когато може да бъде обсъждано състоянието на отделни финансови институции на ЕС или държави — членки на ЕС.“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В член 13, параграф 1 се добавя следната буква:</w:t>
      </w:r>
    </w:p>
    <w:p>
      <w:pPr>
        <w:pStyle w:val="Point2"/>
        <w:rPr>
          <w:noProof/>
        </w:rPr>
      </w:pPr>
      <w:r>
        <w:rPr>
          <w:noProof/>
        </w:rPr>
        <w:t>„и)</w:t>
      </w:r>
      <w:r>
        <w:rPr>
          <w:noProof/>
        </w:rPr>
        <w:tab/>
        <w:t>по един представител на всяка от националните централни банки на държавите от ЕАСТ, a по отношение на Лихтенщайн — на Министерството на финансите</w:t>
      </w:r>
      <w:bookmarkStart w:id="8" w:name="OLE_LINK5"/>
      <w:bookmarkStart w:id="9" w:name="OLE_LINK6"/>
      <w:r>
        <w:rPr>
          <w:noProof/>
        </w:rPr>
        <w:t>.</w:t>
      </w:r>
      <w:bookmarkEnd w:id="8"/>
      <w:bookmarkEnd w:id="9"/>
      <w:r>
        <w:rPr>
          <w:noProof/>
        </w:rPr>
        <w:t xml:space="preserve"> Тези представители не участват в работата на Консултативния технически комитет, когато може да бъде обсъждано състоянието на отделни финансови институции на ЕС или държави — членки на ЕС.“</w:t>
      </w: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>В член 15, параграф 2 се добавя следната алинея:</w:t>
      </w:r>
    </w:p>
    <w:p>
      <w:pPr>
        <w:pStyle w:val="Text1"/>
        <w:ind w:left="1416"/>
        <w:rPr>
          <w:noProof/>
        </w:rPr>
      </w:pPr>
      <w:r>
        <w:rPr>
          <w:noProof/>
        </w:rPr>
        <w:t>„Надзорният орган на ЕАСТ, националните централни банки, националните надзорни органи и националните статистически органи на държавите от ЕАСТ осъществяват тясно сътрудничество с ЕССР и му предоставят цялата информация, необходима за изпълнение на неговите задачи в съответствие със Споразумението за ЕИП.“</w:t>
      </w:r>
    </w:p>
    <w:p>
      <w:pPr>
        <w:pStyle w:val="Point1"/>
        <w:rPr>
          <w:noProof/>
        </w:rPr>
      </w:pPr>
      <w:r>
        <w:rPr>
          <w:noProof/>
        </w:rPr>
        <w:t>е)</w:t>
      </w:r>
      <w:r>
        <w:rPr>
          <w:noProof/>
        </w:rPr>
        <w:tab/>
        <w:t>В член 16, параграф 3 след думата „Комисията“ се добавят думите „, а когато адресати са държава от ЕАСТ или един или повече от нейните национални надзорни органи — на Постоянния комитет на държавите от ЕАСТ,“, а след думата „ЕНО“ се добавят думите „и на Надзорния орган на ЕАСТ“.</w:t>
      </w:r>
    </w:p>
    <w:p>
      <w:pPr>
        <w:pStyle w:val="Point1"/>
        <w:rPr>
          <w:noProof/>
        </w:rPr>
      </w:pPr>
      <w:r>
        <w:rPr>
          <w:noProof/>
        </w:rPr>
        <w:t>ж)</w:t>
      </w:r>
      <w:r>
        <w:rPr>
          <w:noProof/>
        </w:rPr>
        <w:tab/>
        <w:t>В член 17, параграфи 1 и 2 и в член 18, параграф 1 след думата „Съвета“ се добавят думите „,а когато адресати са държава от ЕАСТ или един или повече от нейните национални надзорни органи — Постоянния комитет на държавите от ЕАСТ,“.</w:t>
      </w:r>
    </w:p>
    <w:p>
      <w:pPr>
        <w:pStyle w:val="Point1"/>
        <w:rPr>
          <w:noProof/>
        </w:rPr>
      </w:pPr>
      <w:r>
        <w:rPr>
          <w:noProof/>
        </w:rPr>
        <w:t>з)</w:t>
      </w:r>
      <w:r>
        <w:rPr>
          <w:noProof/>
        </w:rPr>
        <w:tab/>
        <w:t>Член 17, параграф 3 не се прилага по отношение на решенията относно препоръки, отправени до една или повече от държавите от ЕАСТ.</w:t>
      </w:r>
    </w:p>
    <w:p>
      <w:pPr>
        <w:pStyle w:val="Point1"/>
        <w:rPr>
          <w:noProof/>
        </w:rPr>
      </w:pPr>
      <w:r>
        <w:rPr>
          <w:noProof/>
        </w:rPr>
        <w:t>и)</w:t>
      </w:r>
      <w:r>
        <w:rPr>
          <w:noProof/>
        </w:rPr>
        <w:tab/>
        <w:t>В член 18, параграф 4 след думата „ЕНО“ се добавят думите „, Надзорният орган на ЕАСТ и Постоянният комитет на държавите от ЕАСТ“.“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 xml:space="preserve">Текстовете на Регламент (ЕС) № 1092/2010 на исландски и норвежки език, които ще бъдат публикувани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, са автентични.</w:t>
      </w:r>
    </w:p>
    <w:p>
      <w:pPr>
        <w:pStyle w:val="Titrearticle"/>
        <w:rPr>
          <w:noProof/>
        </w:rPr>
      </w:pPr>
      <w:r>
        <w:rPr>
          <w:noProof/>
        </w:rPr>
        <w:lastRenderedPageBreak/>
        <w:t>Член 3</w:t>
      </w:r>
    </w:p>
    <w:p>
      <w:pPr>
        <w:rPr>
          <w:noProof/>
        </w:rPr>
      </w:pPr>
      <w:r>
        <w:rPr>
          <w:noProof/>
        </w:rPr>
        <w:t xml:space="preserve">Настоящото решение влиза в сила на ... </w:t>
      </w:r>
      <w:r>
        <w:rPr>
          <w:rStyle w:val="Strong"/>
          <w:b w:val="0"/>
          <w:noProof/>
        </w:rPr>
        <w:t>или в деня, следващ последната от нотификациите, предвидени в член 103, параграф 1 от Споразумението за ЕИП, в зависимост от това коя от двете дати е по-късната</w:t>
      </w:r>
      <w:r>
        <w:rPr>
          <w:rStyle w:val="FootnoteReference"/>
          <w:noProof/>
        </w:rPr>
        <w:footnoteReference w:customMarkFollows="1" w:id="2"/>
        <w:t>*</w:t>
      </w:r>
      <w:r>
        <w:rPr>
          <w:noProof/>
        </w:rPr>
        <w:t xml:space="preserve">. </w:t>
      </w:r>
    </w:p>
    <w:p>
      <w:pPr>
        <w:pStyle w:val="Titrearticle"/>
        <w:rPr>
          <w:noProof/>
        </w:rPr>
      </w:pPr>
      <w:r>
        <w:rPr>
          <w:noProof/>
        </w:rPr>
        <w:t>Член 4</w:t>
      </w:r>
    </w:p>
    <w:p>
      <w:pPr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[…]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Съвместния комитет на ЕИП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  <w:t>Секретари</w:t>
      </w:r>
      <w:r>
        <w:rPr>
          <w:noProof/>
        </w:rPr>
        <w:br/>
      </w:r>
      <w:r>
        <w:rPr>
          <w:noProof/>
        </w:rPr>
        <w:tab/>
        <w:t>на Съвместния комитет на ЕИП</w:t>
      </w:r>
      <w:r>
        <w:rPr>
          <w:noProof/>
        </w:rPr>
        <w:br/>
      </w:r>
      <w:r>
        <w:rPr>
          <w:noProof/>
        </w:rPr>
        <w:tab/>
      </w:r>
    </w:p>
    <w:p>
      <w:pPr>
        <w:jc w:val="center"/>
        <w:rPr>
          <w:b/>
          <w:i/>
          <w:noProof/>
        </w:rPr>
      </w:pPr>
      <w:r>
        <w:rPr>
          <w:noProof/>
        </w:rPr>
        <w:br w:type="page"/>
      </w:r>
      <w:r>
        <w:rPr>
          <w:b/>
          <w:noProof/>
        </w:rPr>
        <w:lastRenderedPageBreak/>
        <w:t>Съвместна декларация на договарящите се страни</w:t>
      </w:r>
    </w:p>
    <w:p>
      <w:pPr>
        <w:jc w:val="center"/>
        <w:rPr>
          <w:b/>
          <w:noProof/>
        </w:rPr>
      </w:pPr>
      <w:r>
        <w:rPr>
          <w:b/>
          <w:noProof/>
        </w:rPr>
        <w:t>към Решение № …/… за включване на Регламент (ЕС) № 1092/2010 в Споразумението за ЕИП</w:t>
      </w:r>
      <w:r>
        <w:rPr>
          <w:noProof/>
        </w:rPr>
        <w:br/>
      </w:r>
    </w:p>
    <w:p>
      <w:pPr>
        <w:rPr>
          <w:noProof/>
        </w:rPr>
      </w:pPr>
      <w:r>
        <w:rPr>
          <w:noProof/>
        </w:rPr>
        <w:t>Договарящите се страни отбелязват, че в Регламент (ЕС) № 1092/2010 се допуска само до определена степен участие на държави извън ЕС в Европейския съвет за системен риск. В контекста на евентуалните бъдещи изменения на Регламент (ЕС) № 1092/2010 ЕС ще прецени дали на членуващите в ЕИП държави от ЕАСТ може да бъде предоставено право на участие, съответстващо на участието на тези държави в трите европейски надзорни органа съгласно решения на Съвместния комитет на ЕИП № .../..., № .../... и № .../....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ОВ L 331, 15.12.2010 г., стр. 1.</w:t>
      </w:r>
    </w:p>
  </w:footnote>
  <w:footnote w:id="2">
    <w:p>
      <w:pPr>
        <w:pStyle w:val="FootnoteText"/>
      </w:pPr>
      <w:r>
        <w:rPr>
          <w:rStyle w:val="FootnoteReference"/>
        </w:rPr>
        <w:t>*</w:t>
      </w:r>
      <w:r>
        <w:t xml:space="preserve"> </w:t>
      </w:r>
      <w:r>
        <w:tab/>
        <w:t>С отбелязани конституционни изисквания.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B90C2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2FEF5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1AE1A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6D447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DB440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730B3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AE4E7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518B2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06-09 13:23:4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982D1E8ABA964526AE5992B7F92B607A"/>
    <w:docVar w:name="LW_CROSSREFERENCE" w:val="&lt;UNUSED&gt;"/>
    <w:docVar w:name="LW_DocType" w:val="COM"/>
    <w:docVar w:name="LW_EMISSION" w:val="31.5.2016"/>
    <w:docVar w:name="LW_EMISSION_ISODATE" w:val="2016-05-3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6) 319"/>
    <w:docVar w:name="LW_REF.INTERNE" w:val="&lt;UNUSED&gt;"/>
    <w:docVar w:name="LW_STATUT.CP" w:val="&lt;UNUSED&gt;"/>
    <w:docVar w:name="LW_SUPERTITRE" w:val="&lt;UNUSED&gt;"/>
    <w:docVar w:name="LW_TITRE.OBJ" w:val="\u1082?\u1098?\u1084?_x000b__x000b_\u1055?\u1088?\u1077?\u1076?\u1083?\u1086?\u1078?\u1077?\u1085?\u1080?\u1077?\u1090?\u1086? \u1079?\u1072? \u1056?\u1077?\u1096?\u1077?\u1085?\u1080?\u1077? \u1085?\u1072? \u1057?\u1098?\u1074?\u1077?\u1090?\u1072?_x000b__x000b_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_x000b_\u1074? \u1088?\u1072?\u1084?\u1082?\u1080?\u1090?\u1077? \u1085?\u1072? \u1057?\u1098?\u1074?\u1084?\u1077?\u1089?\u1090?\u1085?\u1080?\u1103? \u1082?\u1086?\u1084?\u1080?\u1090?\u1077?\u1090? \u1085?\u1072? \u1045?\u1048?\u1055? \u1086?\u1090?\u1085?\u1086?\u1089?\u1085?\u1086? \u1080?\u1079?\u1084?\u1077?\u1085?\u1077?\u1085?\u1080?\u1077? \u1085?\u1072? \u1087?\u1088?\u1080?\u1083?\u1086?\u1078?\u1077?\u1085?\u1080?\u1077? IX_x000b_(\u1060?\u1080?\u1085?\u1072?\u1085?\u1089?\u1086?\u1074?\u1080? \u1091?\u1089?\u1083?\u1091?\u1075?\u1080?) \u1082?\u1098?\u1084? \u1057?\u1087?\u1086?\u1088?\u1072?\u1079?\u1091?\u1084?\u1077?\u1085?\u1080?\u1077?\u1090?\u1086? \u1079?\u1072? \u1045?\u1048?\u1055?"/>
    <w:docVar w:name="LW_TITRE.OBJ.CP" w:val="\u1082?\u1098?\u1084?_x000b__x000b_\u1055?\u1088?\u1077?\u1076?\u1083?\u1086?\u1078?\u1077?\u1085?\u1080?\u1077?\u1090?\u1086? \u1079?\u1072? \u1056?\u1077?\u1096?\u1077?\u1085?\u1080?\u1077? \u1085?\u1072? \u1057?\u1098?\u1074?\u1077?\u1090?\u1072?_x000b__x000b_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_x000b_\u1074? \u1088?\u1072?\u1084?\u1082?\u1080?\u1090?\u1077? \u1085?\u1072? \u1057?\u1098?\u1074?\u1084?\u1077?\u1089?\u1090?\u1085?\u1080?\u1103? \u1082?\u1086?\u1084?\u1080?\u1090?\u1077?\u1090? \u1085?\u1072? \u1045?\u1048?\u1055? \u1086?\u1090?\u1085?\u1086?\u1089?\u1085?\u1086? \u1080?\u1079?\u1084?\u1077?\u1085?\u1077?\u1085?\u1080?\u1077? \u1085?\u1072? \u1087?\u1088?\u1080?\u1083?\u1086?\u1078?\u1077?\u1085?\u1080?\u1077? IX_x000b_(\u1060?\u1080?\u1085?\u1072?\u1085?\u1089?\u1086?\u1074?\u1080? \u1091?\u1089?\u1083?\u1091?\u1075?\u1080?) \u1082?\u1098?\u1084? \u1057?\u1087?\u1086?\u1088?\u1072?\u1079?\u1091?\u1084?\u1077?\u1085?\u1080?\u1077?\u1090?\u1086? \u1079?\u1072? \u1045?\u1048?\u1055?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.CP" w:val="&lt;UNUSED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ListNumber">
    <w:name w:val="List Number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1397B-7A4E-4DC2-9BF9-061A634B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5</Pages>
  <Words>811</Words>
  <Characters>4254</Characters>
  <Application>Microsoft Office Word</Application>
  <DocSecurity>0</DocSecurity>
  <Lines>109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RIBEIRO MIRANDA (EEAS)</dc:creator>
  <cp:keywords/>
  <dc:description/>
  <cp:lastModifiedBy>DIGIT/A3</cp:lastModifiedBy>
  <cp:revision>7</cp:revision>
  <dcterms:created xsi:type="dcterms:W3CDTF">2016-06-01T09:09:00Z</dcterms:created>
  <dcterms:modified xsi:type="dcterms:W3CDTF">2016-06-09T11:23:00Z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20141001</vt:lpwstr>
  </property>
  <property fmtid="{D5CDD505-2E9C-101B-9397-08002B2CF9AE}" pid="7" name="BackOfficeType">
    <vt:lpwstr>growBusiness Solutions</vt:lpwstr>
  </property>
  <property fmtid="{D5CDD505-2E9C-101B-9397-08002B2CF9AE}" pid="8" name="Server">
    <vt:lpwstr>bdm4</vt:lpwstr>
  </property>
  <property fmtid="{D5CDD505-2E9C-101B-9397-08002B2CF9AE}" pid="9" name="Protocol">
    <vt:lpwstr>off</vt:lpwstr>
  </property>
  <property fmtid="{D5CDD505-2E9C-101B-9397-08002B2CF9AE}" pid="10" name="Site">
    <vt:lpwstr>/locator.aspx</vt:lpwstr>
  </property>
  <property fmtid="{D5CDD505-2E9C-101B-9397-08002B2CF9AE}" pid="11" name="FileID">
    <vt:lpwstr>317893</vt:lpwstr>
  </property>
  <property fmtid="{D5CDD505-2E9C-101B-9397-08002B2CF9AE}" pid="12" name="VerID">
    <vt:lpwstr>0</vt:lpwstr>
  </property>
  <property fmtid="{D5CDD505-2E9C-101B-9397-08002B2CF9AE}" pid="13" name="FilePath">
    <vt:lpwstr>\\BDM4\360users\work\efta\ttzierop</vt:lpwstr>
  </property>
  <property fmtid="{D5CDD505-2E9C-101B-9397-08002B2CF9AE}" pid="14" name="FileName">
    <vt:lpwstr>13-12182-1 32010R1092.A09 317893_317900_0.DOC</vt:lpwstr>
  </property>
  <property fmtid="{D5CDD505-2E9C-101B-9397-08002B2CF9AE}" pid="15" name="FullFileName">
    <vt:lpwstr>\\BDM4\360users\work\efta\ttzierop\13-12182-1 32010R1092.A09 317893_317900_0.DOC</vt:lpwstr>
  </property>
  <property fmtid="{D5CDD505-2E9C-101B-9397-08002B2CF9AE}" pid="16" name="First annex">
    <vt:lpwstr>1</vt:lpwstr>
  </property>
  <property fmtid="{D5CDD505-2E9C-101B-9397-08002B2CF9AE}" pid="17" name="Last annex">
    <vt:lpwstr>1</vt:lpwstr>
  </property>
  <property fmtid="{D5CDD505-2E9C-101B-9397-08002B2CF9AE}" pid="18" name="Part">
    <vt:lpwstr>1</vt:lpwstr>
  </property>
  <property fmtid="{D5CDD505-2E9C-101B-9397-08002B2CF9AE}" pid="19" name="Total parts">
    <vt:lpwstr>1</vt:lpwstr>
  </property>
  <property fmtid="{D5CDD505-2E9C-101B-9397-08002B2CF9AE}" pid="20" name="LWTemplateID">
    <vt:lpwstr>SG-017</vt:lpwstr>
  </property>
  <property fmtid="{D5CDD505-2E9C-101B-9397-08002B2CF9AE}" pid="21" name="DQCStatus">
    <vt:lpwstr>Green (DQC version 03)</vt:lpwstr>
  </property>
</Properties>
</file>