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73" w:rsidRDefault="001E420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C4562832E8B4CC6AF21F9C28484A1F8" style="width:450.6pt;height:351.6pt">
            <v:imagedata r:id="rId8" o:title=""/>
          </v:shape>
        </w:pict>
      </w:r>
    </w:p>
    <w:p w:rsidR="001F4C73" w:rsidRDefault="001F4C73">
      <w:pPr>
        <w:rPr>
          <w:noProof/>
        </w:rPr>
        <w:sectPr w:rsidR="001F4C73" w:rsidSect="001E420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F4C73" w:rsidRDefault="001E420B">
      <w:pPr>
        <w:pStyle w:val="Exposdesmotifstitre"/>
        <w:rPr>
          <w:noProof/>
        </w:rPr>
      </w:pPr>
      <w:r>
        <w:rPr>
          <w:noProof/>
        </w:rPr>
        <w:lastRenderedPageBreak/>
        <w:t>EXPOSÉ DES MOTIFS</w:t>
      </w:r>
    </w:p>
    <w:p w:rsidR="001F4C73" w:rsidRDefault="001E420B">
      <w:pPr>
        <w:pStyle w:val="ManualHeading1"/>
        <w:rPr>
          <w:noProof/>
        </w:rPr>
      </w:pPr>
      <w:r>
        <w:rPr>
          <w:noProof/>
        </w:rPr>
        <w:t>1.</w:t>
      </w:r>
      <w:r>
        <w:rPr>
          <w:noProof/>
        </w:rPr>
        <w:tab/>
        <w:t>CONTEXTE DE LA PROPOSITION</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Justification et objectifs de la proposition</w:t>
      </w:r>
    </w:p>
    <w:p w:rsidR="001F4C73" w:rsidRDefault="001E420B">
      <w:pPr>
        <w:pBdr>
          <w:top w:val="nil"/>
          <w:left w:val="nil"/>
          <w:bottom w:val="nil"/>
          <w:right w:val="nil"/>
          <w:between w:val="nil"/>
          <w:bar w:val="nil"/>
        </w:pBdr>
        <w:spacing w:before="0" w:after="240"/>
        <w:rPr>
          <w:noProof/>
        </w:rPr>
      </w:pPr>
      <w:r>
        <w:rPr>
          <w:noProof/>
        </w:rPr>
        <w:t xml:space="preserve">À la </w:t>
      </w:r>
      <w:r>
        <w:rPr>
          <w:noProof/>
        </w:rPr>
        <w:t xml:space="preserve">suite des arrêts de la Cour de justice dans les affaires dites de «ciel ouvert», le Conseil a, le 5 juin 2003, autorisé la Commission à ouvrir des négociations avec les pays tiers en vue de remplacer certaines dispositions des accords bilatéraux existants </w:t>
      </w:r>
      <w:r>
        <w:rPr>
          <w:noProof/>
        </w:rPr>
        <w:t xml:space="preserve">relatifs aux services aériens par un accord au niveau de l’Union (l'«habilitation horizontale»). Ces accords ont pour objet de permettre à tous les transporteurs aériens de l'UE d'accéder sans discrimination aux liaisons aériennes entre l'Union européenne </w:t>
      </w:r>
      <w:r>
        <w:rPr>
          <w:noProof/>
        </w:rPr>
        <w:t>et les pays tiers et de mettre ainsi les accords bilatéraux relatifs aux services aériens conclus entre les États membres et les pays tiers en conformité avec le droit de l'Union.</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dispositions existantes dans le domaine d’action</w:t>
      </w:r>
    </w:p>
    <w:p w:rsidR="001F4C73" w:rsidRDefault="001E420B">
      <w:pPr>
        <w:pBdr>
          <w:top w:val="nil"/>
          <w:left w:val="nil"/>
          <w:bottom w:val="nil"/>
          <w:right w:val="nil"/>
          <w:between w:val="nil"/>
          <w:bar w:val="nil"/>
        </w:pBdr>
        <w:spacing w:before="0" w:after="240"/>
        <w:rPr>
          <w:noProof/>
        </w:rPr>
      </w:pPr>
      <w:r>
        <w:rPr>
          <w:noProof/>
        </w:rPr>
        <w:t>Les di</w:t>
      </w:r>
      <w:r>
        <w:rPr>
          <w:noProof/>
        </w:rPr>
        <w:t>spositions de l’accord prévalent sur les dispositions actuelles des dix accords bilatéraux relatifs aux services aériens conclus entre les États membres et la République des Philippines, ou les complètent.</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rsidR="001F4C73" w:rsidRDefault="001E420B">
      <w:pPr>
        <w:pBdr>
          <w:top w:val="nil"/>
          <w:left w:val="nil"/>
          <w:bottom w:val="nil"/>
          <w:right w:val="nil"/>
          <w:between w:val="nil"/>
          <w:bar w:val="nil"/>
        </w:pBdr>
        <w:spacing w:before="0" w:after="240"/>
        <w:rPr>
          <w:noProof/>
        </w:rPr>
      </w:pPr>
      <w:r>
        <w:rPr>
          <w:noProof/>
        </w:rPr>
        <w:t>L'accord répondra à un objectif essentiel de la politique extérieure de l'Union dans le domaine de l'aviation en mettant les accords bilatéraux existants relatifs aux services aériens en conformité avec le droit de l'Union.</w:t>
      </w:r>
    </w:p>
    <w:p w:rsidR="001F4C73" w:rsidRDefault="001E420B">
      <w:pPr>
        <w:pStyle w:val="ManualHeading1"/>
        <w:rPr>
          <w:noProof/>
        </w:rPr>
      </w:pPr>
      <w:r>
        <w:rPr>
          <w:noProof/>
        </w:rPr>
        <w:t>2.</w:t>
      </w:r>
      <w:r>
        <w:rPr>
          <w:noProof/>
        </w:rPr>
        <w:tab/>
        <w:t xml:space="preserve">BASE JURIDIQUE, SUBSIDIARITÉ </w:t>
      </w:r>
      <w:r>
        <w:rPr>
          <w:noProof/>
        </w:rPr>
        <w:t>ET PROPORTIONNALITÉ</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Base juridique</w:t>
      </w:r>
    </w:p>
    <w:p w:rsidR="001F4C73" w:rsidRDefault="001E420B">
      <w:pPr>
        <w:pBdr>
          <w:top w:val="nil"/>
          <w:left w:val="nil"/>
          <w:bottom w:val="nil"/>
          <w:right w:val="nil"/>
          <w:between w:val="nil"/>
          <w:bar w:val="nil"/>
        </w:pBdr>
        <w:spacing w:before="0" w:after="240"/>
        <w:rPr>
          <w:noProof/>
        </w:rPr>
      </w:pPr>
      <w:r>
        <w:rPr>
          <w:noProof/>
        </w:rPr>
        <w:t>Article 100, paragraphe 2, et article 218, paragraphe 6, point a), du traité sur le fonctionnement de l'Union européenne.</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Subsidiarité (en cas de compétence non exclusive) </w:t>
      </w:r>
    </w:p>
    <w:p w:rsidR="001F4C73" w:rsidRDefault="001E420B">
      <w:pPr>
        <w:pBdr>
          <w:top w:val="nil"/>
          <w:left w:val="nil"/>
          <w:bottom w:val="nil"/>
          <w:right w:val="nil"/>
          <w:between w:val="nil"/>
          <w:bar w:val="nil"/>
        </w:pBdr>
        <w:spacing w:before="0" w:after="240"/>
        <w:rPr>
          <w:noProof/>
        </w:rPr>
      </w:pPr>
      <w:r>
        <w:rPr>
          <w:noProof/>
        </w:rPr>
        <w:t xml:space="preserve">La proposition repose entièrement sur </w:t>
      </w:r>
      <w:r>
        <w:rPr>
          <w:noProof/>
        </w:rPr>
        <w:t>l'«habilitation horizontale» donnée par le Conseil compte tenu des aspects couverts par le droit de l'Union et les accords bilatéraux relatifs aux services aériens.</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rsidR="001F4C73" w:rsidRDefault="001E420B">
      <w:pPr>
        <w:pBdr>
          <w:top w:val="nil"/>
          <w:left w:val="nil"/>
          <w:bottom w:val="nil"/>
          <w:right w:val="nil"/>
          <w:between w:val="nil"/>
          <w:bar w:val="nil"/>
        </w:pBdr>
        <w:spacing w:before="0" w:after="240"/>
        <w:rPr>
          <w:noProof/>
        </w:rPr>
      </w:pPr>
      <w:r>
        <w:rPr>
          <w:noProof/>
        </w:rPr>
        <w:t>L'accord modifiera ou complétera les dispositions des accords bilatéraux</w:t>
      </w:r>
      <w:r>
        <w:rPr>
          <w:noProof/>
        </w:rPr>
        <w:t xml:space="preserve"> relatifs aux services aériens uniquement dans la mesure requise pour garantir la conformité au droit de l'Union.</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rsidR="001F4C73" w:rsidRDefault="001E420B">
      <w:pPr>
        <w:pBdr>
          <w:top w:val="nil"/>
          <w:left w:val="nil"/>
          <w:bottom w:val="nil"/>
          <w:right w:val="nil"/>
          <w:between w:val="nil"/>
          <w:bar w:val="nil"/>
        </w:pBdr>
        <w:spacing w:before="0" w:after="240"/>
        <w:rPr>
          <w:noProof/>
        </w:rPr>
      </w:pPr>
      <w:r>
        <w:rPr>
          <w:noProof/>
        </w:rPr>
        <w:t xml:space="preserve">L’accord conclu entre l'Union et la République des Philippines est l’instrument le plus efficace pour mettre tous les </w:t>
      </w:r>
      <w:r>
        <w:rPr>
          <w:noProof/>
        </w:rPr>
        <w:t>accords bilatéraux existants relatifs aux services aériens conclus entre les États membres et la République des Philippines en conformité avec le droit de l'Union.</w:t>
      </w:r>
    </w:p>
    <w:p w:rsidR="001F4C73" w:rsidRDefault="001E420B">
      <w:pPr>
        <w:pStyle w:val="ManualHeading1"/>
        <w:rPr>
          <w:noProof/>
        </w:rPr>
      </w:pPr>
      <w:r>
        <w:rPr>
          <w:noProof/>
        </w:rPr>
        <w:lastRenderedPageBreak/>
        <w:t>3.</w:t>
      </w:r>
      <w:r>
        <w:rPr>
          <w:noProof/>
        </w:rPr>
        <w:tab/>
        <w:t>RÉSULTATS DES ÉVALUATIONS EX POST, DES CONSULTATIONS DES PARTIES INTÉRESSÉES ET DES ANALY</w:t>
      </w:r>
      <w:r>
        <w:rPr>
          <w:noProof/>
        </w:rPr>
        <w:t>SES D’IMPACT</w:t>
      </w:r>
    </w:p>
    <w:p w:rsidR="001F4C73" w:rsidRDefault="001E420B">
      <w:pPr>
        <w:pStyle w:val="ManualHeading2"/>
        <w:rPr>
          <w:rFonts w:eastAsia="Arial Unicode MS"/>
          <w:noProof/>
          <w:u w:color="000000"/>
          <w:bdr w:val="nil"/>
        </w:rPr>
      </w:pPr>
      <w:r>
        <w:rPr>
          <w:noProof/>
        </w:rPr>
        <w:t>•</w:t>
      </w:r>
      <w:r>
        <w:rPr>
          <w:noProof/>
        </w:rPr>
        <w:tab/>
        <w:t>Évaluations ex post/bilans de qualité de la législation existante</w:t>
      </w:r>
    </w:p>
    <w:p w:rsidR="001F4C73" w:rsidRDefault="001E420B">
      <w:pPr>
        <w:pBdr>
          <w:top w:val="nil"/>
          <w:left w:val="nil"/>
          <w:bottom w:val="nil"/>
          <w:right w:val="nil"/>
          <w:between w:val="nil"/>
          <w:bar w:val="nil"/>
        </w:pBdr>
        <w:spacing w:before="0" w:after="240"/>
        <w:rPr>
          <w:noProof/>
        </w:rPr>
      </w:pPr>
      <w:r>
        <w:rPr>
          <w:noProof/>
        </w:rPr>
        <w:t>Sans objet.</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rsidR="001F4C73" w:rsidRDefault="001E420B">
      <w:pPr>
        <w:pBdr>
          <w:top w:val="nil"/>
          <w:left w:val="nil"/>
          <w:bottom w:val="nil"/>
          <w:right w:val="nil"/>
          <w:between w:val="nil"/>
          <w:bar w:val="nil"/>
        </w:pBdr>
        <w:spacing w:before="0" w:after="240"/>
        <w:rPr>
          <w:noProof/>
        </w:rPr>
      </w:pPr>
      <w:r>
        <w:rPr>
          <w:noProof/>
        </w:rPr>
        <w:t xml:space="preserve">Conformément à l’article 218, paragraphe 4, du TFUE, la Commission a mené les négociations en consultation avec un comité </w:t>
      </w:r>
      <w:r>
        <w:rPr>
          <w:noProof/>
        </w:rPr>
        <w:t>spécial. Les acteurs du secteur ont également été consultés lors des négociations. Les observations émises pendant ce processus ont été prises en considération. Les États membres concernés ont vérifié l’exactitude des références aux accords bilatéraux rela</w:t>
      </w:r>
      <w:r>
        <w:rPr>
          <w:noProof/>
        </w:rPr>
        <w:t>tifs aux services aériens. Les acteurs du secteur ont souligné l’importance d’une base juridique solide pour leurs opérations commerciales.</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rsidR="001F4C73" w:rsidRDefault="001E420B">
      <w:pPr>
        <w:pBdr>
          <w:top w:val="nil"/>
          <w:left w:val="nil"/>
          <w:bottom w:val="nil"/>
          <w:right w:val="nil"/>
          <w:between w:val="nil"/>
          <w:bar w:val="nil"/>
        </w:pBdr>
        <w:spacing w:before="0" w:after="240"/>
        <w:rPr>
          <w:noProof/>
        </w:rPr>
      </w:pPr>
      <w:r>
        <w:rPr>
          <w:noProof/>
        </w:rPr>
        <w:t>Sans objet.</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rsidR="001F4C73" w:rsidRDefault="001E420B">
      <w:pPr>
        <w:pBdr>
          <w:top w:val="nil"/>
          <w:left w:val="nil"/>
          <w:bottom w:val="nil"/>
          <w:right w:val="nil"/>
          <w:between w:val="nil"/>
          <w:bar w:val="nil"/>
        </w:pBdr>
        <w:spacing w:before="0" w:after="240"/>
        <w:rPr>
          <w:noProof/>
        </w:rPr>
      </w:pPr>
      <w:r>
        <w:rPr>
          <w:noProof/>
        </w:rPr>
        <w:t>Sans objet.</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w:t>
      </w:r>
      <w:r>
        <w:rPr>
          <w:noProof/>
          <w:color w:val="000000"/>
          <w:u w:color="000000"/>
          <w:bdr w:val="nil"/>
        </w:rPr>
        <w:t>fication</w:t>
      </w:r>
    </w:p>
    <w:p w:rsidR="001F4C73" w:rsidRDefault="001E420B">
      <w:pPr>
        <w:pBdr>
          <w:top w:val="nil"/>
          <w:left w:val="nil"/>
          <w:bottom w:val="nil"/>
          <w:right w:val="nil"/>
          <w:between w:val="nil"/>
          <w:bar w:val="nil"/>
        </w:pBdr>
        <w:spacing w:before="0" w:after="240"/>
        <w:rPr>
          <w:noProof/>
        </w:rPr>
      </w:pPr>
      <w:r>
        <w:rPr>
          <w:noProof/>
        </w:rPr>
        <w:t>La proposition constitue une simplification de la législation. Les dispositions pertinentes des accords bilatéraux relatifs aux services aériens conclus entre les États membres et la République des Philippines seront remplacées ou complétées par l</w:t>
      </w:r>
      <w:r>
        <w:rPr>
          <w:noProof/>
        </w:rPr>
        <w:t>es dispositions d’un accord unique.</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rsidR="001F4C73" w:rsidRDefault="001E420B">
      <w:pPr>
        <w:pBdr>
          <w:top w:val="nil"/>
          <w:left w:val="nil"/>
          <w:bottom w:val="nil"/>
          <w:right w:val="nil"/>
          <w:between w:val="nil"/>
          <w:bar w:val="nil"/>
        </w:pBdr>
        <w:spacing w:before="0" w:after="240"/>
        <w:rPr>
          <w:noProof/>
        </w:rPr>
      </w:pPr>
      <w:r>
        <w:rPr>
          <w:noProof/>
        </w:rPr>
        <w:t>Sans objet.</w:t>
      </w:r>
    </w:p>
    <w:p w:rsidR="001F4C73" w:rsidRDefault="001E420B">
      <w:pPr>
        <w:pStyle w:val="ManualHeading1"/>
        <w:rPr>
          <w:noProof/>
        </w:rPr>
      </w:pPr>
      <w:r>
        <w:rPr>
          <w:noProof/>
        </w:rPr>
        <w:t>4.</w:t>
      </w:r>
      <w:r>
        <w:rPr>
          <w:noProof/>
        </w:rPr>
        <w:tab/>
        <w:t xml:space="preserve">INCIDENCE BUDGÉTAIRE </w:t>
      </w:r>
    </w:p>
    <w:p w:rsidR="001F4C73" w:rsidRDefault="001E420B">
      <w:pPr>
        <w:pBdr>
          <w:top w:val="nil"/>
          <w:left w:val="nil"/>
          <w:bottom w:val="nil"/>
          <w:right w:val="nil"/>
          <w:between w:val="nil"/>
          <w:bar w:val="nil"/>
        </w:pBdr>
        <w:spacing w:before="0" w:after="240"/>
        <w:rPr>
          <w:noProof/>
        </w:rPr>
      </w:pPr>
      <w:r>
        <w:rPr>
          <w:noProof/>
        </w:rPr>
        <w:t>La proposition n'a aucune incidence sur le budget de l'Union.</w:t>
      </w:r>
    </w:p>
    <w:p w:rsidR="001F4C73" w:rsidRDefault="001E420B">
      <w:pPr>
        <w:pStyle w:val="ManualHeading1"/>
        <w:rPr>
          <w:noProof/>
        </w:rPr>
      </w:pPr>
      <w:r>
        <w:rPr>
          <w:noProof/>
        </w:rPr>
        <w:t>5.</w:t>
      </w:r>
      <w:r>
        <w:rPr>
          <w:noProof/>
        </w:rPr>
        <w:tab/>
        <w:t>AUTRES ÉLÉMENTS</w:t>
      </w:r>
    </w:p>
    <w:p w:rsidR="001F4C73" w:rsidRDefault="001E420B">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Plans de mise en œuvre et modalités de suivi, d’évaluation et d’information</w:t>
      </w:r>
    </w:p>
    <w:p w:rsidR="001F4C73" w:rsidRDefault="001E420B">
      <w:pPr>
        <w:pBdr>
          <w:top w:val="nil"/>
          <w:left w:val="nil"/>
          <w:bottom w:val="nil"/>
          <w:right w:val="nil"/>
          <w:between w:val="nil"/>
          <w:bar w:val="nil"/>
        </w:pBdr>
        <w:spacing w:before="0" w:after="240"/>
        <w:rPr>
          <w:noProof/>
        </w:rPr>
      </w:pPr>
      <w:r>
        <w:rPr>
          <w:noProof/>
        </w:rPr>
        <w:t>En</w:t>
      </w:r>
      <w:r>
        <w:rPr>
          <w:noProof/>
        </w:rPr>
        <w:t xml:space="preserve"> attendant son entrée en vigueur, l’accord est appliqué à titre provisoire à partir du premier jour du mois suivant la date à laquelle les parties se sont notifié l’accomplissement des procédures nécessaires à cet effet.</w:t>
      </w:r>
    </w:p>
    <w:p w:rsidR="001F4C73" w:rsidRDefault="001E420B">
      <w:pPr>
        <w:pStyle w:val="ManualHeading2"/>
        <w:rPr>
          <w:rFonts w:eastAsia="Arial Unicode MS"/>
          <w:noProof/>
          <w:color w:val="000000"/>
          <w:u w:color="000000"/>
          <w:bdr w:val="nil"/>
        </w:rPr>
      </w:pPr>
      <w:r>
        <w:rPr>
          <w:noProof/>
        </w:rPr>
        <w:tab/>
      </w:r>
      <w:r>
        <w:rPr>
          <w:noProof/>
          <w:color w:val="000000"/>
          <w:u w:color="000000"/>
          <w:bdr w:val="nil"/>
        </w:rPr>
        <w:t>Documents explicatifs (pour les di</w:t>
      </w:r>
      <w:r>
        <w:rPr>
          <w:noProof/>
          <w:color w:val="000000"/>
          <w:u w:color="000000"/>
          <w:bdr w:val="nil"/>
        </w:rPr>
        <w:t>rectives)</w:t>
      </w:r>
    </w:p>
    <w:p w:rsidR="001F4C73" w:rsidRDefault="001E420B">
      <w:pPr>
        <w:pBdr>
          <w:top w:val="nil"/>
          <w:left w:val="nil"/>
          <w:bottom w:val="nil"/>
          <w:right w:val="nil"/>
          <w:between w:val="nil"/>
          <w:bar w:val="nil"/>
        </w:pBdr>
        <w:spacing w:before="0" w:after="240"/>
        <w:rPr>
          <w:noProof/>
        </w:rPr>
      </w:pPr>
      <w:r>
        <w:rPr>
          <w:noProof/>
        </w:rPr>
        <w:t>Sans objet.</w:t>
      </w:r>
    </w:p>
    <w:p w:rsidR="001F4C73" w:rsidRDefault="001E420B">
      <w:pPr>
        <w:pStyle w:val="ManualHeading2"/>
        <w:rPr>
          <w:rFonts w:eastAsia="Arial Unicode MS"/>
          <w:noProof/>
          <w:u w:color="000000"/>
          <w:bdr w:val="nil"/>
        </w:rPr>
      </w:pPr>
      <w:r>
        <w:rPr>
          <w:noProof/>
        </w:rPr>
        <w:tab/>
      </w:r>
      <w:r>
        <w:rPr>
          <w:noProof/>
          <w:color w:val="000000"/>
          <w:u w:color="000000"/>
          <w:bdr w:val="nil"/>
        </w:rPr>
        <w:t>Explication détaillée des différentes dispositions de la proposition</w:t>
      </w:r>
    </w:p>
    <w:p w:rsidR="001F4C73" w:rsidRDefault="001E420B">
      <w:pPr>
        <w:pBdr>
          <w:top w:val="nil"/>
          <w:left w:val="nil"/>
          <w:bottom w:val="nil"/>
          <w:right w:val="nil"/>
          <w:between w:val="nil"/>
          <w:bar w:val="nil"/>
        </w:pBdr>
        <w:spacing w:before="0" w:after="240"/>
        <w:rPr>
          <w:noProof/>
        </w:rPr>
      </w:pPr>
      <w:r>
        <w:rPr>
          <w:noProof/>
        </w:rPr>
        <w:t>Les relations internationales dans le domaine du transport aérien entre les États membres et les pays tiers étaient régies jusqu'à présent par des accords bilatérau</w:t>
      </w:r>
      <w:r>
        <w:rPr>
          <w:noProof/>
        </w:rPr>
        <w:t>x relatifs aux services aériens et par leurs annexes ou par d'autres arrangements bilatéraux et multilatéraux connexes.</w:t>
      </w:r>
    </w:p>
    <w:p w:rsidR="001F4C73" w:rsidRDefault="001E420B">
      <w:pPr>
        <w:pBdr>
          <w:top w:val="nil"/>
          <w:left w:val="nil"/>
          <w:bottom w:val="nil"/>
          <w:right w:val="nil"/>
          <w:between w:val="nil"/>
          <w:bar w:val="nil"/>
        </w:pBdr>
        <w:spacing w:before="0" w:after="240"/>
        <w:rPr>
          <w:noProof/>
        </w:rPr>
      </w:pPr>
      <w:r>
        <w:rPr>
          <w:noProof/>
        </w:rPr>
        <w:lastRenderedPageBreak/>
        <w:t>Toutefois, les clauses de désignation traditionnelles figurant dans les accords bilatéraux des États membres relatifs aux services aérie</w:t>
      </w:r>
      <w:r>
        <w:rPr>
          <w:noProof/>
        </w:rPr>
        <w:t>ns sont contraires au droit de l'Union. Elles permettent à un pays tiers de rejeter, de retirer ou de suspendre les permis ou autorisations d'un transporteur aérien qui a été désigné par un État membre, mais dont la propriété et le contrôle effectif n'appa</w:t>
      </w:r>
      <w:r>
        <w:rPr>
          <w:noProof/>
        </w:rPr>
        <w:t>rtiennent pas pour l'essentiel à cet État membre ou à ses ressortissants. Il a été constaté que cela constituait une discrimination envers les transporteurs aériens de l'Union européenne qui sont établis sur le territoire d’un État membre, mais qui sont dé</w:t>
      </w:r>
      <w:r>
        <w:rPr>
          <w:noProof/>
        </w:rPr>
        <w:t>tenus et contrôlés par des ressortissants d’autres États membres. Il s'agit d'une violation de l'article 49 du traité sur le fonctionnement de l'Union européenne, qui garantit aux ressortissants des États membres ayant exercé leur liberté d'établissement l</w:t>
      </w:r>
      <w:r>
        <w:rPr>
          <w:noProof/>
        </w:rPr>
        <w:t>e même traitement dans l'État membre d'accueil que celui accordé aux ressortissants de cet État membre.</w:t>
      </w:r>
    </w:p>
    <w:p w:rsidR="001F4C73" w:rsidRDefault="001E420B">
      <w:pPr>
        <w:pBdr>
          <w:top w:val="nil"/>
          <w:left w:val="nil"/>
          <w:bottom w:val="nil"/>
          <w:right w:val="nil"/>
          <w:between w:val="nil"/>
          <w:bar w:val="nil"/>
        </w:pBdr>
        <w:spacing w:before="0" w:after="240"/>
        <w:rPr>
          <w:noProof/>
        </w:rPr>
      </w:pPr>
      <w:r>
        <w:rPr>
          <w:noProof/>
        </w:rPr>
        <w:t>En ce qui concerne d'autres points, comme la taxation du carburant d'aviation ou les accords commerciaux obligatoires entre compagnies aériennes, la con</w:t>
      </w:r>
      <w:r>
        <w:rPr>
          <w:noProof/>
        </w:rPr>
        <w:t>formité au droit de l'Union devrait être garantie en modifiant ou en complétant les dispositions figurant dans les accords bilatéraux relatifs aux services aériens conclus entre les États membres et des pays tiers.</w:t>
      </w:r>
    </w:p>
    <w:p w:rsidR="001F4C73" w:rsidRDefault="001E420B">
      <w:pPr>
        <w:pBdr>
          <w:top w:val="nil"/>
          <w:left w:val="nil"/>
          <w:bottom w:val="nil"/>
          <w:right w:val="nil"/>
          <w:between w:val="nil"/>
          <w:bar w:val="nil"/>
        </w:pBdr>
        <w:spacing w:before="0" w:after="240"/>
        <w:rPr>
          <w:noProof/>
        </w:rPr>
      </w:pPr>
      <w:r>
        <w:rPr>
          <w:noProof/>
        </w:rPr>
        <w:t>Conformément aux mécanismes et lignes dir</w:t>
      </w:r>
      <w:r>
        <w:rPr>
          <w:noProof/>
        </w:rPr>
        <w:t>ectrices prévus dans l'annexe de l'«habilitation horizontale», la Commission a négocié avec la République des Philippines un accord qui remplace certaines dispositions des accords bilatéraux existants relatifs aux services aériens conclus entre les États m</w:t>
      </w:r>
      <w:r>
        <w:rPr>
          <w:noProof/>
        </w:rPr>
        <w:t xml:space="preserve">embres et la République des Philippines. L'article 2 de l'accord remplace les clauses de désignation traditionnelles par une clause de désignation de l'Union qui permet à tous les transporteurs de l'Union européenne de bénéficier du droit d'établissement. </w:t>
      </w:r>
      <w:r>
        <w:rPr>
          <w:noProof/>
        </w:rPr>
        <w:t>L'article 5 résout les conflits potentiels avec les règles de l'Union en matière de concurrence.</w:t>
      </w:r>
    </w:p>
    <w:p w:rsidR="001F4C73" w:rsidRDefault="001E420B">
      <w:pPr>
        <w:rPr>
          <w:noProof/>
        </w:rPr>
      </w:pPr>
      <w:r>
        <w:rPr>
          <w:noProof/>
        </w:rPr>
        <w:t>Une fois l’accord signé, il convient de le conclure. La présente proposition contient une décision à cet effet.</w:t>
      </w:r>
    </w:p>
    <w:p w:rsidR="001F4C73" w:rsidRDefault="001F4C73">
      <w:pPr>
        <w:rPr>
          <w:noProof/>
        </w:rPr>
        <w:sectPr w:rsidR="001F4C73" w:rsidSect="001E420B">
          <w:footerReference w:type="default" r:id="rId15"/>
          <w:footerReference w:type="first" r:id="rId16"/>
          <w:pgSz w:w="11907" w:h="16839"/>
          <w:pgMar w:top="1134" w:right="1417" w:bottom="1134" w:left="1417" w:header="709" w:footer="709" w:gutter="0"/>
          <w:cols w:space="708"/>
          <w:docGrid w:linePitch="360"/>
        </w:sectPr>
      </w:pPr>
    </w:p>
    <w:p w:rsidR="001F4C73" w:rsidRDefault="001E420B">
      <w:pPr>
        <w:pStyle w:val="Rfrenceinterinstitutionnelle"/>
        <w:rPr>
          <w:noProof/>
        </w:rPr>
      </w:pPr>
      <w:r>
        <w:rPr>
          <w:noProof/>
        </w:rPr>
        <w:t>2016/0156 (NLE)</w:t>
      </w:r>
    </w:p>
    <w:p w:rsidR="001F4C73" w:rsidRDefault="001E420B">
      <w:pPr>
        <w:pStyle w:val="Statut"/>
        <w:rPr>
          <w:noProof/>
        </w:rPr>
      </w:pPr>
      <w:r>
        <w:rPr>
          <w:noProof/>
        </w:rPr>
        <w:t>Proposition de</w:t>
      </w:r>
    </w:p>
    <w:p w:rsidR="001F4C73" w:rsidRDefault="001E420B">
      <w:pPr>
        <w:pStyle w:val="Typedudocument"/>
        <w:rPr>
          <w:noProof/>
        </w:rPr>
      </w:pPr>
      <w:r>
        <w:rPr>
          <w:noProof/>
        </w:rPr>
        <w:t>DÉCISION DU CONSEIL</w:t>
      </w:r>
    </w:p>
    <w:p w:rsidR="001F4C73" w:rsidRDefault="001E420B">
      <w:pPr>
        <w:pStyle w:val="Titreobjet"/>
        <w:rPr>
          <w:noProof/>
        </w:rPr>
      </w:pPr>
      <w:r>
        <w:rPr>
          <w:noProof/>
        </w:rPr>
        <w:t>relative à la conclusion de l’accord entre l'Union européenne et le gouvernement de la République des Philippines sur certains aspects</w:t>
      </w:r>
      <w:r>
        <w:rPr>
          <w:noProof/>
        </w:rPr>
        <w:t xml:space="preserve"> des services aériens</w:t>
      </w:r>
    </w:p>
    <w:p w:rsidR="001F4C73" w:rsidRDefault="001E420B">
      <w:pPr>
        <w:pStyle w:val="Institutionquiagit"/>
        <w:rPr>
          <w:noProof/>
        </w:rPr>
      </w:pPr>
      <w:r>
        <w:rPr>
          <w:noProof/>
        </w:rPr>
        <w:t>LE CONSEIL DE L'UNION EUROPÉENNE,</w:t>
      </w:r>
    </w:p>
    <w:p w:rsidR="001F4C73" w:rsidRDefault="001E420B">
      <w:pPr>
        <w:rPr>
          <w:noProof/>
        </w:rPr>
      </w:pPr>
      <w:r>
        <w:rPr>
          <w:noProof/>
        </w:rPr>
        <w:t>vu le traité sur le fonctionnement de l’Union européenne, et notamment son article 100, paragraphe 2, en liaison avec son article 218, paragraphe 6, point a),</w:t>
      </w:r>
    </w:p>
    <w:p w:rsidR="001F4C73" w:rsidRDefault="001E420B">
      <w:pPr>
        <w:rPr>
          <w:noProof/>
        </w:rPr>
      </w:pPr>
      <w:r>
        <w:rPr>
          <w:noProof/>
        </w:rPr>
        <w:t xml:space="preserve">vu la proposition de la Commission </w:t>
      </w:r>
      <w:r>
        <w:rPr>
          <w:noProof/>
        </w:rPr>
        <w:t>européenne,</w:t>
      </w:r>
    </w:p>
    <w:p w:rsidR="001F4C73" w:rsidRDefault="001E420B">
      <w:pPr>
        <w:rPr>
          <w:noProof/>
        </w:rPr>
      </w:pPr>
      <w:r>
        <w:rPr>
          <w:noProof/>
        </w:rPr>
        <w:t>vu l'approbation du Parlement européen,</w:t>
      </w:r>
    </w:p>
    <w:p w:rsidR="001F4C73" w:rsidRDefault="001E420B">
      <w:pPr>
        <w:rPr>
          <w:noProof/>
        </w:rPr>
      </w:pPr>
      <w:r>
        <w:rPr>
          <w:noProof/>
        </w:rPr>
        <w:t>considérant ce qui suit:</w:t>
      </w:r>
    </w:p>
    <w:p w:rsidR="001F4C73" w:rsidRDefault="001E420B">
      <w:pPr>
        <w:pStyle w:val="ManualConsidrant"/>
        <w:rPr>
          <w:noProof/>
        </w:rPr>
      </w:pPr>
      <w:r>
        <w:rPr>
          <w:noProof/>
        </w:rPr>
        <w:t>1.</w:t>
      </w:r>
      <w:r>
        <w:rPr>
          <w:noProof/>
        </w:rPr>
        <w:tab/>
        <w:t>Conformément à la décision du Conseil …/…/UE</w:t>
      </w:r>
      <w:r>
        <w:rPr>
          <w:rStyle w:val="FootnoteReference"/>
          <w:noProof/>
        </w:rPr>
        <w:footnoteReference w:id="1"/>
      </w:r>
      <w:r>
        <w:rPr>
          <w:noProof/>
        </w:rPr>
        <w:t>, l'accord entre l'Union européenne et le gouvernement de la République des Philippines sur certains aspects des services aériens (</w:t>
      </w:r>
      <w:r>
        <w:rPr>
          <w:noProof/>
        </w:rPr>
        <w:t>ci-après l'«accord») a été signé, sous réserve de sa conclusion à une date ultérieure.</w:t>
      </w:r>
    </w:p>
    <w:p w:rsidR="001F4C73" w:rsidRDefault="001E420B">
      <w:pPr>
        <w:pStyle w:val="ManualConsidrant"/>
        <w:rPr>
          <w:noProof/>
        </w:rPr>
      </w:pPr>
      <w:r>
        <w:rPr>
          <w:noProof/>
        </w:rPr>
        <w:t>2.</w:t>
      </w:r>
      <w:r>
        <w:rPr>
          <w:noProof/>
        </w:rPr>
        <w:tab/>
        <w:t>Cet accord a pour objet de mettre les accords bilatéraux relatifs aux services aériens existant entre dix États membres et la République des Philippines en conformité</w:t>
      </w:r>
      <w:r>
        <w:rPr>
          <w:noProof/>
        </w:rPr>
        <w:t xml:space="preserve"> avec le droit de l'Union.</w:t>
      </w:r>
    </w:p>
    <w:p w:rsidR="001F4C73" w:rsidRDefault="001E420B">
      <w:pPr>
        <w:pStyle w:val="ManualConsidrant"/>
        <w:rPr>
          <w:noProof/>
        </w:rPr>
      </w:pPr>
      <w:r>
        <w:rPr>
          <w:noProof/>
        </w:rPr>
        <w:t>3.</w:t>
      </w:r>
      <w:r>
        <w:rPr>
          <w:noProof/>
        </w:rPr>
        <w:tab/>
        <w:t>Il convient que l'accord soit approuvé au nom de l'Union,</w:t>
      </w:r>
    </w:p>
    <w:p w:rsidR="001F4C73" w:rsidRDefault="001E420B">
      <w:pPr>
        <w:pStyle w:val="Formuledadoption"/>
        <w:rPr>
          <w:noProof/>
        </w:rPr>
      </w:pPr>
      <w:r>
        <w:rPr>
          <w:noProof/>
        </w:rPr>
        <w:t xml:space="preserve">A ADOPTÉ LA PRÉSENTE DÉCISION: </w:t>
      </w:r>
    </w:p>
    <w:p w:rsidR="001F4C73" w:rsidRDefault="001E420B">
      <w:pPr>
        <w:pStyle w:val="Titrearticle"/>
        <w:rPr>
          <w:noProof/>
        </w:rPr>
      </w:pPr>
      <w:r>
        <w:rPr>
          <w:noProof/>
        </w:rPr>
        <w:t>Article premier</w:t>
      </w:r>
    </w:p>
    <w:p w:rsidR="001F4C73" w:rsidRDefault="001E420B">
      <w:pPr>
        <w:rPr>
          <w:noProof/>
        </w:rPr>
      </w:pPr>
      <w:r>
        <w:rPr>
          <w:noProof/>
        </w:rPr>
        <w:t xml:space="preserve">L'accord entre l'Union européenne et le gouvernement de la République des Philippines sur certains aspects des services </w:t>
      </w:r>
      <w:r>
        <w:rPr>
          <w:noProof/>
        </w:rPr>
        <w:t>aériens (ci-après l'«accord») est approuvé au nom de l'Union.</w:t>
      </w:r>
    </w:p>
    <w:p w:rsidR="001F4C73" w:rsidRDefault="001E420B">
      <w:pPr>
        <w:rPr>
          <w:noProof/>
        </w:rPr>
      </w:pPr>
      <w:r>
        <w:rPr>
          <w:noProof/>
        </w:rPr>
        <w:t>Le texte de l'accord est joint à la présente décision.</w:t>
      </w:r>
    </w:p>
    <w:p w:rsidR="001F4C73" w:rsidRDefault="001E420B">
      <w:pPr>
        <w:pStyle w:val="Titrearticle"/>
        <w:keepNext w:val="0"/>
        <w:rPr>
          <w:noProof/>
        </w:rPr>
      </w:pPr>
      <w:r>
        <w:rPr>
          <w:noProof/>
        </w:rPr>
        <w:t>Article 2</w:t>
      </w:r>
    </w:p>
    <w:p w:rsidR="001F4C73" w:rsidRDefault="001E420B">
      <w:pPr>
        <w:rPr>
          <w:noProof/>
        </w:rPr>
      </w:pPr>
      <w:r>
        <w:rPr>
          <w:noProof/>
        </w:rPr>
        <w:t>Le président du Conseil désigne la personne habilitée à procéder, au nom de l'Union, à la notification prévue à l'article 8, para</w:t>
      </w:r>
      <w:r>
        <w:rPr>
          <w:noProof/>
        </w:rPr>
        <w:t>graphe 1, de l'accord, à l'effet d'exprimer le consentement de l'Union européenne à être liée par l'accord.</w:t>
      </w:r>
    </w:p>
    <w:p w:rsidR="001F4C73" w:rsidRDefault="001E420B">
      <w:pPr>
        <w:pStyle w:val="Titrearticle"/>
        <w:rPr>
          <w:noProof/>
        </w:rPr>
      </w:pPr>
      <w:r>
        <w:rPr>
          <w:noProof/>
        </w:rPr>
        <w:t>Article 3</w:t>
      </w:r>
    </w:p>
    <w:p w:rsidR="001F4C73" w:rsidRDefault="001E420B">
      <w:pPr>
        <w:keepNext/>
        <w:keepLines/>
        <w:rPr>
          <w:noProof/>
        </w:rPr>
      </w:pPr>
      <w:r>
        <w:rPr>
          <w:noProof/>
        </w:rPr>
        <w:t>La présente décision entre en vigueur le jour de son adoption.</w:t>
      </w:r>
    </w:p>
    <w:p w:rsidR="001F4C73" w:rsidRDefault="001E420B">
      <w:pPr>
        <w:pStyle w:val="Fait"/>
        <w:rPr>
          <w:noProof/>
        </w:rPr>
      </w:pPr>
      <w:r>
        <w:rPr>
          <w:noProof/>
        </w:rPr>
        <w:t>Fait à Bruxelles, le</w:t>
      </w:r>
    </w:p>
    <w:p w:rsidR="001F4C73" w:rsidRDefault="001E420B">
      <w:pPr>
        <w:pStyle w:val="Institutionquisigne"/>
        <w:rPr>
          <w:noProof/>
        </w:rPr>
      </w:pPr>
      <w:r>
        <w:rPr>
          <w:noProof/>
        </w:rPr>
        <w:tab/>
        <w:t>Par le Conseil</w:t>
      </w:r>
    </w:p>
    <w:p w:rsidR="001F4C73" w:rsidRDefault="001E420B">
      <w:pPr>
        <w:pStyle w:val="Personnequisigne"/>
        <w:rPr>
          <w:noProof/>
        </w:rPr>
      </w:pPr>
      <w:r>
        <w:rPr>
          <w:noProof/>
        </w:rPr>
        <w:tab/>
        <w:t>Le président</w:t>
      </w:r>
    </w:p>
    <w:sectPr w:rsidR="001F4C73" w:rsidSect="001E420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73" w:rsidRDefault="001E420B">
      <w:pPr>
        <w:spacing w:before="0" w:after="0"/>
      </w:pPr>
      <w:r>
        <w:separator/>
      </w:r>
    </w:p>
  </w:endnote>
  <w:endnote w:type="continuationSeparator" w:id="0">
    <w:p w:rsidR="001F4C73" w:rsidRDefault="001E42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73" w:rsidRPr="001E420B" w:rsidRDefault="001E420B" w:rsidP="001E420B">
    <w:pPr>
      <w:pStyle w:val="Footer"/>
      <w:rPr>
        <w:rFonts w:ascii="Arial" w:hAnsi="Arial" w:cs="Arial"/>
        <w:b/>
        <w:sz w:val="48"/>
      </w:rPr>
    </w:pPr>
    <w:r w:rsidRPr="001E420B">
      <w:rPr>
        <w:rFonts w:ascii="Arial" w:hAnsi="Arial" w:cs="Arial"/>
        <w:b/>
        <w:sz w:val="48"/>
      </w:rPr>
      <w:t>FR</w:t>
    </w:r>
    <w:r w:rsidRPr="001E420B">
      <w:rPr>
        <w:rFonts w:ascii="Arial" w:hAnsi="Arial" w:cs="Arial"/>
        <w:b/>
        <w:sz w:val="48"/>
      </w:rPr>
      <w:tab/>
    </w:r>
    <w:r w:rsidRPr="001E420B">
      <w:rPr>
        <w:rFonts w:ascii="Arial" w:hAnsi="Arial" w:cs="Arial"/>
        <w:b/>
        <w:sz w:val="48"/>
      </w:rPr>
      <w:tab/>
    </w:r>
    <w:fldSimple w:instr=" DOCVARIABLE &quot;LW_Confidence&quot; \* MERGEFORMAT ">
      <w:r>
        <w:t xml:space="preserve"> </w:t>
      </w:r>
    </w:fldSimple>
    <w:r w:rsidRPr="001E420B">
      <w:tab/>
    </w:r>
    <w:proofErr w:type="spellStart"/>
    <w:r w:rsidRPr="001E420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Footer"/>
      <w:rPr>
        <w:rFonts w:ascii="Arial" w:hAnsi="Arial" w:cs="Arial"/>
        <w:b/>
        <w:sz w:val="48"/>
      </w:rPr>
    </w:pPr>
    <w:r w:rsidRPr="001E420B">
      <w:rPr>
        <w:rFonts w:ascii="Arial" w:hAnsi="Arial" w:cs="Arial"/>
        <w:b/>
        <w:sz w:val="48"/>
      </w:rPr>
      <w:t>FR</w:t>
    </w:r>
    <w:r w:rsidRPr="001E420B">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1E420B">
      <w:tab/>
    </w:r>
    <w:r w:rsidRPr="001E420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73" w:rsidRDefault="001E420B">
      <w:pPr>
        <w:spacing w:before="0" w:after="0"/>
      </w:pPr>
      <w:r>
        <w:separator/>
      </w:r>
    </w:p>
  </w:footnote>
  <w:footnote w:type="continuationSeparator" w:id="0">
    <w:p w:rsidR="001F4C73" w:rsidRDefault="001E420B">
      <w:pPr>
        <w:spacing w:before="0" w:after="0"/>
      </w:pPr>
      <w:r>
        <w:continuationSeparator/>
      </w:r>
    </w:p>
  </w:footnote>
  <w:footnote w:id="1">
    <w:p w:rsidR="001F4C73" w:rsidRDefault="001E420B">
      <w:pPr>
        <w:pStyle w:val="FootnoteText"/>
      </w:pPr>
      <w:r>
        <w:rPr>
          <w:rStyle w:val="FootnoteReference"/>
        </w:rPr>
        <w:footnoteRef/>
      </w:r>
      <w:r>
        <w:tab/>
        <w:t>JO L [...] du [...</w:t>
      </w:r>
      <w:r>
        <w:t>],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0B" w:rsidRPr="001E420B" w:rsidRDefault="001E420B" w:rsidP="001E4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4:4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C4562832E8B4CC6AF21F9C28484A1F8"/>
    <w:docVar w:name="LW_CROSSREFERENCE" w:val="&lt;UNUSED&gt;"/>
    <w:docVar w:name="LW_DocType" w:val="COM"/>
    <w:docVar w:name="LW_EMISSION" w:val="27.5.2016"/>
    <w:docVar w:name="LW_EMISSION_ISODATE" w:val="2016-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6"/>
    <w:docVar w:name="LW_REF.II.NEW.CP_YEAR" w:val="2016"/>
    <w:docVar w:name="LW_REF.INST.NEW" w:val="COM"/>
    <w:docVar w:name="LW_REF.INST.NEW_ADOPTED" w:val="final"/>
    <w:docVar w:name="LW_REF.INST.NEW_TEXT" w:val="(2016) 303"/>
    <w:docVar w:name="LW_REF.INTERNE" w:val="&lt;UNUSED&gt;"/>
    <w:docVar w:name="LW_SOUS.TITRE.OBJ.CP" w:val="&lt;UNUSED&gt;"/>
    <w:docVar w:name="LW_STATUT.CP" w:val="Proposition de"/>
    <w:docVar w:name="LW_SUPERTITRE" w:val="&lt;UNUSED&gt;"/>
    <w:docVar w:name="LW_TITRE.OBJ.CP" w:val="relative à la conclusion de l\u8217?accord entre l'Union européenne et le gouvernement de la République des Philippines sur certains aspects des services aériens"/>
    <w:docVar w:name="LW_TYPE.DOC.CP" w:val="DÉCISION DU CONSEIL"/>
  </w:docVars>
  <w:rsids>
    <w:rsidRoot w:val="001F4C73"/>
    <w:rsid w:val="001E420B"/>
    <w:rsid w:val="001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rsid w:val="001E420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E420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420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rsid w:val="001E420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E420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420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2016-05-27T10:16:00Z</cp:lastPrinted>
  <dcterms:created xsi:type="dcterms:W3CDTF">2016-05-12T18:15:00Z</dcterms:created>
  <dcterms:modified xsi:type="dcterms:W3CDTF">2016-05-27T10:16:00Z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