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13E6B250CA4790BE7920D33BBF70B2" style="width:450.8pt;height:351.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noProof/>
        </w:rPr>
      </w:pPr>
      <w:r>
        <w:rPr>
          <w:noProof/>
        </w:rPr>
        <w:t>След решенията на Съда по т. нар. дела „Открито небе“, на 5 юни 2003 г. Съветът упълномощи Комисията да започне преговори с трети държави за замяната на някои разпоредби на съществуващите двустранни споразумения за въздухоплавателни услуги със споразумение на равнището на Съюза („хоризонтално упълномощаване“). Целите на тези споразумения са да се предостави на всички въздушни превозвачи от ЕС недискриминационен достъп до маршрути между Европейския съюз и трети държави, като по този начин двустранните споразумения за въздухоплавателни услуги между държавите членки и трети държави се приведат в съответствие с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Разпоредбите на споразумението заменят или допълват съществуващите разпоредби в десет двустранни споразумения за въздухоплавателни услуги между държави членки и Република Филипини.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другите политики на Съюза</w:t>
      </w:r>
    </w:p>
    <w:p>
      <w:pPr>
        <w:pBdr>
          <w:top w:val="nil"/>
          <w:left w:val="nil"/>
          <w:bottom w:val="nil"/>
          <w:right w:val="nil"/>
          <w:between w:val="nil"/>
          <w:bar w:val="nil"/>
        </w:pBdr>
        <w:spacing w:before="0" w:after="240"/>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споразумения за въздухоплавателни услуги в съответствие с правото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Правно основание</w:t>
      </w:r>
    </w:p>
    <w:p>
      <w:pPr>
        <w:pBdr>
          <w:top w:val="nil"/>
          <w:left w:val="nil"/>
          <w:bottom w:val="nil"/>
          <w:right w:val="nil"/>
          <w:between w:val="nil"/>
          <w:bar w:val="nil"/>
        </w:pBdr>
        <w:spacing w:before="0" w:after="240"/>
        <w:rPr>
          <w:noProof/>
        </w:rPr>
      </w:pPr>
      <w:r>
        <w:rPr>
          <w:noProof/>
        </w:rPr>
        <w:t>Член 100, параграф 2 и член 218, параграф 6, буква а) от ДФЕС</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се основава изцяло на предоставеното от Съвета хоризонтално упълномощаване, като взема предвид въпросите, обхванати от правото на Съюза, и двустранните споразумения за въздухоплавателни услуги.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Пропорционалност</w:t>
      </w:r>
    </w:p>
    <w:p>
      <w:pPr>
        <w:pBdr>
          <w:top w:val="nil"/>
          <w:left w:val="nil"/>
          <w:bottom w:val="nil"/>
          <w:right w:val="nil"/>
          <w:between w:val="nil"/>
          <w:bar w:val="nil"/>
        </w:pBdr>
        <w:spacing w:before="0" w:after="240"/>
        <w:rPr>
          <w:noProof/>
        </w:rPr>
      </w:pPr>
      <w:r>
        <w:rPr>
          <w:noProof/>
        </w:rPr>
        <w:t>Споразумението изменя или допълва разпоредби в двустранните споразумения за въздухоплавателни услуги само дотолкова, доколкото това е необходимо, за да се гарантира спазването на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Избор на инструмент</w:t>
      </w:r>
    </w:p>
    <w:p>
      <w:pPr>
        <w:pBdr>
          <w:top w:val="nil"/>
          <w:left w:val="nil"/>
          <w:bottom w:val="nil"/>
          <w:right w:val="nil"/>
          <w:between w:val="nil"/>
          <w:bar w:val="nil"/>
        </w:pBdr>
        <w:spacing w:before="0" w:after="240"/>
        <w:rPr>
          <w:noProof/>
        </w:rPr>
      </w:pPr>
      <w:r>
        <w:rPr>
          <w:noProof/>
        </w:rPr>
        <w:t>Споразумението между Съюза и Република Филипини е най-ефикасният инструмент за привеждането на всички действащи двустранни споразумения за въздухоплавателни услуги между държавите членки и Република Филипини в съответствие с правото на Съюза.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В съответствие с член 218, параграф 4 от ДФЕС Комисията проведе преговорите в консултация със специален комитет. В процеса на преговори бе потърсено и становището на представители на сектора. Направените коментари бяха взети предвид. Съответните държави членки провериха точността на позоваванията на двустранните споразумения за въздухоплавателни услуги. Представителите на сектора подчертаха значението на стабилната правна основа за извършваните от тях търговски операции.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предвижда опростяване на законодателството. Съответните разпоредби на двустранните споразумения за въздухоплавателни услуги между държавите членки и Република Филипини ще бъдат заменени или допълнени с разпоредби на едно общо споразумение.</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До влизане в сила на споразумението то се прилага временно от първия ден на месеца след датата, на която страните са се уведомили взаимно за приключването на необходимите за тази цел процедури.</w:t>
      </w:r>
    </w:p>
    <w:p>
      <w:pPr>
        <w:pStyle w:val="ManualHeading2"/>
        <w:rPr>
          <w:rFonts w:eastAsia="Arial Unicode MS"/>
          <w:noProof/>
          <w:color w:val="000000"/>
          <w:u w:color="000000"/>
          <w:bdr w:val="nil"/>
        </w:rPr>
      </w:pPr>
      <w:r>
        <w:rPr>
          <w:noProof/>
        </w:rPr>
        <w:tab/>
      </w:r>
      <w:r>
        <w:rPr>
          <w:noProof/>
          <w:color w:val="000000"/>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ab/>
      </w:r>
      <w:r>
        <w:rPr>
          <w:noProof/>
          <w:color w:val="000000"/>
          <w:u w:color="000000"/>
          <w:bdr w:val="nil"/>
        </w:rPr>
        <w:t>Подробно разяснение на конкретни разпоредби на предложението</w:t>
      </w:r>
    </w:p>
    <w:p>
      <w:pPr>
        <w:pBdr>
          <w:top w:val="nil"/>
          <w:left w:val="nil"/>
          <w:bottom w:val="nil"/>
          <w:right w:val="nil"/>
          <w:between w:val="nil"/>
          <w:bar w:val="nil"/>
        </w:pBdr>
        <w:spacing w:before="0" w:after="240"/>
        <w:rPr>
          <w:noProof/>
        </w:rPr>
      </w:pPr>
      <w:r>
        <w:rPr>
          <w:noProof/>
        </w:rPr>
        <w:t>Традиционна практика е международните отношения в областта на въздушния транспорт между държавите членки и трети държави да се уреждат от двустранни споразумения за въздухоплавателни услуги между държави членки и трети държави, от приложенията към тях и съответни други двустранни или многостранни договорености.</w:t>
      </w:r>
    </w:p>
    <w:p>
      <w:pPr>
        <w:pBdr>
          <w:top w:val="nil"/>
          <w:left w:val="nil"/>
          <w:bottom w:val="nil"/>
          <w:right w:val="nil"/>
          <w:between w:val="nil"/>
          <w:bar w:val="nil"/>
        </w:pBdr>
        <w:spacing w:before="0" w:after="240"/>
        <w:rPr>
          <w:noProof/>
        </w:rPr>
      </w:pPr>
      <w:r>
        <w:rPr>
          <w:noProof/>
        </w:rPr>
        <w:t>Независимо от това традиционните клаузи за определяне на въздушен превозвач в двустранните споразумения за въздухоплавателни услуги между държавите членки противоречат на правото на Съюза. Те позволяват на трета държава да отхвърли, оттегли или временно да прекрати разрешенията или лицензите на въздушен превозвач, определен от държава членка, който обаче не е притежаван в значителната си част и не е действително контролиран от тази държава членка или нейни граждани. Смята се, че това представлява дискриминация спрямо въздушните превозвачи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гарантиращ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нейните граждани.</w:t>
      </w:r>
    </w:p>
    <w:p>
      <w:pPr>
        <w:pBdr>
          <w:top w:val="nil"/>
          <w:left w:val="nil"/>
          <w:bottom w:val="nil"/>
          <w:right w:val="nil"/>
          <w:between w:val="nil"/>
          <w:bar w:val="nil"/>
        </w:pBdr>
        <w:spacing w:before="0" w:after="240"/>
        <w:rPr>
          <w:noProof/>
        </w:rPr>
      </w:pPr>
      <w:r>
        <w:rPr>
          <w:noProof/>
        </w:rPr>
        <w:t>Налице са допълнителни въпроси — например данъчното облагане на авиационното гориво или задължителните търговски споразумения между въздушните превозвачи, по отношение на които спазването на правото на Съюза трябва да бъде осигурено посредством изменението или допълването на съществуващи разпоредби в двустранните споразумения за въздухоплавателни услуги между държави членки и трети държави.</w:t>
      </w:r>
    </w:p>
    <w:p>
      <w:pPr>
        <w:pBdr>
          <w:top w:val="nil"/>
          <w:left w:val="nil"/>
          <w:bottom w:val="nil"/>
          <w:right w:val="nil"/>
          <w:between w:val="nil"/>
          <w:bar w:val="nil"/>
        </w:pBdr>
        <w:spacing w:before="0" w:after="240"/>
        <w:rPr>
          <w:noProof/>
        </w:rPr>
      </w:pPr>
      <w:r>
        <w:rPr>
          <w:noProof/>
        </w:rPr>
        <w:t>В съответствие с механизмите и насоките в приложението към хоризонталното упълномощаване Комисията договори споразумение с Република Филипини, което заменя някои разпоредби в съществуващите двустранни споразумения за въздухоплавателни услуги между държави членки и Република Филипини. Член 2 от него заменя традиционните клаузи за определяне на въздушен превозвач с клауза на ЕС за определяне, позволяваща на всички превозвачи от ЕС да се възползват от правото на установяване. С член 5 се решават потенциални конфликти с разпоредбите на Съюза относно конкуренцията.</w:t>
      </w:r>
    </w:p>
    <w:p>
      <w:pPr>
        <w:rPr>
          <w:noProof/>
        </w:rPr>
      </w:pPr>
      <w:r>
        <w:rPr>
          <w:noProof/>
        </w:rPr>
        <w:t>След подписване на споразумението то следва да бъде сключено. С настоящото се предлага и проект на съответното решение.</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между Европейския съюз и правителството на Република Филипини относно някои аспекти на въздухоплавателните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В съответствие с Решение …/…/ЕС на Съвета</w:t>
      </w:r>
      <w:r>
        <w:rPr>
          <w:rStyle w:val="FootnoteReference"/>
          <w:noProof/>
        </w:rPr>
        <w:footnoteReference w:id="1"/>
      </w:r>
      <w:r>
        <w:rPr>
          <w:noProof/>
        </w:rPr>
        <w:t xml:space="preserve"> беше подписано Споразумението между Европейския съюз и правителството на Република Филипини относно някои аспекти на въздухоплавателните услуги („споразумението“), при условие че бъде сключено на по-късна дата.</w:t>
      </w:r>
    </w:p>
    <w:p>
      <w:pPr>
        <w:pStyle w:val="ManualConsidrant"/>
        <w:rPr>
          <w:noProof/>
        </w:rPr>
      </w:pPr>
      <w:r>
        <w:rPr>
          <w:noProof/>
        </w:rPr>
        <w:t>(2)</w:t>
      </w:r>
      <w:r>
        <w:rPr>
          <w:noProof/>
        </w:rPr>
        <w:tab/>
        <w:t>Целта на споразумението е двустранните споразумения за въздухоплавателни услуги между десет държави членки и Република Филипини да се приведат в съответствие с правото на Съюза.</w:t>
      </w:r>
    </w:p>
    <w:p>
      <w:pPr>
        <w:pStyle w:val="ManualConsidrant"/>
        <w:rPr>
          <w:noProof/>
        </w:rPr>
      </w:pPr>
      <w:r>
        <w:rPr>
          <w:noProof/>
        </w:rPr>
        <w:t>(3)</w:t>
      </w:r>
      <w:r>
        <w:rPr>
          <w:noProof/>
        </w:rPr>
        <w:tab/>
        <w:t>Споразумението следва да се одобри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правителството на Република Филипини относно някои аспекти на въздухоплавателните услуги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определя лицето, оправомощено да извърши от името на Европейския съюз предвиденото в член 8, параграф 1 от споразумението уведомяване, за да се изрази съгласието на Европейския съюз да бъде обвързан със споразумението.</w:t>
      </w:r>
    </w:p>
    <w:p>
      <w:pPr>
        <w:pStyle w:val="Titrearticle"/>
        <w:rPr>
          <w:noProof/>
        </w:rPr>
      </w:pPr>
      <w:r>
        <w:rPr>
          <w:noProof/>
        </w:rPr>
        <w:t>Член 3</w:t>
      </w:r>
    </w:p>
    <w:p>
      <w:pPr>
        <w:keepNext/>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C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4:48: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513E6B250CA4790BE7920D33BBF70B2"/>
    <w:docVar w:name="LW_CROSSREFERENCE" w:val="&lt;UNUSED&gt;"/>
    <w:docVar w:name="LW_DocType" w:val="COM"/>
    <w:docVar w:name="LW_EMISSION" w:val="27.5.2016"/>
    <w:docVar w:name="LW_EMISSION_ISODATE" w:val="2016-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6"/>
    <w:docVar w:name="LW_REF.II.NEW.CP_YEAR" w:val="2016"/>
    <w:docVar w:name="LW_REF.INST.NEW" w:val="COM"/>
    <w:docVar w:name="LW_REF.INST.NEW_ADOPTED" w:val="final"/>
    <w:docVar w:name="LW_REF.INST.NEW_TEXT" w:val="(2016) 30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 \u1084?\u1077?\u1078?\u1076?\u1091? \u1045?\u1074?\u1088?\u1086?\u1087?\u1077?\u1081?\u1089?\u1082?\u1080?\u1103? \u1089?\u1098?\u1102?\u1079? \u1080? \u1087?\u1088?\u1072?\u1074?\u1080?\u1090?\u1077?\u1083?\u1089?\u1090?\u1074?\u1086?\u1090?\u1086? \u1085?\u1072? \u1056?\u1077?\u1087?\u1091?\u1073?\u1083?\u1080?\u1082?\u1072? \u1060?\u1080?\u1083?\u1080?\u1087?\u1080?\u1085?\u1080? \u1086?\u1090?\u1085?\u1086?\u1089?\u1085?\u1086? \u1085?\u1103?\u1082?\u1086?\u1080? \u1072?\u1089?\u1087?\u1077?\u1082?\u1090?\u1080? \u1085?\u1072? \u1074?\u1098?\u1079?\u1076?\u1091?\u1093?\u1086?\u1087?\u1083?\u1072?\u1074?\u1072?\u1090?\u1077?\u1083?\u1085?\u1080?\u1090?\u1077?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1050</Words>
  <Characters>6674</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2016-03-04T15:22:00Z</cp:lastPrinted>
  <dcterms:created xsi:type="dcterms:W3CDTF">2016-05-12T14:15:00Z</dcterms:created>
  <dcterms:modified xsi:type="dcterms:W3CDTF">2016-05-20T12:48:00Z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