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4C725A28ADC4017A89C53188E50CCC0" style="width:450.75pt;height:307.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OCHeading"/>
        <w:rPr>
          <w:noProof/>
        </w:rPr>
      </w:pPr>
      <w:bookmarkStart w:id="1" w:name="_GoBack"/>
      <w:bookmarkEnd w:id="1"/>
      <w:r>
        <w:rPr>
          <w:noProof/>
        </w:rPr>
        <w:lastRenderedPageBreak/>
        <w:t>Table des matières</w:t>
      </w:r>
    </w:p>
    <w:p>
      <w:pPr>
        <w:pStyle w:val="TOC1"/>
        <w:rPr>
          <w:rFonts w:asciiTheme="minorHAnsi" w:eastAsiaTheme="minorEastAsia" w:hAnsiTheme="minorHAnsi" w:cstheme="minorBidi"/>
          <w:noProof/>
          <w:sz w:val="22"/>
          <w:szCs w:val="22"/>
          <w:lang w:val="en-GB" w:eastAsia="en-GB" w:bidi="ar-SA"/>
        </w:rPr>
      </w:pPr>
      <w:r>
        <w:rPr>
          <w:noProof/>
        </w:rPr>
        <w:fldChar w:fldCharType="begin"/>
      </w:r>
      <w:r>
        <w:rPr>
          <w:noProof/>
        </w:rPr>
        <w:instrText xml:space="preserve"> TOC \o "1-3" \h \z \u </w:instrText>
      </w:r>
      <w:r>
        <w:rPr>
          <w:noProof/>
        </w:rPr>
        <w:fldChar w:fldCharType="separate"/>
      </w:r>
      <w:hyperlink w:anchor="_Toc452129245" w:history="1">
        <w:r>
          <w:rPr>
            <w:rStyle w:val="Hyperlink"/>
            <w:noProof/>
          </w:rPr>
          <w:t>1.</w:t>
        </w:r>
        <w:r>
          <w:rPr>
            <w:rFonts w:asciiTheme="minorHAnsi" w:eastAsiaTheme="minorEastAsia" w:hAnsiTheme="minorHAnsi" w:cstheme="minorBidi"/>
            <w:noProof/>
            <w:sz w:val="22"/>
            <w:szCs w:val="22"/>
            <w:lang w:val="en-GB" w:eastAsia="en-GB" w:bidi="ar-SA"/>
          </w:rPr>
          <w:tab/>
        </w:r>
        <w:r>
          <w:rPr>
            <w:rStyle w:val="Hyperlink"/>
            <w:noProof/>
          </w:rPr>
          <w:t>Introduction</w:t>
        </w:r>
        <w:r>
          <w:rPr>
            <w:noProof/>
            <w:webHidden/>
          </w:rPr>
          <w:tab/>
        </w:r>
        <w:r>
          <w:rPr>
            <w:noProof/>
            <w:webHidden/>
          </w:rPr>
          <w:fldChar w:fldCharType="begin"/>
        </w:r>
        <w:r>
          <w:rPr>
            <w:noProof/>
            <w:webHidden/>
          </w:rPr>
          <w:instrText xml:space="preserve"> PAGEREF _Toc452129245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52129246" w:history="1">
        <w:r>
          <w:rPr>
            <w:rStyle w:val="Hyperlink"/>
            <w:noProof/>
          </w:rPr>
          <w:t>2.</w:t>
        </w:r>
        <w:r>
          <w:rPr>
            <w:rFonts w:asciiTheme="minorHAnsi" w:eastAsiaTheme="minorEastAsia" w:hAnsiTheme="minorHAnsi" w:cstheme="minorBidi"/>
            <w:noProof/>
            <w:sz w:val="22"/>
            <w:szCs w:val="22"/>
            <w:lang w:val="en-GB" w:eastAsia="en-GB" w:bidi="ar-SA"/>
          </w:rPr>
          <w:tab/>
        </w:r>
        <w:r>
          <w:rPr>
            <w:rStyle w:val="Hyperlink"/>
            <w:noProof/>
          </w:rPr>
          <w:t>Activités de prêt de l’Union européenne</w:t>
        </w:r>
        <w:r>
          <w:rPr>
            <w:noProof/>
            <w:webHidden/>
          </w:rPr>
          <w:tab/>
        </w:r>
        <w:r>
          <w:rPr>
            <w:noProof/>
            <w:webHidden/>
          </w:rPr>
          <w:fldChar w:fldCharType="begin"/>
        </w:r>
        <w:r>
          <w:rPr>
            <w:noProof/>
            <w:webHidden/>
          </w:rPr>
          <w:instrText xml:space="preserve"> PAGEREF _Toc452129246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52129247" w:history="1">
        <w:r>
          <w:rPr>
            <w:rStyle w:val="Hyperlink"/>
            <w:noProof/>
          </w:rPr>
          <w:t>2.1.</w:t>
        </w:r>
        <w:r>
          <w:rPr>
            <w:rFonts w:asciiTheme="minorHAnsi" w:eastAsiaTheme="minorEastAsia" w:hAnsiTheme="minorHAnsi" w:cstheme="minorBidi"/>
            <w:noProof/>
            <w:sz w:val="22"/>
            <w:szCs w:val="22"/>
            <w:lang w:val="en-GB" w:eastAsia="en-GB" w:bidi="ar-SA"/>
          </w:rPr>
          <w:tab/>
        </w:r>
        <w:r>
          <w:rPr>
            <w:rStyle w:val="Hyperlink"/>
            <w:noProof/>
          </w:rPr>
          <w:t>Mécanisme de soutien des balances des paiements</w:t>
        </w:r>
        <w:r>
          <w:rPr>
            <w:noProof/>
            <w:webHidden/>
          </w:rPr>
          <w:tab/>
        </w:r>
        <w:r>
          <w:rPr>
            <w:noProof/>
            <w:webHidden/>
          </w:rPr>
          <w:fldChar w:fldCharType="begin"/>
        </w:r>
        <w:r>
          <w:rPr>
            <w:noProof/>
            <w:webHidden/>
          </w:rPr>
          <w:instrText xml:space="preserve"> PAGEREF _Toc452129247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52129248" w:history="1">
        <w:r>
          <w:rPr>
            <w:rStyle w:val="Hyperlink"/>
            <w:noProof/>
          </w:rPr>
          <w:t>2.2.</w:t>
        </w:r>
        <w:r>
          <w:rPr>
            <w:rFonts w:asciiTheme="minorHAnsi" w:eastAsiaTheme="minorEastAsia" w:hAnsiTheme="minorHAnsi" w:cstheme="minorBidi"/>
            <w:noProof/>
            <w:sz w:val="22"/>
            <w:szCs w:val="22"/>
            <w:lang w:val="en-GB" w:eastAsia="en-GB" w:bidi="ar-SA"/>
          </w:rPr>
          <w:tab/>
        </w:r>
        <w:r>
          <w:rPr>
            <w:rStyle w:val="Hyperlink"/>
            <w:noProof/>
          </w:rPr>
          <w:t>Mécanisme européen de stabilisation financière</w:t>
        </w:r>
        <w:r>
          <w:rPr>
            <w:noProof/>
            <w:webHidden/>
          </w:rPr>
          <w:tab/>
        </w:r>
        <w:r>
          <w:rPr>
            <w:noProof/>
            <w:webHidden/>
          </w:rPr>
          <w:fldChar w:fldCharType="begin"/>
        </w:r>
        <w:r>
          <w:rPr>
            <w:noProof/>
            <w:webHidden/>
          </w:rPr>
          <w:instrText xml:space="preserve"> PAGEREF _Toc452129248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52129249" w:history="1">
        <w:r>
          <w:rPr>
            <w:rStyle w:val="Hyperlink"/>
            <w:noProof/>
          </w:rPr>
          <w:t>2.3.</w:t>
        </w:r>
        <w:r>
          <w:rPr>
            <w:rFonts w:asciiTheme="minorHAnsi" w:eastAsiaTheme="minorEastAsia" w:hAnsiTheme="minorHAnsi" w:cstheme="minorBidi"/>
            <w:noProof/>
            <w:sz w:val="22"/>
            <w:szCs w:val="22"/>
            <w:lang w:val="en-GB" w:eastAsia="en-GB" w:bidi="ar-SA"/>
          </w:rPr>
          <w:tab/>
        </w:r>
        <w:r>
          <w:rPr>
            <w:rStyle w:val="Hyperlink"/>
            <w:noProof/>
          </w:rPr>
          <w:t>Assistance macrofinancière</w:t>
        </w:r>
        <w:r>
          <w:rPr>
            <w:noProof/>
            <w:webHidden/>
          </w:rPr>
          <w:tab/>
        </w:r>
        <w:r>
          <w:rPr>
            <w:noProof/>
            <w:webHidden/>
          </w:rPr>
          <w:fldChar w:fldCharType="begin"/>
        </w:r>
        <w:r>
          <w:rPr>
            <w:noProof/>
            <w:webHidden/>
          </w:rPr>
          <w:instrText xml:space="preserve"> PAGEREF _Toc452129249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52129250" w:history="1">
        <w:r>
          <w:rPr>
            <w:rStyle w:val="Hyperlink"/>
            <w:noProof/>
          </w:rPr>
          <w:t>2.4.</w:t>
        </w:r>
        <w:r>
          <w:rPr>
            <w:rFonts w:asciiTheme="minorHAnsi" w:eastAsiaTheme="minorEastAsia" w:hAnsiTheme="minorHAnsi" w:cstheme="minorBidi"/>
            <w:noProof/>
            <w:sz w:val="22"/>
            <w:szCs w:val="22"/>
            <w:lang w:val="en-GB" w:eastAsia="en-GB" w:bidi="ar-SA"/>
          </w:rPr>
          <w:tab/>
        </w:r>
        <w:r>
          <w:rPr>
            <w:rStyle w:val="Hyperlink"/>
            <w:noProof/>
          </w:rPr>
          <w:t>Mécanisme Euratom</w:t>
        </w:r>
        <w:r>
          <w:rPr>
            <w:noProof/>
            <w:webHidden/>
          </w:rPr>
          <w:tab/>
        </w:r>
        <w:r>
          <w:rPr>
            <w:noProof/>
            <w:webHidden/>
          </w:rPr>
          <w:fldChar w:fldCharType="begin"/>
        </w:r>
        <w:r>
          <w:rPr>
            <w:noProof/>
            <w:webHidden/>
          </w:rPr>
          <w:instrText xml:space="preserve"> PAGEREF _Toc452129250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52129251" w:history="1">
        <w:r>
          <w:rPr>
            <w:rStyle w:val="Hyperlink"/>
            <w:noProof/>
          </w:rPr>
          <w:t>3.</w:t>
        </w:r>
        <w:r>
          <w:rPr>
            <w:rFonts w:asciiTheme="minorHAnsi" w:eastAsiaTheme="minorEastAsia" w:hAnsiTheme="minorHAnsi" w:cstheme="minorBidi"/>
            <w:noProof/>
            <w:sz w:val="22"/>
            <w:szCs w:val="22"/>
            <w:lang w:val="en-GB" w:eastAsia="en-GB" w:bidi="ar-SA"/>
          </w:rPr>
          <w:tab/>
        </w:r>
        <w:r>
          <w:rPr>
            <w:rStyle w:val="Hyperlink"/>
            <w:noProof/>
          </w:rPr>
          <w:t>Activités d’emprunt de l’Union européenne</w:t>
        </w:r>
        <w:r>
          <w:rPr>
            <w:noProof/>
            <w:webHidden/>
          </w:rPr>
          <w:tab/>
        </w:r>
        <w:r>
          <w:rPr>
            <w:noProof/>
            <w:webHidden/>
          </w:rPr>
          <w:fldChar w:fldCharType="begin"/>
        </w:r>
        <w:r>
          <w:rPr>
            <w:noProof/>
            <w:webHidden/>
          </w:rPr>
          <w:instrText xml:space="preserve"> PAGEREF _Toc452129251 \h </w:instrText>
        </w:r>
        <w:r>
          <w:rPr>
            <w:noProof/>
            <w:webHidden/>
          </w:rPr>
        </w:r>
        <w:r>
          <w:rPr>
            <w:noProof/>
            <w:webHidden/>
          </w:rPr>
          <w:fldChar w:fldCharType="separate"/>
        </w:r>
        <w:r>
          <w:rPr>
            <w:noProof/>
            <w:webHidden/>
          </w:rPr>
          <w:t>9</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52129252" w:history="1">
        <w:r>
          <w:rPr>
            <w:rStyle w:val="Hyperlink"/>
            <w:noProof/>
          </w:rPr>
          <w:t>3.1.</w:t>
        </w:r>
        <w:r>
          <w:rPr>
            <w:rFonts w:asciiTheme="minorHAnsi" w:eastAsiaTheme="minorEastAsia" w:hAnsiTheme="minorHAnsi" w:cstheme="minorBidi"/>
            <w:noProof/>
            <w:sz w:val="22"/>
            <w:szCs w:val="22"/>
            <w:lang w:val="en-GB" w:eastAsia="en-GB" w:bidi="ar-SA"/>
          </w:rPr>
          <w:tab/>
        </w:r>
        <w:r>
          <w:rPr>
            <w:rStyle w:val="Hyperlink"/>
            <w:noProof/>
          </w:rPr>
          <w:t>Mécanisme de soutien des balances des paiements</w:t>
        </w:r>
        <w:r>
          <w:rPr>
            <w:noProof/>
            <w:webHidden/>
          </w:rPr>
          <w:tab/>
        </w:r>
        <w:r>
          <w:rPr>
            <w:noProof/>
            <w:webHidden/>
          </w:rPr>
          <w:fldChar w:fldCharType="begin"/>
        </w:r>
        <w:r>
          <w:rPr>
            <w:noProof/>
            <w:webHidden/>
          </w:rPr>
          <w:instrText xml:space="preserve"> PAGEREF _Toc452129252 \h </w:instrText>
        </w:r>
        <w:r>
          <w:rPr>
            <w:noProof/>
            <w:webHidden/>
          </w:rPr>
        </w:r>
        <w:r>
          <w:rPr>
            <w:noProof/>
            <w:webHidden/>
          </w:rPr>
          <w:fldChar w:fldCharType="separate"/>
        </w:r>
        <w:r>
          <w:rPr>
            <w:noProof/>
            <w:webHidden/>
          </w:rPr>
          <w:t>9</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52129253" w:history="1">
        <w:r>
          <w:rPr>
            <w:rStyle w:val="Hyperlink"/>
            <w:noProof/>
          </w:rPr>
          <w:t>3.2.</w:t>
        </w:r>
        <w:r>
          <w:rPr>
            <w:rFonts w:asciiTheme="minorHAnsi" w:eastAsiaTheme="minorEastAsia" w:hAnsiTheme="minorHAnsi" w:cstheme="minorBidi"/>
            <w:noProof/>
            <w:sz w:val="22"/>
            <w:szCs w:val="22"/>
            <w:lang w:val="en-GB" w:eastAsia="en-GB" w:bidi="ar-SA"/>
          </w:rPr>
          <w:tab/>
        </w:r>
        <w:r>
          <w:rPr>
            <w:rStyle w:val="Hyperlink"/>
            <w:noProof/>
          </w:rPr>
          <w:t>Mécanisme européen de stabilisation financière</w:t>
        </w:r>
        <w:r>
          <w:rPr>
            <w:noProof/>
            <w:webHidden/>
          </w:rPr>
          <w:tab/>
        </w:r>
        <w:r>
          <w:rPr>
            <w:noProof/>
            <w:webHidden/>
          </w:rPr>
          <w:fldChar w:fldCharType="begin"/>
        </w:r>
        <w:r>
          <w:rPr>
            <w:noProof/>
            <w:webHidden/>
          </w:rPr>
          <w:instrText xml:space="preserve"> PAGEREF _Toc452129253 \h </w:instrText>
        </w:r>
        <w:r>
          <w:rPr>
            <w:noProof/>
            <w:webHidden/>
          </w:rPr>
        </w:r>
        <w:r>
          <w:rPr>
            <w:noProof/>
            <w:webHidden/>
          </w:rPr>
          <w:fldChar w:fldCharType="separate"/>
        </w:r>
        <w:r>
          <w:rPr>
            <w:noProof/>
            <w:webHidden/>
          </w:rPr>
          <w:t>10</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52129254" w:history="1">
        <w:r>
          <w:rPr>
            <w:rStyle w:val="Hyperlink"/>
            <w:noProof/>
          </w:rPr>
          <w:t>3.3.</w:t>
        </w:r>
        <w:r>
          <w:rPr>
            <w:rFonts w:asciiTheme="minorHAnsi" w:eastAsiaTheme="minorEastAsia" w:hAnsiTheme="minorHAnsi" w:cstheme="minorBidi"/>
            <w:noProof/>
            <w:sz w:val="22"/>
            <w:szCs w:val="22"/>
            <w:lang w:val="en-GB" w:eastAsia="en-GB" w:bidi="ar-SA"/>
          </w:rPr>
          <w:tab/>
        </w:r>
        <w:r>
          <w:rPr>
            <w:rStyle w:val="Hyperlink"/>
            <w:noProof/>
          </w:rPr>
          <w:t>Assistance macrofinancière</w:t>
        </w:r>
        <w:r>
          <w:rPr>
            <w:noProof/>
            <w:webHidden/>
          </w:rPr>
          <w:tab/>
        </w:r>
        <w:r>
          <w:rPr>
            <w:noProof/>
            <w:webHidden/>
          </w:rPr>
          <w:fldChar w:fldCharType="begin"/>
        </w:r>
        <w:r>
          <w:rPr>
            <w:noProof/>
            <w:webHidden/>
          </w:rPr>
          <w:instrText xml:space="preserve"> PAGEREF _Toc452129254 \h </w:instrText>
        </w:r>
        <w:r>
          <w:rPr>
            <w:noProof/>
            <w:webHidden/>
          </w:rPr>
        </w:r>
        <w:r>
          <w:rPr>
            <w:noProof/>
            <w:webHidden/>
          </w:rPr>
          <w:fldChar w:fldCharType="separate"/>
        </w:r>
        <w:r>
          <w:rPr>
            <w:noProof/>
            <w:webHidden/>
          </w:rPr>
          <w:t>10</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52129255" w:history="1">
        <w:r>
          <w:rPr>
            <w:rStyle w:val="Hyperlink"/>
            <w:noProof/>
          </w:rPr>
          <w:t>3.4.</w:t>
        </w:r>
        <w:r>
          <w:rPr>
            <w:rFonts w:asciiTheme="minorHAnsi" w:eastAsiaTheme="minorEastAsia" w:hAnsiTheme="minorHAnsi" w:cstheme="minorBidi"/>
            <w:noProof/>
            <w:sz w:val="22"/>
            <w:szCs w:val="22"/>
            <w:lang w:val="en-GB" w:eastAsia="en-GB" w:bidi="ar-SA"/>
          </w:rPr>
          <w:tab/>
        </w:r>
        <w:r>
          <w:rPr>
            <w:rStyle w:val="Hyperlink"/>
            <w:noProof/>
          </w:rPr>
          <w:t>Mécanisme Euratom</w:t>
        </w:r>
        <w:r>
          <w:rPr>
            <w:noProof/>
            <w:webHidden/>
          </w:rPr>
          <w:tab/>
        </w:r>
        <w:r>
          <w:rPr>
            <w:noProof/>
            <w:webHidden/>
          </w:rPr>
          <w:fldChar w:fldCharType="begin"/>
        </w:r>
        <w:r>
          <w:rPr>
            <w:noProof/>
            <w:webHidden/>
          </w:rPr>
          <w:instrText xml:space="preserve"> PAGEREF _Toc452129255 \h </w:instrText>
        </w:r>
        <w:r>
          <w:rPr>
            <w:noProof/>
            <w:webHidden/>
          </w:rPr>
        </w:r>
        <w:r>
          <w:rPr>
            <w:noProof/>
            <w:webHidden/>
          </w:rPr>
          <w:fldChar w:fldCharType="separate"/>
        </w:r>
        <w:r>
          <w:rPr>
            <w:noProof/>
            <w:webHidden/>
          </w:rPr>
          <w:t>12</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52129256" w:history="1">
        <w:r>
          <w:rPr>
            <w:rStyle w:val="Hyperlink"/>
            <w:noProof/>
          </w:rPr>
          <w:t>4.</w:t>
        </w:r>
        <w:r>
          <w:rPr>
            <w:rFonts w:asciiTheme="minorHAnsi" w:eastAsiaTheme="minorEastAsia" w:hAnsiTheme="minorHAnsi" w:cstheme="minorBidi"/>
            <w:noProof/>
            <w:sz w:val="22"/>
            <w:szCs w:val="22"/>
            <w:lang w:val="en-GB" w:eastAsia="en-GB" w:bidi="ar-SA"/>
          </w:rPr>
          <w:tab/>
        </w:r>
        <w:r>
          <w:rPr>
            <w:rStyle w:val="Hyperlink"/>
            <w:noProof/>
          </w:rPr>
          <w:t>Banque européenne d'investissement</w:t>
        </w:r>
        <w:r>
          <w:rPr>
            <w:noProof/>
            <w:webHidden/>
          </w:rPr>
          <w:tab/>
        </w:r>
        <w:r>
          <w:rPr>
            <w:noProof/>
            <w:webHidden/>
          </w:rPr>
          <w:fldChar w:fldCharType="begin"/>
        </w:r>
        <w:r>
          <w:rPr>
            <w:noProof/>
            <w:webHidden/>
          </w:rPr>
          <w:instrText xml:space="preserve"> PAGEREF _Toc452129256 \h </w:instrText>
        </w:r>
        <w:r>
          <w:rPr>
            <w:noProof/>
            <w:webHidden/>
          </w:rPr>
        </w:r>
        <w:r>
          <w:rPr>
            <w:noProof/>
            <w:webHidden/>
          </w:rPr>
          <w:fldChar w:fldCharType="separate"/>
        </w:r>
        <w:r>
          <w:rPr>
            <w:noProof/>
            <w:webHidden/>
          </w:rPr>
          <w:t>13</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52129257" w:history="1">
        <w:r>
          <w:rPr>
            <w:rStyle w:val="Hyperlink"/>
            <w:noProof/>
          </w:rPr>
          <w:t>4.1.</w:t>
        </w:r>
        <w:r>
          <w:rPr>
            <w:rFonts w:asciiTheme="minorHAnsi" w:eastAsiaTheme="minorEastAsia" w:hAnsiTheme="minorHAnsi" w:cstheme="minorBidi"/>
            <w:noProof/>
            <w:sz w:val="22"/>
            <w:szCs w:val="22"/>
            <w:lang w:val="en-GB" w:eastAsia="en-GB" w:bidi="ar-SA"/>
          </w:rPr>
          <w:tab/>
        </w:r>
        <w:r>
          <w:rPr>
            <w:rStyle w:val="Hyperlink"/>
            <w:noProof/>
          </w:rPr>
          <w:t>Activités de prêt de la BEI</w:t>
        </w:r>
        <w:r>
          <w:rPr>
            <w:noProof/>
            <w:webHidden/>
          </w:rPr>
          <w:tab/>
        </w:r>
        <w:r>
          <w:rPr>
            <w:noProof/>
            <w:webHidden/>
          </w:rPr>
          <w:fldChar w:fldCharType="begin"/>
        </w:r>
        <w:r>
          <w:rPr>
            <w:noProof/>
            <w:webHidden/>
          </w:rPr>
          <w:instrText xml:space="preserve"> PAGEREF _Toc452129257 \h </w:instrText>
        </w:r>
        <w:r>
          <w:rPr>
            <w:noProof/>
            <w:webHidden/>
          </w:rPr>
        </w:r>
        <w:r>
          <w:rPr>
            <w:noProof/>
            <w:webHidden/>
          </w:rPr>
          <w:fldChar w:fldCharType="separate"/>
        </w:r>
        <w:r>
          <w:rPr>
            <w:noProof/>
            <w:webHidden/>
          </w:rPr>
          <w:t>13</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52129258" w:history="1">
        <w:r>
          <w:rPr>
            <w:rStyle w:val="Hyperlink"/>
            <w:noProof/>
          </w:rPr>
          <w:t>4.2.</w:t>
        </w:r>
        <w:r>
          <w:rPr>
            <w:rFonts w:asciiTheme="minorHAnsi" w:eastAsiaTheme="minorEastAsia" w:hAnsiTheme="minorHAnsi" w:cstheme="minorBidi"/>
            <w:noProof/>
            <w:sz w:val="22"/>
            <w:szCs w:val="22"/>
            <w:lang w:val="en-GB" w:eastAsia="en-GB" w:bidi="ar-SA"/>
          </w:rPr>
          <w:tab/>
        </w:r>
        <w:r>
          <w:rPr>
            <w:rStyle w:val="Hyperlink"/>
            <w:noProof/>
          </w:rPr>
          <w:t>Activités d’emprunt de la BEI</w:t>
        </w:r>
        <w:r>
          <w:rPr>
            <w:noProof/>
            <w:webHidden/>
          </w:rPr>
          <w:tab/>
        </w:r>
        <w:r>
          <w:rPr>
            <w:noProof/>
            <w:webHidden/>
          </w:rPr>
          <w:fldChar w:fldCharType="begin"/>
        </w:r>
        <w:r>
          <w:rPr>
            <w:noProof/>
            <w:webHidden/>
          </w:rPr>
          <w:instrText xml:space="preserve"> PAGEREF _Toc452129258 \h </w:instrText>
        </w:r>
        <w:r>
          <w:rPr>
            <w:noProof/>
            <w:webHidden/>
          </w:rPr>
        </w:r>
        <w:r>
          <w:rPr>
            <w:noProof/>
            <w:webHidden/>
          </w:rPr>
          <w:fldChar w:fldCharType="separate"/>
        </w:r>
        <w:r>
          <w:rPr>
            <w:noProof/>
            <w:webHidden/>
          </w:rPr>
          <w:t>14</w:t>
        </w:r>
        <w:r>
          <w:rPr>
            <w:noProof/>
            <w:webHidden/>
          </w:rPr>
          <w:fldChar w:fldCharType="end"/>
        </w:r>
      </w:hyperlink>
    </w:p>
    <w:p>
      <w:pPr>
        <w:pStyle w:val="TOC1"/>
        <w:rPr>
          <w:rFonts w:ascii="Calibri" w:hAnsi="Calibri"/>
          <w:noProof/>
          <w:sz w:val="22"/>
          <w:szCs w:val="22"/>
        </w:rPr>
      </w:pPr>
      <w:r>
        <w:rPr>
          <w:noProof/>
        </w:rPr>
        <w:fldChar w:fldCharType="end"/>
      </w:r>
    </w:p>
    <w:p>
      <w:pPr>
        <w:rPr>
          <w:noProof/>
        </w:rPr>
      </w:pPr>
    </w:p>
    <w:p>
      <w:pPr>
        <w:rPr>
          <w:noProof/>
        </w:rPr>
      </w:pPr>
    </w:p>
    <w:p>
      <w:pPr>
        <w:rPr>
          <w:noProof/>
        </w:rPr>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2"/>
          <w:cols w:space="708"/>
          <w:docGrid w:linePitch="360"/>
        </w:sectPr>
      </w:pPr>
    </w:p>
    <w:p>
      <w:pPr>
        <w:pStyle w:val="ManualHeading1"/>
        <w:spacing w:before="240" w:after="240"/>
        <w:ind w:left="851" w:hanging="851"/>
        <w:rPr>
          <w:noProof/>
        </w:rPr>
      </w:pPr>
      <w:bookmarkStart w:id="2" w:name="_Toc328407832"/>
      <w:bookmarkStart w:id="3" w:name="_Toc328407833"/>
      <w:bookmarkStart w:id="4" w:name="_Toc328407834"/>
      <w:bookmarkStart w:id="5" w:name="_Toc328407835"/>
      <w:bookmarkStart w:id="6" w:name="_Toc328407836"/>
      <w:bookmarkStart w:id="7" w:name="_Toc328407837"/>
      <w:bookmarkStart w:id="8" w:name="_Toc328407838"/>
      <w:bookmarkStart w:id="9" w:name="_Toc328407839"/>
      <w:bookmarkStart w:id="10" w:name="_Toc328407840"/>
      <w:bookmarkStart w:id="11" w:name="_Toc328407841"/>
      <w:bookmarkStart w:id="12" w:name="_Toc328407842"/>
      <w:bookmarkStart w:id="13" w:name="_Toc328407843"/>
      <w:bookmarkStart w:id="14" w:name="_Toc328407844"/>
      <w:bookmarkStart w:id="15" w:name="_Toc328407845"/>
      <w:bookmarkStart w:id="16" w:name="_Toc328407846"/>
      <w:bookmarkStart w:id="17" w:name="_Toc328407847"/>
      <w:bookmarkStart w:id="18" w:name="_Toc328407848"/>
      <w:bookmarkStart w:id="19" w:name="_Toc328407849"/>
      <w:bookmarkStart w:id="20" w:name="_Toc328407850"/>
      <w:bookmarkStart w:id="21" w:name="_Toc328407851"/>
      <w:bookmarkStart w:id="22" w:name="_Toc328407852"/>
      <w:bookmarkStart w:id="23" w:name="_Toc328407853"/>
      <w:bookmarkStart w:id="24" w:name="_Toc328407854"/>
      <w:bookmarkStart w:id="25" w:name="_Toc325641135"/>
      <w:bookmarkStart w:id="26" w:name="_Toc330157537"/>
      <w:bookmarkStart w:id="27" w:name="_Toc361393251"/>
      <w:bookmarkStart w:id="28" w:name="_Toc388883939"/>
      <w:bookmarkStart w:id="29" w:name="_Toc393808491"/>
      <w:bookmarkStart w:id="30" w:name="_Toc451257927"/>
      <w:bookmarkStart w:id="31" w:name="_Toc45212924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noProof/>
        </w:rPr>
        <w:t>1.</w:t>
      </w:r>
      <w:r>
        <w:rPr>
          <w:noProof/>
        </w:rPr>
        <w:tab/>
        <w:t>Introduction</w:t>
      </w:r>
      <w:bookmarkEnd w:id="25"/>
      <w:bookmarkEnd w:id="26"/>
      <w:bookmarkEnd w:id="27"/>
      <w:bookmarkEnd w:id="28"/>
      <w:bookmarkEnd w:id="29"/>
      <w:bookmarkEnd w:id="30"/>
      <w:bookmarkEnd w:id="31"/>
    </w:p>
    <w:p>
      <w:pPr>
        <w:spacing w:after="120" w:line="240" w:lineRule="auto"/>
        <w:jc w:val="both"/>
        <w:rPr>
          <w:rFonts w:ascii="Times New Roman" w:hAnsi="Times New Roman"/>
          <w:noProof/>
          <w:sz w:val="24"/>
          <w:szCs w:val="24"/>
        </w:rPr>
      </w:pPr>
      <w:r>
        <w:rPr>
          <w:rFonts w:ascii="Times New Roman" w:hAnsi="Times New Roman"/>
          <w:noProof/>
          <w:sz w:val="24"/>
        </w:rPr>
        <w:t xml:space="preserve">Les décisions du Conseil instituant les différents instruments de prêt de l’Union européenne (UE) prévoient que la Commission informe chaque année le Parlement européen et le Conseil de l’utilisation faite de ces instruments. Pour satisfaire à ces obligations d’information, le présent rapport décrit les opérations de prêt pour chaque instrument, ainsi que les activités d'emprunt correspondantes. </w:t>
      </w:r>
    </w:p>
    <w:p>
      <w:pPr>
        <w:spacing w:after="120" w:line="240" w:lineRule="auto"/>
        <w:jc w:val="both"/>
        <w:rPr>
          <w:rFonts w:ascii="Times New Roman" w:hAnsi="Times New Roman"/>
          <w:noProof/>
          <w:sz w:val="24"/>
          <w:szCs w:val="24"/>
        </w:rPr>
      </w:pPr>
      <w:r>
        <w:rPr>
          <w:rFonts w:ascii="Times New Roman" w:hAnsi="Times New Roman"/>
          <w:noProof/>
          <w:sz w:val="24"/>
        </w:rPr>
        <w:t>Afin que la présentation des activités de l’UE soit complète, la dernière partie du rapport résume les activités de prêt et d’emprunt menées par la Banque européenne d’investissement (BEI) en 2015.</w:t>
      </w:r>
    </w:p>
    <w:p>
      <w:pPr>
        <w:spacing w:after="120" w:line="240" w:lineRule="auto"/>
        <w:jc w:val="both"/>
        <w:rPr>
          <w:rFonts w:ascii="Times New Roman" w:hAnsi="Times New Roman"/>
          <w:noProof/>
          <w:sz w:val="24"/>
          <w:szCs w:val="24"/>
        </w:rPr>
      </w:pPr>
      <w:r>
        <w:rPr>
          <w:rFonts w:ascii="Times New Roman" w:hAnsi="Times New Roman"/>
          <w:noProof/>
          <w:sz w:val="24"/>
        </w:rPr>
        <w:t>Le tableau ci-dessous montre l’évolution des opérations de l’UE au cours des 5 dernières années.</w:t>
      </w:r>
    </w:p>
    <w:p>
      <w:pPr>
        <w:rPr>
          <w:rFonts w:ascii="Times New Roman" w:hAnsi="Times New Roman"/>
          <w:noProof/>
          <w:sz w:val="24"/>
          <w:szCs w:val="24"/>
        </w:rPr>
      </w:pPr>
      <w:r>
        <w:rPr>
          <w:rFonts w:ascii="Times New Roman" w:hAnsi="Times New Roman"/>
          <w:noProof/>
          <w:sz w:val="24"/>
          <w:u w:val="single"/>
        </w:rPr>
        <w:t xml:space="preserve">Tableau 1: Évolution des opérations de l'UE (montants du capital restant dû </w:t>
      </w:r>
      <w:r>
        <w:rPr>
          <w:rFonts w:ascii="Times New Roman" w:hAnsi="Times New Roman"/>
          <w:noProof/>
          <w:sz w:val="24"/>
          <w:u w:val="single"/>
          <w:vertAlign w:val="superscript"/>
        </w:rPr>
        <w:t xml:space="preserve"> </w:t>
      </w:r>
      <w:r>
        <w:rPr>
          <w:rFonts w:ascii="Times New Roman" w:hAnsi="Times New Roman"/>
          <w:noProof/>
          <w:sz w:val="24"/>
          <w:u w:val="single"/>
        </w:rPr>
        <w:t>en</w:t>
      </w:r>
      <w:r>
        <w:rPr>
          <w:rFonts w:ascii="Times New Roman" w:hAnsi="Times New Roman"/>
          <w:noProof/>
          <w:sz w:val="24"/>
          <w:u w:val="single"/>
          <w:vertAlign w:val="superscript"/>
        </w:rPr>
        <w:t xml:space="preserve"> </w:t>
      </w:r>
      <w:r>
        <w:rPr>
          <w:rFonts w:ascii="Times New Roman" w:hAnsi="Times New Roman"/>
          <w:noProof/>
          <w:sz w:val="24"/>
          <w:u w:val="single"/>
        </w:rPr>
        <w:t xml:space="preserve"> millions d'EUR)</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6"/>
        <w:gridCol w:w="1220"/>
        <w:gridCol w:w="1220"/>
        <w:gridCol w:w="1342"/>
        <w:gridCol w:w="1342"/>
        <w:gridCol w:w="1342"/>
        <w:gridCol w:w="1489"/>
      </w:tblGrid>
      <w:tr>
        <w:trPr>
          <w:trHeight w:val="798"/>
        </w:trPr>
        <w:tc>
          <w:tcPr>
            <w:tcW w:w="976" w:type="dxa"/>
            <w:shd w:val="clear" w:color="auto" w:fill="auto"/>
          </w:tcPr>
          <w:p>
            <w:pPr>
              <w:spacing w:after="240" w:line="240" w:lineRule="auto"/>
              <w:jc w:val="center"/>
              <w:rPr>
                <w:rFonts w:ascii="Times New Roman" w:hAnsi="Times New Roman"/>
                <w:noProof/>
                <w:sz w:val="24"/>
                <w:szCs w:val="24"/>
              </w:rPr>
            </w:pPr>
          </w:p>
        </w:tc>
        <w:tc>
          <w:tcPr>
            <w:tcW w:w="1220" w:type="dxa"/>
            <w:shd w:val="clear" w:color="auto" w:fill="auto"/>
          </w:tcPr>
          <w:p>
            <w:pPr>
              <w:spacing w:after="240" w:line="240" w:lineRule="auto"/>
              <w:jc w:val="center"/>
              <w:rPr>
                <w:rFonts w:ascii="Times New Roman" w:hAnsi="Times New Roman"/>
                <w:noProof/>
                <w:sz w:val="24"/>
                <w:szCs w:val="24"/>
              </w:rPr>
            </w:pPr>
            <w:r>
              <w:rPr>
                <w:rFonts w:ascii="Times New Roman" w:hAnsi="Times New Roman"/>
                <w:noProof/>
                <w:sz w:val="24"/>
              </w:rPr>
              <w:t>CECA en liqu. (1) (2)</w:t>
            </w:r>
          </w:p>
        </w:tc>
        <w:tc>
          <w:tcPr>
            <w:tcW w:w="1220" w:type="dxa"/>
            <w:shd w:val="clear" w:color="auto" w:fill="auto"/>
          </w:tcPr>
          <w:p>
            <w:pPr>
              <w:spacing w:after="240" w:line="240" w:lineRule="auto"/>
              <w:jc w:val="center"/>
              <w:rPr>
                <w:rFonts w:ascii="Times New Roman" w:hAnsi="Times New Roman"/>
                <w:noProof/>
                <w:sz w:val="24"/>
                <w:szCs w:val="24"/>
              </w:rPr>
            </w:pPr>
            <w:r>
              <w:rPr>
                <w:rFonts w:ascii="Times New Roman" w:hAnsi="Times New Roman"/>
                <w:noProof/>
                <w:sz w:val="24"/>
              </w:rPr>
              <w:t>Euratom (1)</w:t>
            </w:r>
          </w:p>
        </w:tc>
        <w:tc>
          <w:tcPr>
            <w:tcW w:w="1342" w:type="dxa"/>
          </w:tcPr>
          <w:p>
            <w:pPr>
              <w:spacing w:after="240" w:line="240" w:lineRule="auto"/>
              <w:jc w:val="center"/>
              <w:rPr>
                <w:rFonts w:ascii="Times New Roman" w:hAnsi="Times New Roman"/>
                <w:noProof/>
                <w:sz w:val="24"/>
                <w:szCs w:val="24"/>
              </w:rPr>
            </w:pPr>
            <w:r>
              <w:rPr>
                <w:rFonts w:ascii="Times New Roman" w:hAnsi="Times New Roman"/>
                <w:noProof/>
                <w:sz w:val="24"/>
              </w:rPr>
              <w:t>Soutien des balances des paiements</w:t>
            </w:r>
          </w:p>
        </w:tc>
        <w:tc>
          <w:tcPr>
            <w:tcW w:w="1342" w:type="dxa"/>
          </w:tcPr>
          <w:p>
            <w:pPr>
              <w:spacing w:after="240" w:line="240" w:lineRule="auto"/>
              <w:jc w:val="center"/>
              <w:rPr>
                <w:rFonts w:ascii="Times New Roman" w:hAnsi="Times New Roman"/>
                <w:noProof/>
                <w:sz w:val="24"/>
                <w:szCs w:val="24"/>
              </w:rPr>
            </w:pPr>
            <w:r>
              <w:rPr>
                <w:rFonts w:ascii="Times New Roman" w:hAnsi="Times New Roman"/>
                <w:noProof/>
                <w:sz w:val="24"/>
              </w:rPr>
              <w:t>AMF</w:t>
            </w:r>
          </w:p>
        </w:tc>
        <w:tc>
          <w:tcPr>
            <w:tcW w:w="1342" w:type="dxa"/>
            <w:shd w:val="clear" w:color="auto" w:fill="auto"/>
          </w:tcPr>
          <w:p>
            <w:pPr>
              <w:spacing w:after="240" w:line="240" w:lineRule="auto"/>
              <w:jc w:val="center"/>
              <w:rPr>
                <w:rFonts w:ascii="Times New Roman" w:hAnsi="Times New Roman"/>
                <w:noProof/>
                <w:sz w:val="24"/>
                <w:szCs w:val="24"/>
              </w:rPr>
            </w:pPr>
            <w:r>
              <w:rPr>
                <w:rFonts w:ascii="Times New Roman" w:hAnsi="Times New Roman"/>
                <w:noProof/>
                <w:sz w:val="24"/>
              </w:rPr>
              <w:t>MESF</w:t>
            </w:r>
          </w:p>
        </w:tc>
        <w:tc>
          <w:tcPr>
            <w:tcW w:w="1489" w:type="dxa"/>
            <w:shd w:val="clear" w:color="auto" w:fill="auto"/>
          </w:tcPr>
          <w:p>
            <w:pPr>
              <w:spacing w:after="240" w:line="240" w:lineRule="auto"/>
              <w:jc w:val="center"/>
              <w:rPr>
                <w:rFonts w:ascii="Times New Roman" w:hAnsi="Times New Roman"/>
                <w:noProof/>
                <w:sz w:val="24"/>
                <w:szCs w:val="24"/>
              </w:rPr>
            </w:pPr>
            <w:r>
              <w:rPr>
                <w:rFonts w:ascii="Times New Roman" w:hAnsi="Times New Roman"/>
                <w:noProof/>
                <w:sz w:val="24"/>
              </w:rPr>
              <w:t>Total</w:t>
            </w:r>
          </w:p>
        </w:tc>
      </w:tr>
      <w:tr>
        <w:trPr>
          <w:trHeight w:val="2664"/>
        </w:trPr>
        <w:tc>
          <w:tcPr>
            <w:tcW w:w="976" w:type="dxa"/>
            <w:tcBorders>
              <w:top w:val="nil"/>
            </w:tcBorders>
            <w:shd w:val="clear" w:color="auto" w:fill="auto"/>
          </w:tcPr>
          <w:p>
            <w:pPr>
              <w:spacing w:after="240" w:line="240" w:lineRule="auto"/>
              <w:jc w:val="both"/>
              <w:rPr>
                <w:rFonts w:ascii="Times New Roman" w:hAnsi="Times New Roman"/>
                <w:bCs/>
                <w:noProof/>
                <w:sz w:val="24"/>
                <w:szCs w:val="24"/>
              </w:rPr>
            </w:pPr>
            <w:r>
              <w:rPr>
                <w:rFonts w:ascii="Times New Roman" w:hAnsi="Times New Roman"/>
                <w:noProof/>
                <w:sz w:val="24"/>
              </w:rPr>
              <w:t>2011</w:t>
            </w:r>
          </w:p>
          <w:p>
            <w:pPr>
              <w:spacing w:after="240" w:line="240" w:lineRule="auto"/>
              <w:jc w:val="both"/>
              <w:rPr>
                <w:rFonts w:ascii="Times New Roman" w:hAnsi="Times New Roman"/>
                <w:bCs/>
                <w:noProof/>
                <w:sz w:val="24"/>
                <w:szCs w:val="24"/>
              </w:rPr>
            </w:pPr>
            <w:r>
              <w:rPr>
                <w:rFonts w:ascii="Times New Roman" w:hAnsi="Times New Roman"/>
                <w:noProof/>
                <w:sz w:val="24"/>
              </w:rPr>
              <w:t>2012</w:t>
            </w:r>
          </w:p>
          <w:p>
            <w:pPr>
              <w:spacing w:after="240" w:line="240" w:lineRule="auto"/>
              <w:jc w:val="both"/>
              <w:rPr>
                <w:rFonts w:ascii="Times New Roman" w:hAnsi="Times New Roman"/>
                <w:bCs/>
                <w:noProof/>
                <w:sz w:val="24"/>
                <w:szCs w:val="24"/>
              </w:rPr>
            </w:pPr>
            <w:r>
              <w:rPr>
                <w:rFonts w:ascii="Times New Roman" w:hAnsi="Times New Roman"/>
                <w:noProof/>
                <w:sz w:val="24"/>
              </w:rPr>
              <w:t>2013</w:t>
            </w:r>
          </w:p>
          <w:p>
            <w:pPr>
              <w:spacing w:after="240" w:line="240" w:lineRule="auto"/>
              <w:jc w:val="both"/>
              <w:rPr>
                <w:rFonts w:ascii="Times New Roman" w:hAnsi="Times New Roman"/>
                <w:bCs/>
                <w:noProof/>
                <w:sz w:val="24"/>
                <w:szCs w:val="24"/>
              </w:rPr>
            </w:pPr>
            <w:r>
              <w:rPr>
                <w:rFonts w:ascii="Times New Roman" w:hAnsi="Times New Roman"/>
                <w:noProof/>
                <w:sz w:val="24"/>
              </w:rPr>
              <w:t>2014</w:t>
            </w:r>
          </w:p>
          <w:p>
            <w:pPr>
              <w:spacing w:after="240" w:line="240" w:lineRule="auto"/>
              <w:jc w:val="both"/>
              <w:rPr>
                <w:rFonts w:ascii="Times New Roman" w:hAnsi="Times New Roman"/>
                <w:bCs/>
                <w:noProof/>
                <w:sz w:val="24"/>
                <w:szCs w:val="24"/>
              </w:rPr>
            </w:pPr>
            <w:r>
              <w:rPr>
                <w:rFonts w:ascii="Times New Roman" w:hAnsi="Times New Roman"/>
                <w:noProof/>
                <w:sz w:val="24"/>
              </w:rPr>
              <w:t>2015</w:t>
            </w:r>
          </w:p>
        </w:tc>
        <w:tc>
          <w:tcPr>
            <w:tcW w:w="1220" w:type="dxa"/>
            <w:tcBorders>
              <w:top w:val="nil"/>
            </w:tcBorders>
            <w:shd w:val="clear" w:color="auto" w:fill="auto"/>
          </w:tcPr>
          <w:p>
            <w:pPr>
              <w:spacing w:after="240" w:line="240" w:lineRule="auto"/>
              <w:jc w:val="right"/>
              <w:rPr>
                <w:rFonts w:ascii="Times New Roman" w:hAnsi="Times New Roman"/>
                <w:bCs/>
                <w:noProof/>
                <w:sz w:val="24"/>
                <w:szCs w:val="24"/>
              </w:rPr>
            </w:pPr>
            <w:r>
              <w:rPr>
                <w:rFonts w:ascii="Times New Roman" w:hAnsi="Times New Roman"/>
                <w:noProof/>
                <w:sz w:val="24"/>
              </w:rPr>
              <w:t>225</w:t>
            </w:r>
          </w:p>
          <w:p>
            <w:pPr>
              <w:spacing w:after="240" w:line="240" w:lineRule="auto"/>
              <w:jc w:val="right"/>
              <w:rPr>
                <w:rFonts w:ascii="Times New Roman" w:hAnsi="Times New Roman"/>
                <w:bCs/>
                <w:noProof/>
                <w:sz w:val="24"/>
                <w:szCs w:val="24"/>
              </w:rPr>
            </w:pPr>
            <w:r>
              <w:rPr>
                <w:rFonts w:ascii="Times New Roman" w:hAnsi="Times New Roman"/>
                <w:noProof/>
                <w:sz w:val="24"/>
              </w:rPr>
              <w:t>183</w:t>
            </w:r>
          </w:p>
          <w:p>
            <w:pPr>
              <w:spacing w:after="240" w:line="240" w:lineRule="auto"/>
              <w:jc w:val="right"/>
              <w:rPr>
                <w:rFonts w:ascii="Times New Roman" w:hAnsi="Times New Roman"/>
                <w:bCs/>
                <w:noProof/>
                <w:sz w:val="24"/>
                <w:szCs w:val="24"/>
              </w:rPr>
            </w:pPr>
            <w:r>
              <w:rPr>
                <w:rFonts w:ascii="Times New Roman" w:hAnsi="Times New Roman"/>
                <w:noProof/>
                <w:sz w:val="24"/>
              </w:rPr>
              <w:t>179</w:t>
            </w:r>
          </w:p>
          <w:p>
            <w:pPr>
              <w:spacing w:after="240" w:line="240" w:lineRule="auto"/>
              <w:jc w:val="right"/>
              <w:rPr>
                <w:rFonts w:ascii="Times New Roman" w:hAnsi="Times New Roman"/>
                <w:bCs/>
                <w:noProof/>
                <w:sz w:val="24"/>
                <w:szCs w:val="24"/>
              </w:rPr>
            </w:pPr>
            <w:r>
              <w:rPr>
                <w:rFonts w:ascii="Times New Roman" w:hAnsi="Times New Roman"/>
                <w:noProof/>
                <w:sz w:val="24"/>
              </w:rPr>
              <w:t>192</w:t>
            </w:r>
          </w:p>
          <w:p>
            <w:pPr>
              <w:spacing w:after="240" w:line="240" w:lineRule="auto"/>
              <w:jc w:val="right"/>
              <w:rPr>
                <w:rFonts w:ascii="Times New Roman" w:hAnsi="Times New Roman"/>
                <w:bCs/>
                <w:noProof/>
                <w:sz w:val="24"/>
                <w:szCs w:val="24"/>
              </w:rPr>
            </w:pPr>
            <w:r>
              <w:rPr>
                <w:rFonts w:ascii="Times New Roman" w:hAnsi="Times New Roman"/>
                <w:noProof/>
                <w:sz w:val="24"/>
              </w:rPr>
              <w:t>204</w:t>
            </w:r>
          </w:p>
        </w:tc>
        <w:tc>
          <w:tcPr>
            <w:tcW w:w="1220" w:type="dxa"/>
            <w:tcBorders>
              <w:top w:val="nil"/>
            </w:tcBorders>
            <w:shd w:val="clear" w:color="auto" w:fill="auto"/>
          </w:tcPr>
          <w:p>
            <w:pPr>
              <w:spacing w:after="240" w:line="240" w:lineRule="auto"/>
              <w:jc w:val="right"/>
              <w:rPr>
                <w:rFonts w:ascii="Times New Roman" w:hAnsi="Times New Roman"/>
                <w:bCs/>
                <w:noProof/>
                <w:sz w:val="24"/>
                <w:szCs w:val="24"/>
              </w:rPr>
            </w:pPr>
            <w:r>
              <w:rPr>
                <w:rFonts w:ascii="Times New Roman" w:hAnsi="Times New Roman"/>
                <w:noProof/>
                <w:sz w:val="24"/>
              </w:rPr>
              <w:t>447</w:t>
            </w:r>
          </w:p>
          <w:p>
            <w:pPr>
              <w:spacing w:after="240" w:line="240" w:lineRule="auto"/>
              <w:jc w:val="right"/>
              <w:rPr>
                <w:rFonts w:ascii="Times New Roman" w:hAnsi="Times New Roman"/>
                <w:bCs/>
                <w:noProof/>
                <w:sz w:val="24"/>
                <w:szCs w:val="24"/>
              </w:rPr>
            </w:pPr>
            <w:r>
              <w:rPr>
                <w:rFonts w:ascii="Times New Roman" w:hAnsi="Times New Roman"/>
                <w:noProof/>
                <w:sz w:val="24"/>
              </w:rPr>
              <w:t>423</w:t>
            </w:r>
          </w:p>
          <w:p>
            <w:pPr>
              <w:spacing w:after="240" w:line="240" w:lineRule="auto"/>
              <w:jc w:val="right"/>
              <w:rPr>
                <w:rFonts w:ascii="Times New Roman" w:hAnsi="Times New Roman"/>
                <w:bCs/>
                <w:noProof/>
                <w:sz w:val="24"/>
                <w:szCs w:val="24"/>
              </w:rPr>
            </w:pPr>
            <w:r>
              <w:rPr>
                <w:rFonts w:ascii="Times New Roman" w:hAnsi="Times New Roman"/>
                <w:noProof/>
                <w:sz w:val="24"/>
              </w:rPr>
              <w:t>386</w:t>
            </w:r>
          </w:p>
          <w:p>
            <w:pPr>
              <w:spacing w:after="240" w:line="240" w:lineRule="auto"/>
              <w:jc w:val="right"/>
              <w:rPr>
                <w:rFonts w:ascii="Times New Roman" w:hAnsi="Times New Roman"/>
                <w:bCs/>
                <w:noProof/>
                <w:sz w:val="24"/>
                <w:szCs w:val="24"/>
              </w:rPr>
            </w:pPr>
            <w:r>
              <w:rPr>
                <w:rFonts w:ascii="Times New Roman" w:hAnsi="Times New Roman"/>
                <w:noProof/>
                <w:sz w:val="24"/>
              </w:rPr>
              <w:t>348</w:t>
            </w:r>
          </w:p>
          <w:p>
            <w:pPr>
              <w:spacing w:after="240" w:line="240" w:lineRule="auto"/>
              <w:jc w:val="right"/>
              <w:rPr>
                <w:rFonts w:ascii="Times New Roman" w:hAnsi="Times New Roman"/>
                <w:bCs/>
                <w:noProof/>
                <w:sz w:val="24"/>
                <w:szCs w:val="24"/>
              </w:rPr>
            </w:pPr>
            <w:r>
              <w:rPr>
                <w:rFonts w:ascii="Times New Roman" w:hAnsi="Times New Roman"/>
                <w:noProof/>
                <w:sz w:val="24"/>
              </w:rPr>
              <w:t>300</w:t>
            </w:r>
          </w:p>
        </w:tc>
        <w:tc>
          <w:tcPr>
            <w:tcW w:w="1342" w:type="dxa"/>
            <w:tcBorders>
              <w:top w:val="nil"/>
            </w:tcBorders>
          </w:tcPr>
          <w:p>
            <w:pPr>
              <w:spacing w:after="240" w:line="240" w:lineRule="auto"/>
              <w:jc w:val="right"/>
              <w:rPr>
                <w:rFonts w:ascii="Times New Roman" w:hAnsi="Times New Roman"/>
                <w:bCs/>
                <w:noProof/>
                <w:sz w:val="24"/>
                <w:szCs w:val="24"/>
              </w:rPr>
            </w:pPr>
            <w:r>
              <w:rPr>
                <w:rFonts w:ascii="Times New Roman" w:hAnsi="Times New Roman"/>
                <w:noProof/>
                <w:sz w:val="24"/>
              </w:rPr>
              <w:t>11</w:t>
            </w:r>
            <w:r>
              <w:rPr>
                <w:noProof/>
              </w:rPr>
              <w:t> </w:t>
            </w:r>
            <w:r>
              <w:rPr>
                <w:rFonts w:ascii="Times New Roman" w:hAnsi="Times New Roman"/>
                <w:noProof/>
                <w:sz w:val="24"/>
              </w:rPr>
              <w:t>400</w:t>
            </w:r>
          </w:p>
          <w:p>
            <w:pPr>
              <w:spacing w:after="240" w:line="240" w:lineRule="auto"/>
              <w:jc w:val="right"/>
              <w:rPr>
                <w:rFonts w:ascii="Times New Roman" w:hAnsi="Times New Roman"/>
                <w:bCs/>
                <w:noProof/>
                <w:sz w:val="24"/>
                <w:szCs w:val="24"/>
              </w:rPr>
            </w:pPr>
            <w:r>
              <w:rPr>
                <w:rFonts w:ascii="Times New Roman" w:hAnsi="Times New Roman"/>
                <w:noProof/>
                <w:sz w:val="24"/>
              </w:rPr>
              <w:t>11</w:t>
            </w:r>
            <w:r>
              <w:rPr>
                <w:noProof/>
              </w:rPr>
              <w:t> </w:t>
            </w:r>
            <w:r>
              <w:rPr>
                <w:rFonts w:ascii="Times New Roman" w:hAnsi="Times New Roman"/>
                <w:noProof/>
                <w:sz w:val="24"/>
              </w:rPr>
              <w:t>400</w:t>
            </w:r>
          </w:p>
          <w:p>
            <w:pPr>
              <w:spacing w:after="240" w:line="240" w:lineRule="auto"/>
              <w:jc w:val="right"/>
              <w:rPr>
                <w:rFonts w:ascii="Times New Roman" w:hAnsi="Times New Roman"/>
                <w:bCs/>
                <w:noProof/>
                <w:sz w:val="24"/>
                <w:szCs w:val="24"/>
              </w:rPr>
            </w:pPr>
            <w:r>
              <w:rPr>
                <w:rFonts w:ascii="Times New Roman" w:hAnsi="Times New Roman"/>
                <w:noProof/>
                <w:sz w:val="24"/>
              </w:rPr>
              <w:t>11</w:t>
            </w:r>
            <w:r>
              <w:rPr>
                <w:noProof/>
              </w:rPr>
              <w:t> </w:t>
            </w:r>
            <w:r>
              <w:rPr>
                <w:rFonts w:ascii="Times New Roman" w:hAnsi="Times New Roman"/>
                <w:noProof/>
                <w:sz w:val="24"/>
              </w:rPr>
              <w:t>400</w:t>
            </w:r>
          </w:p>
          <w:p>
            <w:pPr>
              <w:spacing w:after="240" w:line="240" w:lineRule="auto"/>
              <w:jc w:val="right"/>
              <w:rPr>
                <w:rFonts w:ascii="Times New Roman" w:hAnsi="Times New Roman"/>
                <w:bCs/>
                <w:noProof/>
                <w:sz w:val="24"/>
                <w:szCs w:val="24"/>
              </w:rPr>
            </w:pPr>
            <w:r>
              <w:rPr>
                <w:rFonts w:ascii="Times New Roman" w:hAnsi="Times New Roman"/>
                <w:noProof/>
                <w:sz w:val="24"/>
              </w:rPr>
              <w:t>8</w:t>
            </w:r>
            <w:r>
              <w:rPr>
                <w:noProof/>
              </w:rPr>
              <w:t> </w:t>
            </w:r>
            <w:r>
              <w:rPr>
                <w:rFonts w:ascii="Times New Roman" w:hAnsi="Times New Roman"/>
                <w:noProof/>
                <w:sz w:val="24"/>
              </w:rPr>
              <w:t>400</w:t>
            </w:r>
          </w:p>
          <w:p>
            <w:pPr>
              <w:spacing w:after="240" w:line="240" w:lineRule="auto"/>
              <w:jc w:val="right"/>
              <w:rPr>
                <w:rFonts w:ascii="Times New Roman" w:hAnsi="Times New Roman"/>
                <w:bCs/>
                <w:noProof/>
                <w:sz w:val="24"/>
                <w:szCs w:val="24"/>
              </w:rPr>
            </w:pPr>
            <w:r>
              <w:rPr>
                <w:rFonts w:ascii="Times New Roman" w:hAnsi="Times New Roman"/>
                <w:noProof/>
                <w:sz w:val="24"/>
              </w:rPr>
              <w:t>5 700</w:t>
            </w:r>
          </w:p>
        </w:tc>
        <w:tc>
          <w:tcPr>
            <w:tcW w:w="1342" w:type="dxa"/>
            <w:tcBorders>
              <w:top w:val="nil"/>
            </w:tcBorders>
          </w:tcPr>
          <w:p>
            <w:pPr>
              <w:spacing w:after="240" w:line="240" w:lineRule="auto"/>
              <w:jc w:val="right"/>
              <w:rPr>
                <w:rFonts w:ascii="Times New Roman" w:hAnsi="Times New Roman"/>
                <w:bCs/>
                <w:noProof/>
                <w:sz w:val="24"/>
                <w:szCs w:val="24"/>
              </w:rPr>
            </w:pPr>
            <w:r>
              <w:rPr>
                <w:rFonts w:ascii="Times New Roman" w:hAnsi="Times New Roman"/>
                <w:noProof/>
                <w:sz w:val="24"/>
              </w:rPr>
              <w:t>590</w:t>
            </w:r>
          </w:p>
          <w:p>
            <w:pPr>
              <w:spacing w:after="240" w:line="240" w:lineRule="auto"/>
              <w:jc w:val="right"/>
              <w:rPr>
                <w:rFonts w:ascii="Times New Roman" w:hAnsi="Times New Roman"/>
                <w:bCs/>
                <w:noProof/>
                <w:sz w:val="24"/>
                <w:szCs w:val="24"/>
              </w:rPr>
            </w:pPr>
            <w:r>
              <w:rPr>
                <w:rFonts w:ascii="Times New Roman" w:hAnsi="Times New Roman"/>
                <w:noProof/>
                <w:sz w:val="24"/>
              </w:rPr>
              <w:t>545</w:t>
            </w:r>
          </w:p>
          <w:p>
            <w:pPr>
              <w:spacing w:after="240" w:line="240" w:lineRule="auto"/>
              <w:jc w:val="right"/>
              <w:rPr>
                <w:rFonts w:ascii="Times New Roman" w:hAnsi="Times New Roman"/>
                <w:bCs/>
                <w:noProof/>
                <w:sz w:val="24"/>
                <w:szCs w:val="24"/>
              </w:rPr>
            </w:pPr>
            <w:r>
              <w:rPr>
                <w:rFonts w:ascii="Times New Roman" w:hAnsi="Times New Roman"/>
                <w:noProof/>
                <w:sz w:val="24"/>
              </w:rPr>
              <w:t>565</w:t>
            </w:r>
          </w:p>
          <w:p>
            <w:pPr>
              <w:spacing w:after="240" w:line="240" w:lineRule="auto"/>
              <w:jc w:val="right"/>
              <w:rPr>
                <w:rFonts w:ascii="Times New Roman" w:hAnsi="Times New Roman"/>
                <w:bCs/>
                <w:noProof/>
                <w:sz w:val="24"/>
                <w:szCs w:val="24"/>
              </w:rPr>
            </w:pPr>
            <w:r>
              <w:rPr>
                <w:rFonts w:ascii="Times New Roman" w:hAnsi="Times New Roman"/>
                <w:noProof/>
                <w:sz w:val="24"/>
              </w:rPr>
              <w:t>1</w:t>
            </w:r>
            <w:r>
              <w:rPr>
                <w:noProof/>
              </w:rPr>
              <w:t> </w:t>
            </w:r>
            <w:r>
              <w:rPr>
                <w:rFonts w:ascii="Times New Roman" w:hAnsi="Times New Roman"/>
                <w:noProof/>
                <w:sz w:val="24"/>
              </w:rPr>
              <w:t>829</w:t>
            </w:r>
          </w:p>
          <w:p>
            <w:pPr>
              <w:spacing w:after="240" w:line="240" w:lineRule="auto"/>
              <w:jc w:val="right"/>
              <w:rPr>
                <w:rFonts w:ascii="Times New Roman" w:hAnsi="Times New Roman"/>
                <w:bCs/>
                <w:noProof/>
                <w:sz w:val="24"/>
                <w:szCs w:val="24"/>
              </w:rPr>
            </w:pPr>
            <w:r>
              <w:rPr>
                <w:rFonts w:ascii="Times New Roman" w:hAnsi="Times New Roman"/>
                <w:noProof/>
                <w:sz w:val="24"/>
              </w:rPr>
              <w:t>3 007</w:t>
            </w:r>
          </w:p>
        </w:tc>
        <w:tc>
          <w:tcPr>
            <w:tcW w:w="1342" w:type="dxa"/>
            <w:tcBorders>
              <w:top w:val="nil"/>
            </w:tcBorders>
            <w:shd w:val="clear" w:color="auto" w:fill="auto"/>
          </w:tcPr>
          <w:p>
            <w:pPr>
              <w:spacing w:after="240" w:line="240" w:lineRule="auto"/>
              <w:jc w:val="right"/>
              <w:rPr>
                <w:rFonts w:ascii="Times New Roman" w:hAnsi="Times New Roman"/>
                <w:bCs/>
                <w:noProof/>
                <w:sz w:val="24"/>
                <w:szCs w:val="24"/>
              </w:rPr>
            </w:pPr>
            <w:r>
              <w:rPr>
                <w:rFonts w:ascii="Times New Roman" w:hAnsi="Times New Roman"/>
                <w:noProof/>
                <w:sz w:val="24"/>
              </w:rPr>
              <w:t>28</w:t>
            </w:r>
            <w:r>
              <w:rPr>
                <w:noProof/>
              </w:rPr>
              <w:t> </w:t>
            </w:r>
            <w:r>
              <w:rPr>
                <w:rFonts w:ascii="Times New Roman" w:hAnsi="Times New Roman"/>
                <w:noProof/>
                <w:sz w:val="24"/>
              </w:rPr>
              <w:t>000</w:t>
            </w:r>
          </w:p>
          <w:p>
            <w:pPr>
              <w:spacing w:after="240" w:line="240" w:lineRule="auto"/>
              <w:jc w:val="right"/>
              <w:rPr>
                <w:rFonts w:ascii="Times New Roman" w:hAnsi="Times New Roman"/>
                <w:bCs/>
                <w:noProof/>
                <w:sz w:val="24"/>
                <w:szCs w:val="24"/>
              </w:rPr>
            </w:pPr>
            <w:r>
              <w:rPr>
                <w:rFonts w:ascii="Times New Roman" w:hAnsi="Times New Roman"/>
                <w:noProof/>
                <w:sz w:val="24"/>
              </w:rPr>
              <w:t>43</w:t>
            </w:r>
            <w:r>
              <w:rPr>
                <w:noProof/>
              </w:rPr>
              <w:t> </w:t>
            </w:r>
            <w:r>
              <w:rPr>
                <w:rFonts w:ascii="Times New Roman" w:hAnsi="Times New Roman"/>
                <w:noProof/>
                <w:sz w:val="24"/>
              </w:rPr>
              <w:t>800</w:t>
            </w:r>
          </w:p>
          <w:p>
            <w:pPr>
              <w:spacing w:after="240" w:line="240" w:lineRule="auto"/>
              <w:jc w:val="right"/>
              <w:rPr>
                <w:rFonts w:ascii="Times New Roman" w:hAnsi="Times New Roman"/>
                <w:bCs/>
                <w:noProof/>
                <w:sz w:val="24"/>
                <w:szCs w:val="24"/>
              </w:rPr>
            </w:pPr>
            <w:r>
              <w:rPr>
                <w:rFonts w:ascii="Times New Roman" w:hAnsi="Times New Roman"/>
                <w:noProof/>
                <w:sz w:val="24"/>
              </w:rPr>
              <w:t>43</w:t>
            </w:r>
            <w:r>
              <w:rPr>
                <w:noProof/>
              </w:rPr>
              <w:t> </w:t>
            </w:r>
            <w:r>
              <w:rPr>
                <w:rFonts w:ascii="Times New Roman" w:hAnsi="Times New Roman"/>
                <w:noProof/>
                <w:sz w:val="24"/>
              </w:rPr>
              <w:t>800</w:t>
            </w:r>
          </w:p>
          <w:p>
            <w:pPr>
              <w:spacing w:after="240" w:line="240" w:lineRule="auto"/>
              <w:jc w:val="right"/>
              <w:rPr>
                <w:rFonts w:ascii="Times New Roman" w:hAnsi="Times New Roman"/>
                <w:bCs/>
                <w:noProof/>
                <w:sz w:val="24"/>
                <w:szCs w:val="24"/>
              </w:rPr>
            </w:pPr>
            <w:r>
              <w:rPr>
                <w:rFonts w:ascii="Times New Roman" w:hAnsi="Times New Roman"/>
                <w:noProof/>
                <w:sz w:val="24"/>
              </w:rPr>
              <w:t>46</w:t>
            </w:r>
            <w:r>
              <w:rPr>
                <w:noProof/>
              </w:rPr>
              <w:t> </w:t>
            </w:r>
            <w:r>
              <w:rPr>
                <w:rFonts w:ascii="Times New Roman" w:hAnsi="Times New Roman"/>
                <w:noProof/>
                <w:sz w:val="24"/>
              </w:rPr>
              <w:t>800</w:t>
            </w:r>
          </w:p>
          <w:p>
            <w:pPr>
              <w:spacing w:after="240" w:line="240" w:lineRule="auto"/>
              <w:jc w:val="right"/>
              <w:rPr>
                <w:rFonts w:ascii="Times New Roman" w:hAnsi="Times New Roman"/>
                <w:bCs/>
                <w:noProof/>
                <w:sz w:val="24"/>
                <w:szCs w:val="24"/>
              </w:rPr>
            </w:pPr>
            <w:r>
              <w:rPr>
                <w:rFonts w:ascii="Times New Roman" w:hAnsi="Times New Roman"/>
                <w:noProof/>
                <w:sz w:val="24"/>
              </w:rPr>
              <w:t>46</w:t>
            </w:r>
            <w:r>
              <w:rPr>
                <w:noProof/>
              </w:rPr>
              <w:t> </w:t>
            </w:r>
            <w:r>
              <w:rPr>
                <w:rFonts w:ascii="Times New Roman" w:hAnsi="Times New Roman"/>
                <w:noProof/>
                <w:sz w:val="24"/>
              </w:rPr>
              <w:t>800</w:t>
            </w:r>
          </w:p>
        </w:tc>
        <w:tc>
          <w:tcPr>
            <w:tcW w:w="1489" w:type="dxa"/>
            <w:tcBorders>
              <w:top w:val="nil"/>
            </w:tcBorders>
            <w:shd w:val="clear" w:color="auto" w:fill="auto"/>
          </w:tcPr>
          <w:p>
            <w:pPr>
              <w:spacing w:after="240" w:line="240" w:lineRule="auto"/>
              <w:jc w:val="right"/>
              <w:rPr>
                <w:rFonts w:ascii="Times New Roman" w:hAnsi="Times New Roman"/>
                <w:bCs/>
                <w:noProof/>
                <w:sz w:val="24"/>
                <w:szCs w:val="24"/>
              </w:rPr>
            </w:pPr>
            <w:r>
              <w:rPr>
                <w:rFonts w:ascii="Times New Roman" w:hAnsi="Times New Roman"/>
                <w:noProof/>
                <w:sz w:val="24"/>
              </w:rPr>
              <w:t>40</w:t>
            </w:r>
            <w:r>
              <w:rPr>
                <w:noProof/>
              </w:rPr>
              <w:t> </w:t>
            </w:r>
            <w:r>
              <w:rPr>
                <w:rFonts w:ascii="Times New Roman" w:hAnsi="Times New Roman"/>
                <w:noProof/>
                <w:sz w:val="24"/>
              </w:rPr>
              <w:t>662</w:t>
            </w:r>
          </w:p>
          <w:p>
            <w:pPr>
              <w:spacing w:after="240" w:line="240" w:lineRule="auto"/>
              <w:jc w:val="right"/>
              <w:rPr>
                <w:rFonts w:ascii="Times New Roman" w:hAnsi="Times New Roman"/>
                <w:bCs/>
                <w:noProof/>
                <w:sz w:val="24"/>
                <w:szCs w:val="24"/>
              </w:rPr>
            </w:pPr>
            <w:r>
              <w:rPr>
                <w:rFonts w:ascii="Times New Roman" w:hAnsi="Times New Roman"/>
                <w:noProof/>
                <w:sz w:val="24"/>
              </w:rPr>
              <w:t>56</w:t>
            </w:r>
            <w:r>
              <w:rPr>
                <w:noProof/>
              </w:rPr>
              <w:t> </w:t>
            </w:r>
            <w:r>
              <w:rPr>
                <w:rFonts w:ascii="Times New Roman" w:hAnsi="Times New Roman"/>
                <w:noProof/>
                <w:sz w:val="24"/>
              </w:rPr>
              <w:t>351</w:t>
            </w:r>
          </w:p>
          <w:p>
            <w:pPr>
              <w:spacing w:after="240" w:line="240" w:lineRule="auto"/>
              <w:jc w:val="right"/>
              <w:rPr>
                <w:rFonts w:ascii="Times New Roman" w:hAnsi="Times New Roman"/>
                <w:bCs/>
                <w:noProof/>
                <w:sz w:val="24"/>
                <w:szCs w:val="24"/>
              </w:rPr>
            </w:pPr>
            <w:r>
              <w:rPr>
                <w:rFonts w:ascii="Times New Roman" w:hAnsi="Times New Roman"/>
                <w:noProof/>
                <w:sz w:val="24"/>
              </w:rPr>
              <w:t>56</w:t>
            </w:r>
            <w:r>
              <w:rPr>
                <w:noProof/>
              </w:rPr>
              <w:t> </w:t>
            </w:r>
            <w:r>
              <w:rPr>
                <w:rFonts w:ascii="Times New Roman" w:hAnsi="Times New Roman"/>
                <w:noProof/>
                <w:sz w:val="24"/>
              </w:rPr>
              <w:t>330</w:t>
            </w:r>
          </w:p>
          <w:p>
            <w:pPr>
              <w:spacing w:after="240" w:line="240" w:lineRule="auto"/>
              <w:jc w:val="right"/>
              <w:rPr>
                <w:rFonts w:ascii="Times New Roman" w:hAnsi="Times New Roman"/>
                <w:bCs/>
                <w:noProof/>
                <w:sz w:val="24"/>
                <w:szCs w:val="24"/>
              </w:rPr>
            </w:pPr>
            <w:r>
              <w:rPr>
                <w:rFonts w:ascii="Times New Roman" w:hAnsi="Times New Roman"/>
                <w:noProof/>
                <w:sz w:val="24"/>
              </w:rPr>
              <w:t>57</w:t>
            </w:r>
            <w:r>
              <w:rPr>
                <w:noProof/>
              </w:rPr>
              <w:t> </w:t>
            </w:r>
            <w:r>
              <w:rPr>
                <w:rFonts w:ascii="Times New Roman" w:hAnsi="Times New Roman"/>
                <w:noProof/>
                <w:sz w:val="24"/>
              </w:rPr>
              <w:t>569</w:t>
            </w:r>
          </w:p>
          <w:p>
            <w:pPr>
              <w:spacing w:after="240" w:line="240" w:lineRule="auto"/>
              <w:jc w:val="right"/>
              <w:rPr>
                <w:rFonts w:ascii="Times New Roman" w:hAnsi="Times New Roman"/>
                <w:bCs/>
                <w:noProof/>
                <w:sz w:val="24"/>
                <w:szCs w:val="24"/>
              </w:rPr>
            </w:pPr>
            <w:r>
              <w:rPr>
                <w:rFonts w:ascii="Times New Roman" w:hAnsi="Times New Roman"/>
                <w:noProof/>
                <w:sz w:val="24"/>
              </w:rPr>
              <w:t>56 011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26"/>
        </w:trPr>
        <w:tc>
          <w:tcPr>
            <w:tcW w:w="8931" w:type="dxa"/>
            <w:gridSpan w:val="7"/>
          </w:tcPr>
          <w:p>
            <w:pPr>
              <w:tabs>
                <w:tab w:val="left" w:pos="397"/>
              </w:tabs>
              <w:spacing w:after="0" w:line="240" w:lineRule="auto"/>
              <w:ind w:left="-108" w:right="-108"/>
              <w:jc w:val="both"/>
              <w:rPr>
                <w:rFonts w:ascii="Times New Roman" w:hAnsi="Times New Roman"/>
                <w:noProof/>
                <w:sz w:val="20"/>
                <w:szCs w:val="20"/>
              </w:rPr>
            </w:pPr>
            <w:r>
              <w:rPr>
                <w:rFonts w:ascii="Times New Roman" w:hAnsi="Times New Roman"/>
                <w:noProof/>
                <w:snapToGrid w:val="0"/>
                <w:sz w:val="20"/>
              </w:rPr>
              <w:t>(1)</w:t>
            </w:r>
            <w:r>
              <w:rPr>
                <w:rFonts w:ascii="Times New Roman" w:hAnsi="Times New Roman"/>
                <w:noProof/>
                <w:sz w:val="20"/>
              </w:rPr>
              <w:t xml:space="preserve"> Les taux de conversion utilisés sont ceux en vigueur au 31 décembre de chaque année. </w:t>
            </w:r>
          </w:p>
          <w:p>
            <w:pPr>
              <w:tabs>
                <w:tab w:val="left" w:pos="397"/>
              </w:tabs>
              <w:spacing w:after="240" w:line="240" w:lineRule="auto"/>
              <w:ind w:left="-108" w:right="-108"/>
              <w:jc w:val="both"/>
              <w:rPr>
                <w:rFonts w:ascii="Times New Roman" w:hAnsi="Times New Roman"/>
                <w:noProof/>
                <w:sz w:val="20"/>
                <w:szCs w:val="20"/>
              </w:rPr>
            </w:pPr>
            <w:r>
              <w:rPr>
                <w:rFonts w:ascii="Times New Roman" w:hAnsi="Times New Roman"/>
                <w:noProof/>
                <w:snapToGrid w:val="0"/>
                <w:sz w:val="20"/>
              </w:rPr>
              <w:t>(2) La Communauté européenne du charbon et de l'acier (CECA) est en liquidation depuis 2002. Les dernières obligations qu'elle a émises arrivent à échéance en 2019. L’augmentation de l'encours est due à l’évolution du taux de change.</w:t>
            </w:r>
          </w:p>
        </w:tc>
      </w:tr>
    </w:tbl>
    <w:p>
      <w:pPr>
        <w:pStyle w:val="ManualHeading1"/>
        <w:spacing w:after="240"/>
        <w:ind w:left="851" w:hanging="851"/>
        <w:rPr>
          <w:noProof/>
        </w:rPr>
      </w:pPr>
      <w:bookmarkStart w:id="32" w:name="_Toc325641136"/>
      <w:bookmarkStart w:id="33" w:name="_Toc330157538"/>
      <w:bookmarkStart w:id="34" w:name="_Toc361393252"/>
      <w:bookmarkStart w:id="35" w:name="_Toc388883940"/>
      <w:bookmarkStart w:id="36" w:name="_Toc393808492"/>
      <w:bookmarkStart w:id="37" w:name="_Toc451257928"/>
      <w:bookmarkStart w:id="38" w:name="_Toc452129246"/>
      <w:r>
        <w:rPr>
          <w:noProof/>
        </w:rPr>
        <w:t>2.</w:t>
      </w:r>
      <w:r>
        <w:rPr>
          <w:noProof/>
        </w:rPr>
        <w:tab/>
        <w:t>Activités de prêt de l’Union européenne</w:t>
      </w:r>
      <w:bookmarkEnd w:id="32"/>
      <w:bookmarkEnd w:id="33"/>
      <w:bookmarkEnd w:id="34"/>
      <w:bookmarkEnd w:id="35"/>
      <w:bookmarkEnd w:id="36"/>
      <w:bookmarkEnd w:id="37"/>
      <w:bookmarkEnd w:id="38"/>
    </w:p>
    <w:p>
      <w:pPr>
        <w:spacing w:line="240" w:lineRule="auto"/>
        <w:jc w:val="both"/>
        <w:rPr>
          <w:rFonts w:ascii="Times New Roman" w:hAnsi="Times New Roman"/>
          <w:noProof/>
        </w:rPr>
      </w:pPr>
      <w:r>
        <w:rPr>
          <w:rFonts w:ascii="Times New Roman" w:hAnsi="Times New Roman"/>
          <w:noProof/>
          <w:sz w:val="24"/>
        </w:rPr>
        <w:t>Un soutien financier sous forme de prêts bilatéraux financés sur les marchés des capitaux et garantis par le budget de l’UE est fourni par la Commission aux pays tiers et aux États membres au titre de décisions du Parlement européen et du Conseil ou du Conseil seul, selon les objectifs poursuivis</w:t>
      </w:r>
      <w:r>
        <w:rPr>
          <w:rStyle w:val="FootnoteReference"/>
          <w:rFonts w:ascii="Times New Roman" w:hAnsi="Times New Roman"/>
          <w:noProof/>
          <w:sz w:val="24"/>
        </w:rPr>
        <w:footnoteReference w:id="1"/>
      </w:r>
      <w:r>
        <w:rPr>
          <w:rFonts w:ascii="Times New Roman" w:hAnsi="Times New Roman"/>
          <w:noProof/>
          <w:sz w:val="24"/>
        </w:rPr>
        <w:t>. La Commission et la haute représentante de l'Union pour les affaires étrangères et la politique de sécurité, assistée par le service européen pour l'action extérieure (SEAE), veillent à ce que le soutien financier accordé aux pays tiers concorde avec les objectifs généraux de l'action extérieure de l'UE.</w:t>
      </w:r>
    </w:p>
    <w:p>
      <w:pPr>
        <w:pStyle w:val="ManualHeading2"/>
        <w:spacing w:before="240" w:after="240"/>
        <w:ind w:left="851" w:hanging="851"/>
        <w:outlineLvl w:val="0"/>
        <w:rPr>
          <w:noProof/>
        </w:rPr>
      </w:pPr>
      <w:bookmarkStart w:id="39" w:name="_Toc325641137"/>
      <w:bookmarkStart w:id="40" w:name="_Toc330157539"/>
      <w:bookmarkStart w:id="41" w:name="_Toc361393253"/>
      <w:bookmarkStart w:id="42" w:name="_Toc388883941"/>
      <w:bookmarkStart w:id="43" w:name="_Toc393808493"/>
      <w:bookmarkStart w:id="44" w:name="_Toc451257929"/>
      <w:bookmarkStart w:id="45" w:name="_Toc452129247"/>
      <w:r>
        <w:rPr>
          <w:noProof/>
        </w:rPr>
        <w:t>2.1.</w:t>
      </w:r>
      <w:r>
        <w:rPr>
          <w:noProof/>
        </w:rPr>
        <w:tab/>
        <w:t>Mécanisme de soutien des balances des paiements</w:t>
      </w:r>
      <w:bookmarkEnd w:id="39"/>
      <w:bookmarkEnd w:id="40"/>
      <w:bookmarkEnd w:id="41"/>
      <w:bookmarkEnd w:id="42"/>
      <w:bookmarkEnd w:id="43"/>
      <w:bookmarkEnd w:id="44"/>
      <w:bookmarkEnd w:id="45"/>
    </w:p>
    <w:p>
      <w:pPr>
        <w:spacing w:after="120" w:line="240" w:lineRule="auto"/>
        <w:jc w:val="both"/>
        <w:rPr>
          <w:rFonts w:ascii="Times New Roman" w:hAnsi="Times New Roman"/>
          <w:noProof/>
          <w:sz w:val="24"/>
          <w:szCs w:val="24"/>
        </w:rPr>
      </w:pPr>
      <w:r>
        <w:rPr>
          <w:rFonts w:ascii="Times New Roman" w:hAnsi="Times New Roman"/>
          <w:noProof/>
          <w:sz w:val="24"/>
        </w:rPr>
        <w:t>Le soutien des balances des paiements au titre de l'article 143 du traité sur le fonctionnement de l'Union européenne (TFUE) et du règlement (CE) nº 332/2002 du Conseil du 18 février 2002 établissant un mécanisme de soutien financier à moyen terme des balances des paiements des États membres</w:t>
      </w:r>
      <w:r>
        <w:rPr>
          <w:rStyle w:val="FootnoteReference"/>
          <w:rFonts w:ascii="Times New Roman" w:hAnsi="Times New Roman"/>
          <w:noProof/>
          <w:sz w:val="24"/>
        </w:rPr>
        <w:footnoteReference w:id="2"/>
      </w:r>
      <w:r>
        <w:rPr>
          <w:rFonts w:ascii="Times New Roman" w:hAnsi="Times New Roman"/>
          <w:noProof/>
          <w:sz w:val="24"/>
        </w:rPr>
        <w:t xml:space="preserve"> revêt la forme de prêts à moyen terme octroyés par l'Union. Il va généralement de pair avec un financement du Fonds monétaire international (FMI) et d’autres créanciers multilatéraux tels que la Banque européenne d'investissement (BEI), la Banque européenne pour la reconstruction et le développement (BERD) ou la Banque mondiale.</w:t>
      </w:r>
    </w:p>
    <w:p>
      <w:pPr>
        <w:spacing w:after="120" w:line="240" w:lineRule="auto"/>
        <w:jc w:val="both"/>
        <w:rPr>
          <w:rFonts w:ascii="Times New Roman" w:hAnsi="Times New Roman"/>
          <w:noProof/>
          <w:sz w:val="24"/>
          <w:szCs w:val="24"/>
        </w:rPr>
      </w:pPr>
      <w:r>
        <w:rPr>
          <w:rFonts w:ascii="Times New Roman" w:hAnsi="Times New Roman"/>
          <w:noProof/>
          <w:sz w:val="24"/>
        </w:rPr>
        <w:t>Le soutien des balances des paiements est accordé au cas par cas par le Conseil statuant à la majorité qualifiée. Ses bénéficiaires potentiels sont les États membres n'appartenant pas à la zone euro qui éprouvent de graves difficultés de balance des paiements. Cette aide vise à atténuer les contraintes de financement extérieur des pays bénéficiaires et à rétablir la viabilité de leur balance des paiements. Elle est versée sous réserve du respect de conditions de politique économique qui sont décidées par le Conseil, après consultation du comité économique et financier, et dont les détails sont arrêtés d’un commun accord par la Commission et l’État membre bénéficiaire dans un protocole d’accord avant la conclusion d’une convention de prêt. La conformité avec les mesures énoncées dans le protocole d'accord est réexaminée régulièrement et constitue une condition pour le déboursement des tranches successives. La Commission lève les fonds nécessaires sur les marchés des capitaux au nom de l’Union européenne.</w:t>
      </w:r>
    </w:p>
    <w:p>
      <w:pPr>
        <w:spacing w:after="120" w:line="240" w:lineRule="auto"/>
        <w:jc w:val="both"/>
        <w:rPr>
          <w:rFonts w:ascii="Times New Roman" w:hAnsi="Times New Roman"/>
          <w:noProof/>
          <w:sz w:val="24"/>
          <w:szCs w:val="24"/>
        </w:rPr>
      </w:pPr>
      <w:r>
        <w:rPr>
          <w:rFonts w:ascii="Times New Roman" w:hAnsi="Times New Roman"/>
          <w:noProof/>
          <w:sz w:val="24"/>
        </w:rPr>
        <w:t>Conformément au règlement (CE) n° 332/2002, la Commission rend, tous les trois ans, un rapport au comité économique et financier et au Conseil sur la mise en œuvre du mécanisme de soutien des balances des paiements.</w:t>
      </w:r>
    </w:p>
    <w:p>
      <w:pPr>
        <w:spacing w:after="120" w:line="240" w:lineRule="auto"/>
        <w:jc w:val="both"/>
        <w:rPr>
          <w:rFonts w:ascii="Times New Roman" w:hAnsi="Times New Roman"/>
          <w:noProof/>
          <w:sz w:val="24"/>
          <w:szCs w:val="24"/>
        </w:rPr>
      </w:pPr>
      <w:r>
        <w:rPr>
          <w:rFonts w:ascii="Times New Roman" w:hAnsi="Times New Roman"/>
          <w:noProof/>
          <w:sz w:val="24"/>
        </w:rPr>
        <w:t>En 2013, le Conseil a adopté un deuxième programme de soutien financier à titre de précaution pour la Roumanie</w:t>
      </w:r>
      <w:r>
        <w:rPr>
          <w:rStyle w:val="FootnoteReference"/>
          <w:rFonts w:ascii="Times New Roman" w:hAnsi="Times New Roman"/>
          <w:noProof/>
          <w:sz w:val="24"/>
        </w:rPr>
        <w:footnoteReference w:id="3"/>
      </w:r>
      <w:r>
        <w:rPr>
          <w:rFonts w:ascii="Times New Roman" w:hAnsi="Times New Roman"/>
          <w:noProof/>
          <w:sz w:val="24"/>
        </w:rPr>
        <w:t xml:space="preserve"> à concurrence de 2 milliards d’EUR, qui est venu à échéance fin septembre 2015 sans avoir été utilisé. À l'heure actuelle, aucun nouveau programme n’est envisagé.</w:t>
      </w:r>
    </w:p>
    <w:p>
      <w:pPr>
        <w:spacing w:after="120" w:line="240" w:lineRule="auto"/>
        <w:jc w:val="both"/>
        <w:rPr>
          <w:rFonts w:ascii="Times New Roman" w:hAnsi="Times New Roman"/>
          <w:noProof/>
          <w:sz w:val="24"/>
          <w:szCs w:val="24"/>
        </w:rPr>
      </w:pPr>
      <w:r>
        <w:rPr>
          <w:rFonts w:ascii="Times New Roman" w:hAnsi="Times New Roman"/>
          <w:noProof/>
          <w:sz w:val="24"/>
        </w:rPr>
        <w:t>En janvier 2015, la Lettonie a remboursé un montant de 1,2 milliard d’EUR et la Roumanie, un montant de 1,5 milliard d’EUR. Au 31 décembre 2015, l’encours total au titre du programme de soutien à la balance des paiements s’élevait à 5,7 milliards</w:t>
      </w:r>
      <w:r>
        <w:rPr>
          <w:rStyle w:val="FootnoteReference"/>
          <w:rFonts w:ascii="Times New Roman" w:hAnsi="Times New Roman"/>
          <w:noProof/>
          <w:sz w:val="24"/>
        </w:rPr>
        <w:footnoteReference w:id="4"/>
      </w:r>
      <w:r>
        <w:rPr>
          <w:rFonts w:ascii="Times New Roman" w:hAnsi="Times New Roman"/>
          <w:noProof/>
          <w:sz w:val="24"/>
        </w:rPr>
        <w:t xml:space="preserve"> d'EUR.</w:t>
      </w:r>
    </w:p>
    <w:p>
      <w:pPr>
        <w:spacing w:after="240" w:line="240" w:lineRule="auto"/>
        <w:jc w:val="both"/>
        <w:rPr>
          <w:rFonts w:ascii="Times New Roman" w:hAnsi="Times New Roman"/>
          <w:noProof/>
          <w:sz w:val="24"/>
          <w:szCs w:val="24"/>
          <w:u w:val="single"/>
        </w:rPr>
      </w:pPr>
      <w:r>
        <w:rPr>
          <w:rFonts w:ascii="Times New Roman" w:hAnsi="Times New Roman"/>
          <w:noProof/>
          <w:sz w:val="24"/>
        </w:rPr>
        <w:t>Le tableau présenté ci-après indique l’évolution des prêts au titre du mécanisme de soutien des balances des paiements au 31 décembre 2015.</w:t>
      </w:r>
    </w:p>
    <w:p>
      <w:pPr>
        <w:spacing w:after="240" w:line="240" w:lineRule="auto"/>
        <w:jc w:val="both"/>
        <w:rPr>
          <w:rFonts w:ascii="Times New Roman" w:hAnsi="Times New Roman"/>
          <w:noProof/>
          <w:sz w:val="24"/>
          <w:szCs w:val="24"/>
        </w:rPr>
      </w:pPr>
      <w:r>
        <w:rPr>
          <w:rFonts w:ascii="Times New Roman" w:hAnsi="Times New Roman"/>
          <w:noProof/>
          <w:sz w:val="24"/>
          <w:u w:val="single"/>
        </w:rPr>
        <w:t>Tableau 2: Mécanisme de soutien des balances des paiements au 31.12.2015 (montants de capital en milliards d’EUR)</w:t>
      </w:r>
      <w:r>
        <w:rPr>
          <w:rFonts w:ascii="Times New Roman" w:hAnsi="Times New Roman"/>
          <w:noProof/>
          <w:sz w:val="24"/>
        </w:rPr>
        <w:t> </w:t>
      </w:r>
    </w:p>
    <w:tbl>
      <w:tblPr>
        <w:tblW w:w="9136" w:type="dxa"/>
        <w:jc w:val="center"/>
        <w:tblLook w:val="0000" w:firstRow="0" w:lastRow="0" w:firstColumn="0" w:lastColumn="0" w:noHBand="0" w:noVBand="0"/>
      </w:tblPr>
      <w:tblGrid>
        <w:gridCol w:w="1819"/>
        <w:gridCol w:w="1190"/>
        <w:gridCol w:w="1418"/>
        <w:gridCol w:w="1229"/>
        <w:gridCol w:w="1485"/>
        <w:gridCol w:w="1995"/>
      </w:tblGrid>
      <w:tr>
        <w:trPr>
          <w:trHeight w:val="948"/>
          <w:jc w:val="center"/>
        </w:trPr>
        <w:tc>
          <w:tcPr>
            <w:tcW w:w="1819" w:type="dxa"/>
            <w:tcBorders>
              <w:top w:val="single" w:sz="4" w:space="0" w:color="auto"/>
              <w:left w:val="single" w:sz="4" w:space="0" w:color="auto"/>
              <w:bottom w:val="nil"/>
              <w:right w:val="single" w:sz="4" w:space="0" w:color="auto"/>
            </w:tcBorders>
            <w:noWrap/>
            <w:vAlign w:val="center"/>
          </w:tcPr>
          <w:p>
            <w:pPr>
              <w:spacing w:after="240" w:line="240" w:lineRule="auto"/>
              <w:rPr>
                <w:rFonts w:ascii="Times New Roman" w:hAnsi="Times New Roman"/>
                <w:noProof/>
                <w:sz w:val="24"/>
                <w:szCs w:val="24"/>
              </w:rPr>
            </w:pPr>
            <w:r>
              <w:rPr>
                <w:rFonts w:ascii="Times New Roman" w:hAnsi="Times New Roman"/>
                <w:noProof/>
                <w:sz w:val="24"/>
              </w:rPr>
              <w:t>Pays</w:t>
            </w:r>
          </w:p>
        </w:tc>
        <w:tc>
          <w:tcPr>
            <w:tcW w:w="1190" w:type="dxa"/>
            <w:tcBorders>
              <w:top w:val="single" w:sz="4" w:space="0" w:color="auto"/>
              <w:left w:val="nil"/>
              <w:bottom w:val="nil"/>
              <w:right w:val="single" w:sz="4" w:space="0" w:color="auto"/>
            </w:tcBorders>
            <w:noWrap/>
            <w:vAlign w:val="center"/>
          </w:tcPr>
          <w:p>
            <w:pPr>
              <w:spacing w:after="240" w:line="240" w:lineRule="auto"/>
              <w:rPr>
                <w:rFonts w:ascii="Times New Roman" w:hAnsi="Times New Roman"/>
                <w:noProof/>
                <w:sz w:val="24"/>
                <w:szCs w:val="24"/>
              </w:rPr>
            </w:pPr>
            <w:r>
              <w:rPr>
                <w:rFonts w:ascii="Times New Roman" w:hAnsi="Times New Roman"/>
                <w:noProof/>
                <w:sz w:val="24"/>
              </w:rPr>
              <w:t>Montant décidé</w:t>
            </w:r>
          </w:p>
        </w:tc>
        <w:tc>
          <w:tcPr>
            <w:tcW w:w="1418" w:type="dxa"/>
            <w:tcBorders>
              <w:top w:val="single" w:sz="4" w:space="0" w:color="auto"/>
              <w:left w:val="single" w:sz="4" w:space="0" w:color="auto"/>
              <w:bottom w:val="single" w:sz="4" w:space="0" w:color="auto"/>
              <w:right w:val="single" w:sz="4" w:space="0" w:color="auto"/>
            </w:tcBorders>
            <w:noWrap/>
            <w:vAlign w:val="center"/>
          </w:tcPr>
          <w:p>
            <w:pPr>
              <w:spacing w:after="240" w:line="240" w:lineRule="auto"/>
              <w:rPr>
                <w:rFonts w:ascii="Times New Roman" w:hAnsi="Times New Roman"/>
                <w:noProof/>
                <w:sz w:val="24"/>
                <w:szCs w:val="24"/>
              </w:rPr>
            </w:pPr>
            <w:r>
              <w:rPr>
                <w:rFonts w:ascii="Times New Roman" w:hAnsi="Times New Roman"/>
                <w:noProof/>
                <w:sz w:val="24"/>
              </w:rPr>
              <w:t>Montant décaissé</w:t>
            </w:r>
          </w:p>
        </w:tc>
        <w:tc>
          <w:tcPr>
            <w:tcW w:w="1220" w:type="dxa"/>
            <w:tcBorders>
              <w:top w:val="single" w:sz="4" w:space="0" w:color="auto"/>
              <w:left w:val="single" w:sz="4" w:space="0" w:color="auto"/>
              <w:bottom w:val="single" w:sz="4" w:space="0" w:color="auto"/>
              <w:right w:val="single" w:sz="4" w:space="0" w:color="auto"/>
            </w:tcBorders>
            <w:vAlign w:val="center"/>
          </w:tcPr>
          <w:p>
            <w:pPr>
              <w:spacing w:after="240" w:line="240" w:lineRule="auto"/>
              <w:rPr>
                <w:rFonts w:ascii="Times New Roman" w:hAnsi="Times New Roman"/>
                <w:noProof/>
                <w:sz w:val="24"/>
                <w:szCs w:val="24"/>
              </w:rPr>
            </w:pPr>
            <w:r>
              <w:rPr>
                <w:rFonts w:ascii="Times New Roman" w:hAnsi="Times New Roman"/>
                <w:noProof/>
                <w:sz w:val="24"/>
              </w:rPr>
              <w:t>Montant remboursé</w:t>
            </w:r>
          </w:p>
        </w:tc>
        <w:tc>
          <w:tcPr>
            <w:tcW w:w="1489" w:type="dxa"/>
            <w:tcBorders>
              <w:top w:val="single" w:sz="4" w:space="0" w:color="auto"/>
              <w:left w:val="single" w:sz="4" w:space="0" w:color="auto"/>
              <w:bottom w:val="single" w:sz="4" w:space="0" w:color="auto"/>
              <w:right w:val="single" w:sz="4" w:space="0" w:color="auto"/>
            </w:tcBorders>
            <w:vAlign w:val="center"/>
          </w:tcPr>
          <w:p>
            <w:pPr>
              <w:spacing w:after="240" w:line="240" w:lineRule="auto"/>
              <w:ind w:right="-228"/>
              <w:rPr>
                <w:rFonts w:ascii="Times New Roman" w:hAnsi="Times New Roman"/>
                <w:noProof/>
                <w:sz w:val="24"/>
                <w:szCs w:val="24"/>
              </w:rPr>
            </w:pPr>
            <w:r>
              <w:rPr>
                <w:rFonts w:ascii="Times New Roman" w:hAnsi="Times New Roman"/>
                <w:noProof/>
                <w:sz w:val="24"/>
              </w:rPr>
              <w:t>Capital restant dû</w:t>
            </w:r>
          </w:p>
        </w:tc>
        <w:tc>
          <w:tcPr>
            <w:tcW w:w="2000" w:type="dxa"/>
            <w:tcBorders>
              <w:top w:val="single" w:sz="4" w:space="0" w:color="auto"/>
              <w:left w:val="single" w:sz="4" w:space="0" w:color="auto"/>
              <w:bottom w:val="single" w:sz="4" w:space="0" w:color="auto"/>
              <w:right w:val="single" w:sz="4" w:space="0" w:color="auto"/>
            </w:tcBorders>
            <w:vAlign w:val="center"/>
          </w:tcPr>
          <w:p>
            <w:pPr>
              <w:spacing w:after="240" w:line="240" w:lineRule="auto"/>
              <w:ind w:right="-228"/>
              <w:rPr>
                <w:rFonts w:ascii="Times New Roman" w:hAnsi="Times New Roman"/>
                <w:noProof/>
                <w:sz w:val="24"/>
                <w:szCs w:val="24"/>
              </w:rPr>
            </w:pPr>
            <w:r>
              <w:rPr>
                <w:rFonts w:ascii="Times New Roman" w:hAnsi="Times New Roman"/>
                <w:noProof/>
                <w:sz w:val="24"/>
              </w:rPr>
              <w:t>Échéance moyenne pondérée (en années)</w:t>
            </w:r>
          </w:p>
        </w:tc>
      </w:tr>
      <w:tr>
        <w:trPr>
          <w:trHeight w:val="309"/>
          <w:jc w:val="center"/>
        </w:trPr>
        <w:tc>
          <w:tcPr>
            <w:tcW w:w="1819" w:type="dxa"/>
            <w:tcBorders>
              <w:top w:val="single" w:sz="4" w:space="0" w:color="auto"/>
              <w:left w:val="single" w:sz="4" w:space="0" w:color="auto"/>
              <w:bottom w:val="nil"/>
              <w:right w:val="single" w:sz="4" w:space="0" w:color="auto"/>
            </w:tcBorders>
            <w:noWrap/>
            <w:vAlign w:val="center"/>
          </w:tcPr>
          <w:p>
            <w:pPr>
              <w:spacing w:after="240" w:line="240" w:lineRule="auto"/>
              <w:jc w:val="both"/>
              <w:rPr>
                <w:rFonts w:ascii="Times New Roman" w:hAnsi="Times New Roman"/>
                <w:bCs/>
                <w:noProof/>
                <w:sz w:val="24"/>
                <w:szCs w:val="24"/>
              </w:rPr>
            </w:pPr>
            <w:r>
              <w:rPr>
                <w:rFonts w:ascii="Times New Roman" w:hAnsi="Times New Roman"/>
                <w:noProof/>
                <w:sz w:val="24"/>
              </w:rPr>
              <w:t>Hongrie</w:t>
            </w:r>
          </w:p>
        </w:tc>
        <w:tc>
          <w:tcPr>
            <w:tcW w:w="1190" w:type="dxa"/>
            <w:tcBorders>
              <w:top w:val="single" w:sz="4" w:space="0" w:color="auto"/>
              <w:left w:val="nil"/>
              <w:bottom w:val="nil"/>
              <w:right w:val="single" w:sz="4" w:space="0" w:color="auto"/>
            </w:tcBorders>
            <w:noWrap/>
            <w:vAlign w:val="center"/>
          </w:tcPr>
          <w:p>
            <w:pPr>
              <w:spacing w:after="240" w:line="240" w:lineRule="auto"/>
              <w:jc w:val="right"/>
              <w:rPr>
                <w:rFonts w:ascii="Times New Roman" w:hAnsi="Times New Roman"/>
                <w:bCs/>
                <w:noProof/>
                <w:sz w:val="24"/>
                <w:szCs w:val="24"/>
              </w:rPr>
            </w:pPr>
            <w:r>
              <w:rPr>
                <w:rFonts w:ascii="Times New Roman" w:hAnsi="Times New Roman"/>
                <w:noProof/>
                <w:sz w:val="24"/>
              </w:rPr>
              <w:t>6,5</w:t>
            </w:r>
          </w:p>
        </w:tc>
        <w:tc>
          <w:tcPr>
            <w:tcW w:w="1418" w:type="dxa"/>
            <w:tcBorders>
              <w:top w:val="single" w:sz="4" w:space="0" w:color="auto"/>
              <w:left w:val="nil"/>
              <w:bottom w:val="nil"/>
              <w:right w:val="single" w:sz="4" w:space="0" w:color="auto"/>
            </w:tcBorders>
            <w:noWrap/>
            <w:vAlign w:val="center"/>
          </w:tcPr>
          <w:p>
            <w:pPr>
              <w:spacing w:after="240" w:line="240" w:lineRule="auto"/>
              <w:jc w:val="right"/>
              <w:rPr>
                <w:rFonts w:ascii="Times New Roman" w:hAnsi="Times New Roman"/>
                <w:noProof/>
                <w:sz w:val="24"/>
                <w:szCs w:val="24"/>
              </w:rPr>
            </w:pPr>
            <w:r>
              <w:rPr>
                <w:rFonts w:ascii="Times New Roman" w:hAnsi="Times New Roman"/>
                <w:noProof/>
                <w:sz w:val="24"/>
              </w:rPr>
              <w:t>5,5</w:t>
            </w:r>
          </w:p>
        </w:tc>
        <w:tc>
          <w:tcPr>
            <w:tcW w:w="1220" w:type="dxa"/>
            <w:tcBorders>
              <w:top w:val="single" w:sz="4" w:space="0" w:color="auto"/>
              <w:left w:val="nil"/>
              <w:bottom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4,0</w:t>
            </w:r>
          </w:p>
        </w:tc>
        <w:tc>
          <w:tcPr>
            <w:tcW w:w="1489" w:type="dxa"/>
            <w:tcBorders>
              <w:top w:val="single" w:sz="4" w:space="0" w:color="auto"/>
              <w:left w:val="nil"/>
              <w:bottom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1,5</w:t>
            </w:r>
          </w:p>
        </w:tc>
        <w:tc>
          <w:tcPr>
            <w:tcW w:w="2000" w:type="dxa"/>
            <w:tcBorders>
              <w:top w:val="single" w:sz="4" w:space="0" w:color="auto"/>
              <w:left w:val="single" w:sz="4" w:space="0" w:color="auto"/>
              <w:bottom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0,3</w:t>
            </w:r>
          </w:p>
        </w:tc>
      </w:tr>
      <w:tr>
        <w:trPr>
          <w:trHeight w:val="309"/>
          <w:jc w:val="center"/>
        </w:trPr>
        <w:tc>
          <w:tcPr>
            <w:tcW w:w="1819" w:type="dxa"/>
            <w:tcBorders>
              <w:top w:val="nil"/>
              <w:left w:val="single" w:sz="4" w:space="0" w:color="auto"/>
              <w:right w:val="single" w:sz="4" w:space="0" w:color="auto"/>
            </w:tcBorders>
            <w:noWrap/>
            <w:vAlign w:val="bottom"/>
          </w:tcPr>
          <w:p>
            <w:pPr>
              <w:spacing w:after="240" w:line="240" w:lineRule="auto"/>
              <w:jc w:val="both"/>
              <w:rPr>
                <w:rFonts w:ascii="Times New Roman" w:hAnsi="Times New Roman"/>
                <w:bCs/>
                <w:noProof/>
                <w:sz w:val="24"/>
                <w:szCs w:val="24"/>
              </w:rPr>
            </w:pPr>
            <w:r>
              <w:rPr>
                <w:rFonts w:ascii="Times New Roman" w:hAnsi="Times New Roman"/>
                <w:noProof/>
                <w:sz w:val="24"/>
              </w:rPr>
              <w:t>Lettonie</w:t>
            </w:r>
          </w:p>
        </w:tc>
        <w:tc>
          <w:tcPr>
            <w:tcW w:w="1190" w:type="dxa"/>
            <w:tcBorders>
              <w:top w:val="nil"/>
              <w:left w:val="nil"/>
              <w:right w:val="single" w:sz="4" w:space="0" w:color="auto"/>
            </w:tcBorders>
            <w:noWrap/>
            <w:vAlign w:val="center"/>
          </w:tcPr>
          <w:p>
            <w:pPr>
              <w:spacing w:after="240" w:line="240" w:lineRule="auto"/>
              <w:jc w:val="right"/>
              <w:rPr>
                <w:rFonts w:ascii="Times New Roman" w:hAnsi="Times New Roman"/>
                <w:bCs/>
                <w:noProof/>
                <w:sz w:val="24"/>
                <w:szCs w:val="24"/>
              </w:rPr>
            </w:pPr>
            <w:r>
              <w:rPr>
                <w:rFonts w:ascii="Times New Roman" w:hAnsi="Times New Roman"/>
                <w:noProof/>
                <w:sz w:val="24"/>
              </w:rPr>
              <w:t>3,1</w:t>
            </w:r>
          </w:p>
        </w:tc>
        <w:tc>
          <w:tcPr>
            <w:tcW w:w="1418" w:type="dxa"/>
            <w:tcBorders>
              <w:top w:val="nil"/>
              <w:left w:val="nil"/>
              <w:right w:val="single" w:sz="4" w:space="0" w:color="auto"/>
            </w:tcBorders>
            <w:noWrap/>
            <w:vAlign w:val="bottom"/>
          </w:tcPr>
          <w:p>
            <w:pPr>
              <w:spacing w:after="240" w:line="240" w:lineRule="auto"/>
              <w:jc w:val="right"/>
              <w:rPr>
                <w:rFonts w:ascii="Times New Roman" w:hAnsi="Times New Roman"/>
                <w:noProof/>
                <w:sz w:val="24"/>
                <w:szCs w:val="24"/>
              </w:rPr>
            </w:pPr>
            <w:r>
              <w:rPr>
                <w:rFonts w:ascii="Times New Roman" w:hAnsi="Times New Roman"/>
                <w:noProof/>
                <w:sz w:val="24"/>
              </w:rPr>
              <w:t>2,9</w:t>
            </w:r>
          </w:p>
        </w:tc>
        <w:tc>
          <w:tcPr>
            <w:tcW w:w="1220" w:type="dxa"/>
            <w:tcBorders>
              <w:top w:val="nil"/>
              <w:left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2,2</w:t>
            </w:r>
          </w:p>
        </w:tc>
        <w:tc>
          <w:tcPr>
            <w:tcW w:w="1489" w:type="dxa"/>
            <w:tcBorders>
              <w:top w:val="nil"/>
              <w:left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0,7</w:t>
            </w:r>
          </w:p>
        </w:tc>
        <w:tc>
          <w:tcPr>
            <w:tcW w:w="2000" w:type="dxa"/>
            <w:tcBorders>
              <w:top w:val="nil"/>
              <w:left w:val="single" w:sz="4" w:space="0" w:color="auto"/>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5,2</w:t>
            </w:r>
          </w:p>
        </w:tc>
      </w:tr>
      <w:tr>
        <w:trPr>
          <w:trHeight w:val="309"/>
          <w:jc w:val="center"/>
        </w:trPr>
        <w:tc>
          <w:tcPr>
            <w:tcW w:w="1819" w:type="dxa"/>
            <w:tcBorders>
              <w:top w:val="nil"/>
              <w:left w:val="single" w:sz="4" w:space="0" w:color="auto"/>
              <w:right w:val="single" w:sz="4" w:space="0" w:color="auto"/>
            </w:tcBorders>
            <w:noWrap/>
            <w:vAlign w:val="bottom"/>
          </w:tcPr>
          <w:p>
            <w:pPr>
              <w:spacing w:after="240" w:line="240" w:lineRule="auto"/>
              <w:jc w:val="both"/>
              <w:rPr>
                <w:rFonts w:ascii="Times New Roman" w:hAnsi="Times New Roman"/>
                <w:bCs/>
                <w:noProof/>
                <w:sz w:val="24"/>
                <w:szCs w:val="24"/>
              </w:rPr>
            </w:pPr>
            <w:r>
              <w:rPr>
                <w:rFonts w:ascii="Times New Roman" w:hAnsi="Times New Roman"/>
                <w:noProof/>
                <w:sz w:val="24"/>
              </w:rPr>
              <w:t>Roumanie</w:t>
            </w:r>
          </w:p>
        </w:tc>
        <w:tc>
          <w:tcPr>
            <w:tcW w:w="1190" w:type="dxa"/>
            <w:tcBorders>
              <w:top w:val="nil"/>
              <w:left w:val="nil"/>
              <w:right w:val="single" w:sz="4" w:space="0" w:color="auto"/>
            </w:tcBorders>
            <w:noWrap/>
            <w:vAlign w:val="center"/>
          </w:tcPr>
          <w:p>
            <w:pPr>
              <w:spacing w:after="240" w:line="240" w:lineRule="auto"/>
              <w:jc w:val="right"/>
              <w:rPr>
                <w:rFonts w:ascii="Times New Roman" w:hAnsi="Times New Roman"/>
                <w:bCs/>
                <w:noProof/>
                <w:sz w:val="24"/>
                <w:szCs w:val="24"/>
              </w:rPr>
            </w:pPr>
            <w:r>
              <w:rPr>
                <w:rFonts w:ascii="Times New Roman" w:hAnsi="Times New Roman"/>
                <w:noProof/>
                <w:sz w:val="24"/>
              </w:rPr>
              <w:t>5,0</w:t>
            </w:r>
          </w:p>
        </w:tc>
        <w:tc>
          <w:tcPr>
            <w:tcW w:w="1418" w:type="dxa"/>
            <w:tcBorders>
              <w:top w:val="nil"/>
              <w:left w:val="nil"/>
              <w:right w:val="single" w:sz="4" w:space="0" w:color="auto"/>
            </w:tcBorders>
            <w:noWrap/>
            <w:vAlign w:val="bottom"/>
          </w:tcPr>
          <w:p>
            <w:pPr>
              <w:spacing w:after="240" w:line="240" w:lineRule="auto"/>
              <w:jc w:val="right"/>
              <w:rPr>
                <w:rFonts w:ascii="Times New Roman" w:hAnsi="Times New Roman"/>
                <w:noProof/>
                <w:sz w:val="24"/>
                <w:szCs w:val="24"/>
              </w:rPr>
            </w:pPr>
            <w:r>
              <w:rPr>
                <w:rFonts w:ascii="Times New Roman" w:hAnsi="Times New Roman"/>
                <w:noProof/>
                <w:sz w:val="24"/>
              </w:rPr>
              <w:t>5,0</w:t>
            </w:r>
          </w:p>
        </w:tc>
        <w:tc>
          <w:tcPr>
            <w:tcW w:w="1220" w:type="dxa"/>
            <w:tcBorders>
              <w:top w:val="nil"/>
              <w:left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1,5</w:t>
            </w:r>
          </w:p>
        </w:tc>
        <w:tc>
          <w:tcPr>
            <w:tcW w:w="1489" w:type="dxa"/>
            <w:tcBorders>
              <w:top w:val="nil"/>
              <w:left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3,5</w:t>
            </w:r>
          </w:p>
        </w:tc>
        <w:tc>
          <w:tcPr>
            <w:tcW w:w="2000" w:type="dxa"/>
            <w:tcBorders>
              <w:top w:val="nil"/>
              <w:left w:val="single" w:sz="4" w:space="0" w:color="auto"/>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2,4</w:t>
            </w:r>
          </w:p>
        </w:tc>
      </w:tr>
      <w:tr>
        <w:trPr>
          <w:trHeight w:val="309"/>
          <w:jc w:val="center"/>
        </w:trPr>
        <w:tc>
          <w:tcPr>
            <w:tcW w:w="1819" w:type="dxa"/>
            <w:tcBorders>
              <w:top w:val="nil"/>
              <w:left w:val="single" w:sz="4" w:space="0" w:color="auto"/>
              <w:right w:val="single" w:sz="4" w:space="0" w:color="auto"/>
            </w:tcBorders>
            <w:noWrap/>
            <w:vAlign w:val="bottom"/>
          </w:tcPr>
          <w:p>
            <w:pPr>
              <w:spacing w:after="240" w:line="240" w:lineRule="auto"/>
              <w:jc w:val="both"/>
              <w:rPr>
                <w:rFonts w:ascii="Times New Roman" w:hAnsi="Times New Roman"/>
                <w:bCs/>
                <w:noProof/>
                <w:sz w:val="24"/>
                <w:szCs w:val="24"/>
              </w:rPr>
            </w:pPr>
            <w:r>
              <w:rPr>
                <w:rFonts w:ascii="Times New Roman" w:hAnsi="Times New Roman"/>
                <w:noProof/>
                <w:sz w:val="24"/>
              </w:rPr>
              <w:t>Roumanie (soutien financier à titre de précaution)</w:t>
            </w:r>
          </w:p>
        </w:tc>
        <w:tc>
          <w:tcPr>
            <w:tcW w:w="1190" w:type="dxa"/>
            <w:tcBorders>
              <w:top w:val="nil"/>
              <w:left w:val="nil"/>
              <w:right w:val="single" w:sz="4" w:space="0" w:color="auto"/>
            </w:tcBorders>
            <w:noWrap/>
            <w:vAlign w:val="center"/>
          </w:tcPr>
          <w:p>
            <w:pPr>
              <w:spacing w:after="240" w:line="240" w:lineRule="auto"/>
              <w:jc w:val="right"/>
              <w:rPr>
                <w:rFonts w:ascii="Times New Roman" w:hAnsi="Times New Roman"/>
                <w:bCs/>
                <w:noProof/>
                <w:sz w:val="24"/>
                <w:szCs w:val="24"/>
              </w:rPr>
            </w:pPr>
            <w:r>
              <w:rPr>
                <w:rFonts w:ascii="Times New Roman" w:hAnsi="Times New Roman"/>
                <w:noProof/>
                <w:sz w:val="24"/>
              </w:rPr>
              <w:t>1,4</w:t>
            </w:r>
          </w:p>
        </w:tc>
        <w:tc>
          <w:tcPr>
            <w:tcW w:w="1418" w:type="dxa"/>
            <w:tcBorders>
              <w:top w:val="nil"/>
              <w:left w:val="nil"/>
              <w:right w:val="single" w:sz="4" w:space="0" w:color="auto"/>
            </w:tcBorders>
            <w:noWrap/>
            <w:vAlign w:val="bottom"/>
          </w:tcPr>
          <w:p>
            <w:pPr>
              <w:spacing w:after="240" w:line="240" w:lineRule="auto"/>
              <w:jc w:val="right"/>
              <w:rPr>
                <w:rFonts w:ascii="Times New Roman" w:hAnsi="Times New Roman"/>
                <w:noProof/>
                <w:sz w:val="24"/>
                <w:szCs w:val="24"/>
              </w:rPr>
            </w:pPr>
            <w:r>
              <w:rPr>
                <w:rFonts w:ascii="Times New Roman" w:hAnsi="Times New Roman"/>
                <w:noProof/>
                <w:sz w:val="24"/>
              </w:rPr>
              <w:t>0</w:t>
            </w:r>
          </w:p>
        </w:tc>
        <w:tc>
          <w:tcPr>
            <w:tcW w:w="1220" w:type="dxa"/>
            <w:tcBorders>
              <w:top w:val="nil"/>
              <w:left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0</w:t>
            </w:r>
          </w:p>
        </w:tc>
        <w:tc>
          <w:tcPr>
            <w:tcW w:w="1489" w:type="dxa"/>
            <w:tcBorders>
              <w:top w:val="nil"/>
              <w:left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0</w:t>
            </w:r>
          </w:p>
        </w:tc>
        <w:tc>
          <w:tcPr>
            <w:tcW w:w="2000" w:type="dxa"/>
            <w:tcBorders>
              <w:top w:val="nil"/>
              <w:left w:val="single" w:sz="4" w:space="0" w:color="auto"/>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w:t>
            </w:r>
          </w:p>
        </w:tc>
      </w:tr>
      <w:tr>
        <w:trPr>
          <w:trHeight w:val="68"/>
          <w:jc w:val="center"/>
        </w:trPr>
        <w:tc>
          <w:tcPr>
            <w:tcW w:w="1819" w:type="dxa"/>
            <w:tcBorders>
              <w:top w:val="nil"/>
              <w:left w:val="single" w:sz="4" w:space="0" w:color="auto"/>
              <w:bottom w:val="single" w:sz="4" w:space="0" w:color="auto"/>
              <w:right w:val="single" w:sz="4" w:space="0" w:color="auto"/>
            </w:tcBorders>
            <w:noWrap/>
            <w:vAlign w:val="bottom"/>
          </w:tcPr>
          <w:p>
            <w:pPr>
              <w:spacing w:after="240" w:line="240" w:lineRule="auto"/>
              <w:jc w:val="both"/>
              <w:rPr>
                <w:rFonts w:ascii="Times New Roman" w:hAnsi="Times New Roman"/>
                <w:bCs/>
                <w:noProof/>
                <w:sz w:val="24"/>
                <w:szCs w:val="24"/>
              </w:rPr>
            </w:pPr>
            <w:r>
              <w:rPr>
                <w:rFonts w:ascii="Times New Roman" w:hAnsi="Times New Roman"/>
                <w:noProof/>
                <w:sz w:val="24"/>
              </w:rPr>
              <w:t>Roumanie (soutien financier à titre de précaution)</w:t>
            </w:r>
          </w:p>
        </w:tc>
        <w:tc>
          <w:tcPr>
            <w:tcW w:w="1190" w:type="dxa"/>
            <w:tcBorders>
              <w:top w:val="nil"/>
              <w:left w:val="nil"/>
              <w:bottom w:val="single" w:sz="4" w:space="0" w:color="auto"/>
              <w:right w:val="single" w:sz="4" w:space="0" w:color="auto"/>
            </w:tcBorders>
            <w:noWrap/>
            <w:vAlign w:val="center"/>
          </w:tcPr>
          <w:p>
            <w:pPr>
              <w:spacing w:after="240" w:line="240" w:lineRule="auto"/>
              <w:jc w:val="right"/>
              <w:rPr>
                <w:rFonts w:ascii="Times New Roman" w:hAnsi="Times New Roman"/>
                <w:bCs/>
                <w:noProof/>
                <w:sz w:val="24"/>
                <w:szCs w:val="24"/>
              </w:rPr>
            </w:pPr>
            <w:r>
              <w:rPr>
                <w:rFonts w:ascii="Times New Roman" w:hAnsi="Times New Roman"/>
                <w:noProof/>
                <w:sz w:val="24"/>
              </w:rPr>
              <w:t>2,0</w:t>
            </w:r>
          </w:p>
        </w:tc>
        <w:tc>
          <w:tcPr>
            <w:tcW w:w="1418" w:type="dxa"/>
            <w:tcBorders>
              <w:top w:val="nil"/>
              <w:left w:val="nil"/>
              <w:bottom w:val="single" w:sz="4" w:space="0" w:color="auto"/>
              <w:right w:val="single" w:sz="4" w:space="0" w:color="auto"/>
            </w:tcBorders>
            <w:noWrap/>
            <w:vAlign w:val="bottom"/>
          </w:tcPr>
          <w:p>
            <w:pPr>
              <w:spacing w:after="240" w:line="240" w:lineRule="auto"/>
              <w:jc w:val="right"/>
              <w:rPr>
                <w:rFonts w:ascii="Times New Roman" w:hAnsi="Times New Roman"/>
                <w:noProof/>
                <w:sz w:val="24"/>
                <w:szCs w:val="24"/>
              </w:rPr>
            </w:pPr>
            <w:r>
              <w:rPr>
                <w:rFonts w:ascii="Times New Roman" w:hAnsi="Times New Roman"/>
                <w:noProof/>
                <w:sz w:val="24"/>
              </w:rPr>
              <w:t>0</w:t>
            </w:r>
          </w:p>
        </w:tc>
        <w:tc>
          <w:tcPr>
            <w:tcW w:w="1220" w:type="dxa"/>
            <w:tcBorders>
              <w:top w:val="nil"/>
              <w:left w:val="nil"/>
              <w:bottom w:val="single" w:sz="4" w:space="0" w:color="auto"/>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0</w:t>
            </w:r>
          </w:p>
        </w:tc>
        <w:tc>
          <w:tcPr>
            <w:tcW w:w="1489" w:type="dxa"/>
            <w:tcBorders>
              <w:top w:val="nil"/>
              <w:left w:val="nil"/>
              <w:bottom w:val="single" w:sz="4" w:space="0" w:color="auto"/>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0,0</w:t>
            </w:r>
          </w:p>
        </w:tc>
        <w:tc>
          <w:tcPr>
            <w:tcW w:w="2000" w:type="dxa"/>
            <w:tcBorders>
              <w:top w:val="nil"/>
              <w:left w:val="single" w:sz="4" w:space="0" w:color="auto"/>
              <w:bottom w:val="single" w:sz="4" w:space="0" w:color="auto"/>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w:t>
            </w:r>
          </w:p>
        </w:tc>
      </w:tr>
      <w:tr>
        <w:trPr>
          <w:trHeight w:val="58"/>
          <w:jc w:val="center"/>
        </w:trPr>
        <w:tc>
          <w:tcPr>
            <w:tcW w:w="1819" w:type="dxa"/>
            <w:tcBorders>
              <w:top w:val="single" w:sz="4" w:space="0" w:color="auto"/>
              <w:left w:val="single" w:sz="4" w:space="0" w:color="auto"/>
              <w:bottom w:val="single" w:sz="4" w:space="0" w:color="auto"/>
              <w:right w:val="nil"/>
            </w:tcBorders>
            <w:noWrap/>
            <w:vAlign w:val="bottom"/>
          </w:tcPr>
          <w:p>
            <w:pPr>
              <w:spacing w:after="240" w:line="240" w:lineRule="auto"/>
              <w:jc w:val="both"/>
              <w:rPr>
                <w:rFonts w:ascii="Times New Roman" w:hAnsi="Times New Roman"/>
                <w:b/>
                <w:noProof/>
                <w:sz w:val="24"/>
                <w:szCs w:val="24"/>
              </w:rPr>
            </w:pPr>
            <w:r>
              <w:rPr>
                <w:rFonts w:ascii="Times New Roman" w:hAnsi="Times New Roman"/>
                <w:b/>
                <w:noProof/>
                <w:sz w:val="24"/>
              </w:rPr>
              <w:t>Total</w:t>
            </w:r>
          </w:p>
        </w:tc>
        <w:tc>
          <w:tcPr>
            <w:tcW w:w="1190" w:type="dxa"/>
            <w:tcBorders>
              <w:top w:val="single" w:sz="4" w:space="0" w:color="auto"/>
              <w:left w:val="single" w:sz="4" w:space="0" w:color="auto"/>
              <w:bottom w:val="single" w:sz="4" w:space="0" w:color="auto"/>
              <w:right w:val="single" w:sz="4" w:space="0" w:color="auto"/>
            </w:tcBorders>
            <w:noWrap/>
            <w:vAlign w:val="bottom"/>
          </w:tcPr>
          <w:p>
            <w:pPr>
              <w:spacing w:after="240" w:line="240" w:lineRule="auto"/>
              <w:jc w:val="right"/>
              <w:rPr>
                <w:rFonts w:ascii="Times New Roman" w:hAnsi="Times New Roman"/>
                <w:b/>
                <w:noProof/>
                <w:sz w:val="24"/>
                <w:szCs w:val="24"/>
              </w:rPr>
            </w:pPr>
            <w:r>
              <w:rPr>
                <w:rFonts w:ascii="Times New Roman" w:hAnsi="Times New Roman"/>
                <w:b/>
                <w:noProof/>
                <w:sz w:val="24"/>
              </w:rPr>
              <w:t>18,0</w:t>
            </w:r>
          </w:p>
        </w:tc>
        <w:tc>
          <w:tcPr>
            <w:tcW w:w="1418" w:type="dxa"/>
            <w:tcBorders>
              <w:top w:val="single" w:sz="4" w:space="0" w:color="auto"/>
              <w:left w:val="nil"/>
              <w:bottom w:val="single" w:sz="4" w:space="0" w:color="auto"/>
              <w:right w:val="single" w:sz="4" w:space="0" w:color="auto"/>
            </w:tcBorders>
            <w:noWrap/>
            <w:vAlign w:val="bottom"/>
          </w:tcPr>
          <w:p>
            <w:pPr>
              <w:spacing w:after="240" w:line="240" w:lineRule="auto"/>
              <w:jc w:val="right"/>
              <w:rPr>
                <w:rFonts w:ascii="Times New Roman" w:hAnsi="Times New Roman"/>
                <w:b/>
                <w:noProof/>
                <w:sz w:val="24"/>
                <w:szCs w:val="24"/>
              </w:rPr>
            </w:pPr>
            <w:r>
              <w:rPr>
                <w:rFonts w:ascii="Times New Roman" w:hAnsi="Times New Roman"/>
                <w:b/>
                <w:noProof/>
                <w:sz w:val="24"/>
              </w:rPr>
              <w:t>13,4</w:t>
            </w:r>
          </w:p>
        </w:tc>
        <w:tc>
          <w:tcPr>
            <w:tcW w:w="1220" w:type="dxa"/>
            <w:tcBorders>
              <w:top w:val="single" w:sz="4" w:space="0" w:color="auto"/>
              <w:left w:val="nil"/>
              <w:bottom w:val="single" w:sz="4" w:space="0" w:color="auto"/>
              <w:right w:val="single" w:sz="4" w:space="0" w:color="auto"/>
            </w:tcBorders>
          </w:tcPr>
          <w:p>
            <w:pPr>
              <w:spacing w:after="240" w:line="240" w:lineRule="auto"/>
              <w:jc w:val="right"/>
              <w:rPr>
                <w:rFonts w:ascii="Times New Roman" w:hAnsi="Times New Roman"/>
                <w:b/>
                <w:noProof/>
                <w:sz w:val="24"/>
                <w:szCs w:val="24"/>
              </w:rPr>
            </w:pPr>
            <w:r>
              <w:rPr>
                <w:rFonts w:ascii="Times New Roman" w:hAnsi="Times New Roman"/>
                <w:b/>
                <w:noProof/>
                <w:sz w:val="24"/>
              </w:rPr>
              <w:t>7,7</w:t>
            </w:r>
          </w:p>
        </w:tc>
        <w:tc>
          <w:tcPr>
            <w:tcW w:w="1489" w:type="dxa"/>
            <w:tcBorders>
              <w:top w:val="single" w:sz="4" w:space="0" w:color="auto"/>
              <w:left w:val="nil"/>
              <w:bottom w:val="single" w:sz="4" w:space="0" w:color="auto"/>
              <w:right w:val="single" w:sz="4" w:space="0" w:color="auto"/>
            </w:tcBorders>
          </w:tcPr>
          <w:p>
            <w:pPr>
              <w:spacing w:after="240" w:line="240" w:lineRule="auto"/>
              <w:jc w:val="right"/>
              <w:rPr>
                <w:rFonts w:ascii="Times New Roman" w:hAnsi="Times New Roman"/>
                <w:b/>
                <w:noProof/>
                <w:sz w:val="24"/>
                <w:szCs w:val="24"/>
              </w:rPr>
            </w:pPr>
            <w:r>
              <w:rPr>
                <w:rFonts w:ascii="Times New Roman" w:hAnsi="Times New Roman"/>
                <w:b/>
                <w:noProof/>
                <w:sz w:val="24"/>
              </w:rPr>
              <w:t>5,7</w:t>
            </w:r>
          </w:p>
        </w:tc>
        <w:tc>
          <w:tcPr>
            <w:tcW w:w="2000" w:type="dxa"/>
            <w:tcBorders>
              <w:top w:val="single" w:sz="4" w:space="0" w:color="auto"/>
              <w:left w:val="single" w:sz="4" w:space="0" w:color="auto"/>
              <w:bottom w:val="single" w:sz="4" w:space="0" w:color="auto"/>
              <w:right w:val="single" w:sz="4" w:space="0" w:color="auto"/>
            </w:tcBorders>
          </w:tcPr>
          <w:p>
            <w:pPr>
              <w:spacing w:after="240" w:line="240" w:lineRule="auto"/>
              <w:jc w:val="right"/>
              <w:rPr>
                <w:rFonts w:ascii="Times New Roman" w:hAnsi="Times New Roman"/>
                <w:b/>
                <w:noProof/>
                <w:sz w:val="24"/>
                <w:szCs w:val="24"/>
              </w:rPr>
            </w:pPr>
            <w:r>
              <w:rPr>
                <w:rFonts w:ascii="Times New Roman" w:hAnsi="Times New Roman"/>
                <w:b/>
                <w:noProof/>
                <w:sz w:val="24"/>
              </w:rPr>
              <w:t>2,2</w:t>
            </w:r>
          </w:p>
        </w:tc>
      </w:tr>
    </w:tbl>
    <w:p>
      <w:pPr>
        <w:pStyle w:val="ManualHeading2"/>
        <w:spacing w:before="240" w:after="240"/>
        <w:ind w:left="851" w:hanging="851"/>
        <w:outlineLvl w:val="0"/>
        <w:rPr>
          <w:noProof/>
          <w:sz w:val="2"/>
          <w:szCs w:val="2"/>
        </w:rPr>
      </w:pPr>
      <w:bookmarkStart w:id="46" w:name="_Toc325641139"/>
      <w:bookmarkStart w:id="47" w:name="_Toc330157541"/>
      <w:bookmarkStart w:id="48" w:name="_Toc361393254"/>
      <w:bookmarkStart w:id="49" w:name="_Toc388883942"/>
      <w:bookmarkStart w:id="50" w:name="_Toc393808494"/>
    </w:p>
    <w:p>
      <w:pPr>
        <w:pStyle w:val="ManualHeading2"/>
        <w:spacing w:before="240" w:after="240"/>
        <w:ind w:left="851" w:hanging="851"/>
        <w:outlineLvl w:val="0"/>
        <w:rPr>
          <w:noProof/>
        </w:rPr>
      </w:pPr>
      <w:bookmarkStart w:id="51" w:name="_Toc451257930"/>
      <w:bookmarkStart w:id="52" w:name="_Toc452129248"/>
      <w:r>
        <w:rPr>
          <w:noProof/>
        </w:rPr>
        <w:t>2.2.</w:t>
      </w:r>
      <w:r>
        <w:rPr>
          <w:noProof/>
        </w:rPr>
        <w:tab/>
        <w:t>Mécanisme européen de stabilisation financière</w:t>
      </w:r>
      <w:bookmarkEnd w:id="46"/>
      <w:bookmarkEnd w:id="47"/>
      <w:bookmarkEnd w:id="48"/>
      <w:bookmarkEnd w:id="49"/>
      <w:bookmarkEnd w:id="50"/>
      <w:bookmarkEnd w:id="51"/>
      <w:bookmarkEnd w:id="52"/>
    </w:p>
    <w:p>
      <w:pPr>
        <w:spacing w:after="120" w:line="240" w:lineRule="auto"/>
        <w:jc w:val="both"/>
        <w:rPr>
          <w:rFonts w:ascii="Times New Roman" w:hAnsi="Times New Roman"/>
          <w:noProof/>
          <w:sz w:val="24"/>
          <w:szCs w:val="24"/>
        </w:rPr>
      </w:pPr>
      <w:r>
        <w:rPr>
          <w:rFonts w:ascii="Times New Roman" w:hAnsi="Times New Roman"/>
          <w:noProof/>
          <w:sz w:val="24"/>
        </w:rPr>
        <w:t>Le règlement (UE) nº 407/2010 du Conseil du 11 mai 2010</w:t>
      </w:r>
      <w:r>
        <w:rPr>
          <w:rStyle w:val="FootnoteReference"/>
          <w:rFonts w:ascii="Times New Roman" w:hAnsi="Times New Roman"/>
          <w:noProof/>
          <w:sz w:val="24"/>
        </w:rPr>
        <w:footnoteReference w:id="5"/>
      </w:r>
      <w:r>
        <w:rPr>
          <w:rFonts w:ascii="Times New Roman" w:hAnsi="Times New Roman"/>
          <w:noProof/>
          <w:sz w:val="24"/>
        </w:rPr>
        <w:t xml:space="preserve"> a établi le mécanisme européen de stabilisation financière (MESF), sur la base de l’article 122, paragraphe 2</w:t>
      </w:r>
      <w:r>
        <w:rPr>
          <w:rStyle w:val="FootnoteReference"/>
          <w:rFonts w:ascii="Times New Roman" w:hAnsi="Times New Roman"/>
          <w:noProof/>
          <w:sz w:val="24"/>
        </w:rPr>
        <w:footnoteReference w:id="6"/>
      </w:r>
      <w:r>
        <w:rPr>
          <w:rFonts w:ascii="Times New Roman" w:hAnsi="Times New Roman"/>
          <w:noProof/>
          <w:sz w:val="24"/>
        </w:rPr>
        <w:t>, du TFUE. Le MESF est intégralement couvert par le budget de l'UE, et dispose d'une capacité de prêt maximale de 60 milliards</w:t>
      </w:r>
      <w:r>
        <w:rPr>
          <w:rStyle w:val="FootnoteReference"/>
          <w:rFonts w:ascii="Times New Roman" w:hAnsi="Times New Roman"/>
          <w:noProof/>
          <w:sz w:val="24"/>
        </w:rPr>
        <w:footnoteReference w:id="7"/>
      </w:r>
      <w:r>
        <w:rPr>
          <w:rFonts w:ascii="Times New Roman" w:hAnsi="Times New Roman"/>
          <w:noProof/>
          <w:sz w:val="24"/>
        </w:rPr>
        <w:t xml:space="preserve"> d'EUR. </w:t>
      </w:r>
    </w:p>
    <w:p>
      <w:pPr>
        <w:spacing w:after="120" w:line="240" w:lineRule="auto"/>
        <w:jc w:val="both"/>
        <w:rPr>
          <w:rFonts w:ascii="Times New Roman" w:hAnsi="Times New Roman"/>
          <w:noProof/>
          <w:sz w:val="20"/>
          <w:szCs w:val="20"/>
        </w:rPr>
      </w:pPr>
      <w:r>
        <w:rPr>
          <w:rFonts w:ascii="Times New Roman" w:hAnsi="Times New Roman"/>
          <w:noProof/>
          <w:sz w:val="24"/>
        </w:rPr>
        <w:t>Le MESF a été activé en 2011 pour octroyer un prêt d'un montant maximal de 22,5 milliards d'EUR à l'Irlande</w:t>
      </w:r>
      <w:r>
        <w:rPr>
          <w:rStyle w:val="FootnoteReference"/>
          <w:rFonts w:ascii="Times New Roman" w:hAnsi="Times New Roman"/>
          <w:noProof/>
          <w:sz w:val="24"/>
        </w:rPr>
        <w:footnoteReference w:id="8"/>
      </w:r>
      <w:r>
        <w:rPr>
          <w:rFonts w:ascii="Times New Roman" w:hAnsi="Times New Roman"/>
          <w:noProof/>
          <w:sz w:val="24"/>
        </w:rPr>
        <w:t xml:space="preserve"> et de 26 milliards d'EUR au Portugal</w:t>
      </w:r>
      <w:r>
        <w:rPr>
          <w:rStyle w:val="FootnoteReference"/>
          <w:rFonts w:ascii="Times New Roman" w:hAnsi="Times New Roman"/>
          <w:noProof/>
          <w:sz w:val="24"/>
        </w:rPr>
        <w:footnoteReference w:id="9"/>
      </w:r>
      <w:r>
        <w:rPr>
          <w:rFonts w:ascii="Times New Roman" w:hAnsi="Times New Roman"/>
          <w:noProof/>
          <w:sz w:val="24"/>
        </w:rPr>
        <w:t>.</w:t>
      </w:r>
    </w:p>
    <w:p>
      <w:pPr>
        <w:spacing w:after="120" w:line="240" w:lineRule="auto"/>
        <w:jc w:val="both"/>
        <w:rPr>
          <w:rFonts w:ascii="Times New Roman" w:hAnsi="Times New Roman"/>
          <w:noProof/>
          <w:sz w:val="24"/>
          <w:szCs w:val="24"/>
        </w:rPr>
      </w:pPr>
      <w:r>
        <w:rPr>
          <w:rFonts w:ascii="Times New Roman" w:hAnsi="Times New Roman"/>
          <w:noProof/>
          <w:sz w:val="24"/>
        </w:rPr>
        <w:t>En 2013, une prolongation de 12,5 ans à 19,5 ans de la durée moyenne maximale des prêts décaissés a été décidée pour les deux États membres. Les bénéficiaires du MESF peuvent demander une prolongation et un refinancement de tous les prêts MESF pour autant que la durée moyenne des prêts décaissés (calculée à partir du versement initial) ne dépasse pas 19,5 ans.</w:t>
      </w:r>
    </w:p>
    <w:p>
      <w:pPr>
        <w:spacing w:after="120" w:line="240" w:lineRule="auto"/>
        <w:jc w:val="both"/>
        <w:rPr>
          <w:rFonts w:ascii="Times New Roman" w:hAnsi="Times New Roman"/>
          <w:noProof/>
          <w:sz w:val="24"/>
          <w:szCs w:val="24"/>
        </w:rPr>
      </w:pPr>
      <w:r>
        <w:rPr>
          <w:rFonts w:ascii="Times New Roman" w:hAnsi="Times New Roman"/>
          <w:noProof/>
          <w:sz w:val="24"/>
        </w:rPr>
        <w:t>Dans ce contexte, en septembre et en octobre 2015, un montant total de 5 milliards d’EUR a été levé en trois tranches, dont les durées sont de 8, 14 et 20 ans afin de reporter l’échéance du prêt de 5 milliards d'EUR octroyé à l’Irlande qui était fixée au 4 décembre 2015. Actuellement, la durée moyenne des prêts consentis à l’Irlande, à compter du 31 décembre 2015, est de 15,4 ans.</w:t>
      </w:r>
    </w:p>
    <w:p>
      <w:pPr>
        <w:spacing w:after="120" w:line="240" w:lineRule="auto"/>
        <w:jc w:val="both"/>
        <w:rPr>
          <w:rFonts w:ascii="Times New Roman" w:hAnsi="Times New Roman"/>
          <w:noProof/>
          <w:sz w:val="24"/>
          <w:szCs w:val="24"/>
        </w:rPr>
      </w:pPr>
      <w:r>
        <w:rPr>
          <w:rFonts w:ascii="Times New Roman" w:hAnsi="Times New Roman"/>
          <w:noProof/>
          <w:sz w:val="24"/>
        </w:rPr>
        <w:t>En outre, un prêt-relais d’un montant de 7,16 milliards d’EUR a été financé et accordé à la Grèce</w:t>
      </w:r>
      <w:r>
        <w:rPr>
          <w:rStyle w:val="FootnoteReference"/>
          <w:rFonts w:ascii="Times New Roman" w:hAnsi="Times New Roman"/>
          <w:noProof/>
          <w:sz w:val="24"/>
        </w:rPr>
        <w:footnoteReference w:id="10"/>
      </w:r>
      <w:r>
        <w:rPr>
          <w:rFonts w:ascii="Times New Roman" w:hAnsi="Times New Roman"/>
          <w:noProof/>
          <w:sz w:val="24"/>
        </w:rPr>
        <w:t xml:space="preserve"> pour une période d’un mois, du 20 juillet au 20 août 2015. Ce prêt a été intégralement remboursé.</w:t>
      </w:r>
    </w:p>
    <w:p>
      <w:pPr>
        <w:spacing w:after="120" w:line="240" w:lineRule="auto"/>
        <w:jc w:val="both"/>
        <w:rPr>
          <w:rFonts w:ascii="Times New Roman" w:hAnsi="Times New Roman"/>
          <w:noProof/>
          <w:sz w:val="24"/>
          <w:szCs w:val="24"/>
        </w:rPr>
      </w:pPr>
      <w:r>
        <w:rPr>
          <w:rFonts w:ascii="Times New Roman" w:hAnsi="Times New Roman"/>
          <w:noProof/>
          <w:sz w:val="24"/>
        </w:rPr>
        <w:t>L'encours total des emprunts MESF s'élevait à 46,8 milliards d’EUR à la fin de 2015 (Irlande: 22</w:t>
      </w:r>
      <w:r>
        <w:rPr>
          <w:noProof/>
        </w:rPr>
        <w:t>,</w:t>
      </w:r>
      <w:r>
        <w:rPr>
          <w:rFonts w:ascii="Times New Roman" w:hAnsi="Times New Roman"/>
          <w:noProof/>
          <w:sz w:val="24"/>
        </w:rPr>
        <w:t>5 milliards, Portugal: 24</w:t>
      </w:r>
      <w:r>
        <w:rPr>
          <w:noProof/>
        </w:rPr>
        <w:t>,</w:t>
      </w:r>
      <w:r>
        <w:rPr>
          <w:rFonts w:ascii="Times New Roman" w:hAnsi="Times New Roman"/>
          <w:noProof/>
          <w:sz w:val="24"/>
        </w:rPr>
        <w:t>3 milliards).</w:t>
      </w:r>
    </w:p>
    <w:p>
      <w:pPr>
        <w:spacing w:after="240" w:line="240" w:lineRule="auto"/>
        <w:jc w:val="both"/>
        <w:rPr>
          <w:rFonts w:ascii="Times New Roman" w:eastAsia="Times New Roman" w:hAnsi="Times New Roman"/>
          <w:noProof/>
          <w:sz w:val="24"/>
          <w:szCs w:val="20"/>
        </w:rPr>
      </w:pPr>
      <w:r>
        <w:rPr>
          <w:rFonts w:ascii="Times New Roman" w:hAnsi="Times New Roman"/>
          <w:noProof/>
          <w:sz w:val="24"/>
        </w:rPr>
        <w:t xml:space="preserve">Le tableau présenté ci-après indique l’évolution des prêts au titre du MESF au 31 décembre 2015. </w:t>
      </w:r>
    </w:p>
    <w:p>
      <w:pPr>
        <w:spacing w:after="240" w:line="240" w:lineRule="auto"/>
        <w:jc w:val="both"/>
        <w:rPr>
          <w:rFonts w:ascii="Times New Roman" w:hAnsi="Times New Roman"/>
          <w:noProof/>
          <w:sz w:val="24"/>
          <w:szCs w:val="24"/>
        </w:rPr>
      </w:pPr>
      <w:r>
        <w:rPr>
          <w:rFonts w:ascii="Times New Roman" w:hAnsi="Times New Roman"/>
          <w:noProof/>
          <w:sz w:val="24"/>
          <w:u w:val="single"/>
        </w:rPr>
        <w:t>Tableau 3: Mécanisme européen de stabilisation financière au 31.12.2015 (montants de capital en milliards d’EUR)</w:t>
      </w:r>
      <w:r>
        <w:rPr>
          <w:rFonts w:ascii="Times New Roman" w:hAnsi="Times New Roman"/>
          <w:noProof/>
          <w:sz w:val="24"/>
        </w:rPr>
        <w:t> </w:t>
      </w:r>
    </w:p>
    <w:tbl>
      <w:tblPr>
        <w:tblW w:w="9136" w:type="dxa"/>
        <w:jc w:val="center"/>
        <w:tblLook w:val="0000" w:firstRow="0" w:lastRow="0" w:firstColumn="0" w:lastColumn="0" w:noHBand="0" w:noVBand="0"/>
      </w:tblPr>
      <w:tblGrid>
        <w:gridCol w:w="1819"/>
        <w:gridCol w:w="1190"/>
        <w:gridCol w:w="1418"/>
        <w:gridCol w:w="1296"/>
        <w:gridCol w:w="1469"/>
        <w:gridCol w:w="1944"/>
      </w:tblGrid>
      <w:tr>
        <w:trPr>
          <w:trHeight w:val="948"/>
          <w:jc w:val="center"/>
        </w:trPr>
        <w:tc>
          <w:tcPr>
            <w:tcW w:w="1819" w:type="dxa"/>
            <w:tcBorders>
              <w:top w:val="single" w:sz="4" w:space="0" w:color="auto"/>
              <w:left w:val="single" w:sz="4" w:space="0" w:color="auto"/>
              <w:bottom w:val="single" w:sz="4" w:space="0" w:color="auto"/>
              <w:right w:val="single" w:sz="4" w:space="0" w:color="auto"/>
            </w:tcBorders>
            <w:noWrap/>
            <w:vAlign w:val="center"/>
          </w:tcPr>
          <w:p>
            <w:pPr>
              <w:spacing w:after="240" w:line="240" w:lineRule="auto"/>
              <w:rPr>
                <w:rFonts w:ascii="Times New Roman" w:hAnsi="Times New Roman"/>
                <w:noProof/>
                <w:sz w:val="24"/>
                <w:szCs w:val="24"/>
              </w:rPr>
            </w:pPr>
            <w:r>
              <w:rPr>
                <w:rFonts w:ascii="Times New Roman" w:hAnsi="Times New Roman"/>
                <w:noProof/>
                <w:sz w:val="24"/>
              </w:rPr>
              <w:t>Pays</w:t>
            </w:r>
          </w:p>
        </w:tc>
        <w:tc>
          <w:tcPr>
            <w:tcW w:w="1190" w:type="dxa"/>
            <w:tcBorders>
              <w:top w:val="single" w:sz="4" w:space="0" w:color="auto"/>
              <w:left w:val="nil"/>
              <w:bottom w:val="single" w:sz="4" w:space="0" w:color="auto"/>
              <w:right w:val="single" w:sz="4" w:space="0" w:color="auto"/>
            </w:tcBorders>
            <w:noWrap/>
            <w:vAlign w:val="center"/>
          </w:tcPr>
          <w:p>
            <w:pPr>
              <w:spacing w:after="240" w:line="240" w:lineRule="auto"/>
              <w:rPr>
                <w:rFonts w:ascii="Times New Roman" w:hAnsi="Times New Roman"/>
                <w:noProof/>
                <w:sz w:val="24"/>
                <w:szCs w:val="24"/>
              </w:rPr>
            </w:pPr>
            <w:r>
              <w:rPr>
                <w:rFonts w:ascii="Times New Roman" w:hAnsi="Times New Roman"/>
                <w:noProof/>
                <w:sz w:val="24"/>
              </w:rPr>
              <w:t>Montant décidé</w:t>
            </w:r>
          </w:p>
        </w:tc>
        <w:tc>
          <w:tcPr>
            <w:tcW w:w="1418" w:type="dxa"/>
            <w:tcBorders>
              <w:top w:val="single" w:sz="4" w:space="0" w:color="auto"/>
              <w:left w:val="single" w:sz="4" w:space="0" w:color="auto"/>
              <w:bottom w:val="single" w:sz="4" w:space="0" w:color="auto"/>
              <w:right w:val="single" w:sz="4" w:space="0" w:color="auto"/>
            </w:tcBorders>
            <w:noWrap/>
            <w:vAlign w:val="center"/>
          </w:tcPr>
          <w:p>
            <w:pPr>
              <w:spacing w:after="240" w:line="240" w:lineRule="auto"/>
              <w:rPr>
                <w:rFonts w:ascii="Times New Roman" w:hAnsi="Times New Roman"/>
                <w:noProof/>
                <w:sz w:val="24"/>
                <w:szCs w:val="24"/>
              </w:rPr>
            </w:pPr>
            <w:r>
              <w:rPr>
                <w:rFonts w:ascii="Times New Roman" w:hAnsi="Times New Roman"/>
                <w:noProof/>
                <w:sz w:val="24"/>
              </w:rPr>
              <w:t>Montant décaissé</w:t>
            </w:r>
          </w:p>
        </w:tc>
        <w:tc>
          <w:tcPr>
            <w:tcW w:w="1296" w:type="dxa"/>
            <w:tcBorders>
              <w:top w:val="single" w:sz="4" w:space="0" w:color="auto"/>
              <w:left w:val="single" w:sz="4" w:space="0" w:color="auto"/>
              <w:bottom w:val="single" w:sz="4" w:space="0" w:color="auto"/>
              <w:right w:val="single" w:sz="4" w:space="0" w:color="auto"/>
            </w:tcBorders>
            <w:vAlign w:val="center"/>
          </w:tcPr>
          <w:p>
            <w:pPr>
              <w:spacing w:after="240" w:line="240" w:lineRule="auto"/>
              <w:rPr>
                <w:rFonts w:ascii="Times New Roman" w:hAnsi="Times New Roman"/>
                <w:noProof/>
                <w:sz w:val="24"/>
                <w:szCs w:val="24"/>
              </w:rPr>
            </w:pPr>
            <w:r>
              <w:rPr>
                <w:rFonts w:ascii="Times New Roman" w:hAnsi="Times New Roman"/>
                <w:noProof/>
                <w:sz w:val="24"/>
              </w:rPr>
              <w:t>Montant remboursé</w:t>
            </w:r>
          </w:p>
        </w:tc>
        <w:tc>
          <w:tcPr>
            <w:tcW w:w="1469" w:type="dxa"/>
            <w:tcBorders>
              <w:top w:val="single" w:sz="4" w:space="0" w:color="auto"/>
              <w:left w:val="single" w:sz="4" w:space="0" w:color="auto"/>
              <w:bottom w:val="single" w:sz="4" w:space="0" w:color="auto"/>
              <w:right w:val="single" w:sz="4" w:space="0" w:color="auto"/>
            </w:tcBorders>
            <w:vAlign w:val="center"/>
          </w:tcPr>
          <w:p>
            <w:pPr>
              <w:spacing w:after="240" w:line="240" w:lineRule="auto"/>
              <w:ind w:right="-228"/>
              <w:rPr>
                <w:rFonts w:ascii="Times New Roman" w:hAnsi="Times New Roman"/>
                <w:noProof/>
                <w:sz w:val="24"/>
                <w:szCs w:val="24"/>
              </w:rPr>
            </w:pPr>
            <w:r>
              <w:rPr>
                <w:rFonts w:ascii="Times New Roman" w:hAnsi="Times New Roman"/>
                <w:noProof/>
                <w:sz w:val="24"/>
              </w:rPr>
              <w:t>Capital restant dû</w:t>
            </w:r>
          </w:p>
        </w:tc>
        <w:tc>
          <w:tcPr>
            <w:tcW w:w="1944" w:type="dxa"/>
            <w:tcBorders>
              <w:top w:val="single" w:sz="4" w:space="0" w:color="auto"/>
              <w:left w:val="single" w:sz="4" w:space="0" w:color="auto"/>
              <w:bottom w:val="single" w:sz="4" w:space="0" w:color="auto"/>
              <w:right w:val="single" w:sz="4" w:space="0" w:color="auto"/>
            </w:tcBorders>
            <w:vAlign w:val="center"/>
          </w:tcPr>
          <w:p>
            <w:pPr>
              <w:spacing w:after="240" w:line="240" w:lineRule="auto"/>
              <w:ind w:right="-228"/>
              <w:rPr>
                <w:rFonts w:ascii="Times New Roman" w:hAnsi="Times New Roman"/>
                <w:noProof/>
                <w:sz w:val="24"/>
                <w:szCs w:val="24"/>
              </w:rPr>
            </w:pPr>
            <w:r>
              <w:rPr>
                <w:rFonts w:ascii="Times New Roman" w:hAnsi="Times New Roman"/>
                <w:noProof/>
                <w:sz w:val="24"/>
              </w:rPr>
              <w:t>Échéance moyenne pondérée (en années)</w:t>
            </w:r>
          </w:p>
        </w:tc>
      </w:tr>
      <w:tr>
        <w:trPr>
          <w:trHeight w:val="309"/>
          <w:jc w:val="center"/>
        </w:trPr>
        <w:tc>
          <w:tcPr>
            <w:tcW w:w="1819" w:type="dxa"/>
            <w:tcBorders>
              <w:top w:val="single" w:sz="4" w:space="0" w:color="auto"/>
              <w:left w:val="single" w:sz="4" w:space="0" w:color="auto"/>
              <w:right w:val="single" w:sz="4" w:space="0" w:color="auto"/>
            </w:tcBorders>
            <w:noWrap/>
            <w:vAlign w:val="center"/>
          </w:tcPr>
          <w:p>
            <w:pPr>
              <w:spacing w:after="240" w:line="240" w:lineRule="auto"/>
              <w:jc w:val="both"/>
              <w:rPr>
                <w:rFonts w:ascii="Times New Roman" w:hAnsi="Times New Roman"/>
                <w:bCs/>
                <w:noProof/>
                <w:sz w:val="24"/>
                <w:szCs w:val="24"/>
              </w:rPr>
            </w:pPr>
            <w:r>
              <w:rPr>
                <w:rFonts w:ascii="Times New Roman" w:hAnsi="Times New Roman"/>
                <w:noProof/>
                <w:sz w:val="24"/>
              </w:rPr>
              <w:t>Grèce</w:t>
            </w:r>
          </w:p>
        </w:tc>
        <w:tc>
          <w:tcPr>
            <w:tcW w:w="1190" w:type="dxa"/>
            <w:tcBorders>
              <w:top w:val="single" w:sz="4" w:space="0" w:color="auto"/>
              <w:left w:val="nil"/>
              <w:right w:val="single" w:sz="4" w:space="0" w:color="auto"/>
            </w:tcBorders>
            <w:noWrap/>
            <w:vAlign w:val="center"/>
          </w:tcPr>
          <w:p>
            <w:pPr>
              <w:spacing w:after="240" w:line="240" w:lineRule="auto"/>
              <w:jc w:val="right"/>
              <w:rPr>
                <w:rFonts w:ascii="Times New Roman" w:hAnsi="Times New Roman"/>
                <w:bCs/>
                <w:noProof/>
                <w:sz w:val="24"/>
                <w:szCs w:val="24"/>
              </w:rPr>
            </w:pPr>
            <w:r>
              <w:rPr>
                <w:rFonts w:ascii="Times New Roman" w:hAnsi="Times New Roman"/>
                <w:noProof/>
                <w:sz w:val="24"/>
              </w:rPr>
              <w:t>7,16</w:t>
            </w:r>
          </w:p>
        </w:tc>
        <w:tc>
          <w:tcPr>
            <w:tcW w:w="1418" w:type="dxa"/>
            <w:tcBorders>
              <w:top w:val="single" w:sz="4" w:space="0" w:color="auto"/>
              <w:left w:val="nil"/>
              <w:right w:val="single" w:sz="4" w:space="0" w:color="auto"/>
            </w:tcBorders>
            <w:noWrap/>
            <w:vAlign w:val="center"/>
          </w:tcPr>
          <w:p>
            <w:pPr>
              <w:spacing w:after="240" w:line="240" w:lineRule="auto"/>
              <w:jc w:val="right"/>
              <w:rPr>
                <w:rFonts w:ascii="Times New Roman" w:hAnsi="Times New Roman"/>
                <w:noProof/>
                <w:sz w:val="24"/>
                <w:szCs w:val="24"/>
              </w:rPr>
            </w:pPr>
            <w:r>
              <w:rPr>
                <w:rFonts w:ascii="Times New Roman" w:hAnsi="Times New Roman"/>
                <w:noProof/>
                <w:sz w:val="24"/>
              </w:rPr>
              <w:t>7,16</w:t>
            </w:r>
          </w:p>
        </w:tc>
        <w:tc>
          <w:tcPr>
            <w:tcW w:w="1296" w:type="dxa"/>
            <w:tcBorders>
              <w:top w:val="single" w:sz="4" w:space="0" w:color="auto"/>
              <w:left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7,16</w:t>
            </w:r>
          </w:p>
        </w:tc>
        <w:tc>
          <w:tcPr>
            <w:tcW w:w="1469" w:type="dxa"/>
            <w:tcBorders>
              <w:top w:val="single" w:sz="4" w:space="0" w:color="auto"/>
              <w:left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0</w:t>
            </w:r>
          </w:p>
        </w:tc>
        <w:tc>
          <w:tcPr>
            <w:tcW w:w="1944" w:type="dxa"/>
            <w:tcBorders>
              <w:top w:val="single" w:sz="4" w:space="0" w:color="auto"/>
              <w:left w:val="single" w:sz="4" w:space="0" w:color="auto"/>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w:t>
            </w:r>
          </w:p>
        </w:tc>
      </w:tr>
      <w:tr>
        <w:trPr>
          <w:trHeight w:val="309"/>
          <w:jc w:val="center"/>
        </w:trPr>
        <w:tc>
          <w:tcPr>
            <w:tcW w:w="1819" w:type="dxa"/>
            <w:tcBorders>
              <w:left w:val="single" w:sz="4" w:space="0" w:color="auto"/>
              <w:bottom w:val="nil"/>
              <w:right w:val="single" w:sz="4" w:space="0" w:color="auto"/>
            </w:tcBorders>
            <w:noWrap/>
            <w:vAlign w:val="center"/>
          </w:tcPr>
          <w:p>
            <w:pPr>
              <w:spacing w:after="240" w:line="240" w:lineRule="auto"/>
              <w:jc w:val="both"/>
              <w:rPr>
                <w:rFonts w:ascii="Times New Roman" w:hAnsi="Times New Roman"/>
                <w:bCs/>
                <w:noProof/>
                <w:sz w:val="24"/>
                <w:szCs w:val="24"/>
              </w:rPr>
            </w:pPr>
            <w:r>
              <w:rPr>
                <w:rFonts w:ascii="Times New Roman" w:hAnsi="Times New Roman"/>
                <w:noProof/>
                <w:sz w:val="24"/>
              </w:rPr>
              <w:t>Irlande</w:t>
            </w:r>
          </w:p>
        </w:tc>
        <w:tc>
          <w:tcPr>
            <w:tcW w:w="1190" w:type="dxa"/>
            <w:tcBorders>
              <w:left w:val="nil"/>
              <w:bottom w:val="nil"/>
              <w:right w:val="single" w:sz="4" w:space="0" w:color="auto"/>
            </w:tcBorders>
            <w:noWrap/>
            <w:vAlign w:val="center"/>
          </w:tcPr>
          <w:p>
            <w:pPr>
              <w:spacing w:after="240" w:line="240" w:lineRule="auto"/>
              <w:jc w:val="right"/>
              <w:rPr>
                <w:rFonts w:ascii="Times New Roman" w:hAnsi="Times New Roman"/>
                <w:bCs/>
                <w:noProof/>
                <w:sz w:val="24"/>
                <w:szCs w:val="24"/>
              </w:rPr>
            </w:pPr>
            <w:r>
              <w:rPr>
                <w:rFonts w:ascii="Times New Roman" w:hAnsi="Times New Roman"/>
                <w:noProof/>
                <w:sz w:val="24"/>
              </w:rPr>
              <w:t>22,50</w:t>
            </w:r>
          </w:p>
        </w:tc>
        <w:tc>
          <w:tcPr>
            <w:tcW w:w="1418" w:type="dxa"/>
            <w:tcBorders>
              <w:left w:val="nil"/>
              <w:bottom w:val="nil"/>
              <w:right w:val="single" w:sz="4" w:space="0" w:color="auto"/>
            </w:tcBorders>
            <w:noWrap/>
            <w:vAlign w:val="center"/>
          </w:tcPr>
          <w:p>
            <w:pPr>
              <w:spacing w:after="240" w:line="240" w:lineRule="auto"/>
              <w:jc w:val="right"/>
              <w:rPr>
                <w:rFonts w:ascii="Times New Roman" w:hAnsi="Times New Roman"/>
                <w:noProof/>
                <w:sz w:val="24"/>
                <w:szCs w:val="24"/>
              </w:rPr>
            </w:pPr>
            <w:r>
              <w:rPr>
                <w:rFonts w:ascii="Times New Roman" w:hAnsi="Times New Roman"/>
                <w:noProof/>
                <w:sz w:val="24"/>
              </w:rPr>
              <w:t>22,50</w:t>
            </w:r>
          </w:p>
        </w:tc>
        <w:tc>
          <w:tcPr>
            <w:tcW w:w="1296" w:type="dxa"/>
            <w:tcBorders>
              <w:left w:val="nil"/>
              <w:bottom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0</w:t>
            </w:r>
          </w:p>
        </w:tc>
        <w:tc>
          <w:tcPr>
            <w:tcW w:w="1469" w:type="dxa"/>
            <w:tcBorders>
              <w:left w:val="nil"/>
              <w:bottom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22,5</w:t>
            </w:r>
          </w:p>
        </w:tc>
        <w:tc>
          <w:tcPr>
            <w:tcW w:w="1944" w:type="dxa"/>
            <w:tcBorders>
              <w:left w:val="single" w:sz="4" w:space="0" w:color="auto"/>
              <w:bottom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15,4</w:t>
            </w:r>
          </w:p>
        </w:tc>
      </w:tr>
      <w:tr>
        <w:trPr>
          <w:trHeight w:val="68"/>
          <w:jc w:val="center"/>
        </w:trPr>
        <w:tc>
          <w:tcPr>
            <w:tcW w:w="1819" w:type="dxa"/>
            <w:tcBorders>
              <w:top w:val="nil"/>
              <w:left w:val="single" w:sz="4" w:space="0" w:color="auto"/>
              <w:bottom w:val="single" w:sz="4" w:space="0" w:color="auto"/>
              <w:right w:val="single" w:sz="4" w:space="0" w:color="auto"/>
            </w:tcBorders>
            <w:noWrap/>
            <w:vAlign w:val="bottom"/>
          </w:tcPr>
          <w:p>
            <w:pPr>
              <w:spacing w:after="240" w:line="240" w:lineRule="auto"/>
              <w:jc w:val="both"/>
              <w:rPr>
                <w:rFonts w:ascii="Times New Roman" w:hAnsi="Times New Roman"/>
                <w:bCs/>
                <w:noProof/>
                <w:sz w:val="24"/>
                <w:szCs w:val="24"/>
              </w:rPr>
            </w:pPr>
            <w:r>
              <w:rPr>
                <w:rFonts w:ascii="Times New Roman" w:hAnsi="Times New Roman"/>
                <w:noProof/>
                <w:sz w:val="24"/>
              </w:rPr>
              <w:t>Portugal</w:t>
            </w:r>
          </w:p>
        </w:tc>
        <w:tc>
          <w:tcPr>
            <w:tcW w:w="1190" w:type="dxa"/>
            <w:tcBorders>
              <w:top w:val="nil"/>
              <w:left w:val="nil"/>
              <w:bottom w:val="single" w:sz="4" w:space="0" w:color="auto"/>
              <w:right w:val="single" w:sz="4" w:space="0" w:color="auto"/>
            </w:tcBorders>
            <w:noWrap/>
            <w:vAlign w:val="center"/>
          </w:tcPr>
          <w:p>
            <w:pPr>
              <w:spacing w:after="240" w:line="240" w:lineRule="auto"/>
              <w:jc w:val="right"/>
              <w:rPr>
                <w:rFonts w:ascii="Times New Roman" w:hAnsi="Times New Roman"/>
                <w:bCs/>
                <w:noProof/>
                <w:sz w:val="24"/>
                <w:szCs w:val="24"/>
              </w:rPr>
            </w:pPr>
            <w:r>
              <w:rPr>
                <w:rFonts w:ascii="Times New Roman" w:hAnsi="Times New Roman"/>
                <w:noProof/>
                <w:sz w:val="24"/>
              </w:rPr>
              <w:t>26,00</w:t>
            </w:r>
          </w:p>
        </w:tc>
        <w:tc>
          <w:tcPr>
            <w:tcW w:w="1418" w:type="dxa"/>
            <w:tcBorders>
              <w:top w:val="nil"/>
              <w:left w:val="nil"/>
              <w:bottom w:val="single" w:sz="4" w:space="0" w:color="auto"/>
              <w:right w:val="single" w:sz="4" w:space="0" w:color="auto"/>
            </w:tcBorders>
            <w:noWrap/>
            <w:vAlign w:val="bottom"/>
          </w:tcPr>
          <w:p>
            <w:pPr>
              <w:spacing w:after="240" w:line="240" w:lineRule="auto"/>
              <w:jc w:val="right"/>
              <w:rPr>
                <w:rFonts w:ascii="Times New Roman" w:hAnsi="Times New Roman"/>
                <w:noProof/>
                <w:sz w:val="24"/>
                <w:szCs w:val="24"/>
              </w:rPr>
            </w:pPr>
            <w:r>
              <w:rPr>
                <w:rFonts w:ascii="Times New Roman" w:hAnsi="Times New Roman"/>
                <w:noProof/>
                <w:sz w:val="24"/>
              </w:rPr>
              <w:t>24,30</w:t>
            </w:r>
          </w:p>
        </w:tc>
        <w:tc>
          <w:tcPr>
            <w:tcW w:w="1296" w:type="dxa"/>
            <w:tcBorders>
              <w:top w:val="nil"/>
              <w:left w:val="nil"/>
              <w:bottom w:val="single" w:sz="4" w:space="0" w:color="auto"/>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0</w:t>
            </w:r>
          </w:p>
        </w:tc>
        <w:tc>
          <w:tcPr>
            <w:tcW w:w="1469" w:type="dxa"/>
            <w:tcBorders>
              <w:top w:val="nil"/>
              <w:left w:val="nil"/>
              <w:bottom w:val="single" w:sz="4" w:space="0" w:color="auto"/>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24,3</w:t>
            </w:r>
          </w:p>
        </w:tc>
        <w:tc>
          <w:tcPr>
            <w:tcW w:w="1944" w:type="dxa"/>
            <w:tcBorders>
              <w:top w:val="nil"/>
              <w:left w:val="single" w:sz="4" w:space="0" w:color="auto"/>
              <w:bottom w:val="single" w:sz="4" w:space="0" w:color="auto"/>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12,3</w:t>
            </w:r>
          </w:p>
        </w:tc>
      </w:tr>
      <w:tr>
        <w:trPr>
          <w:trHeight w:val="58"/>
          <w:jc w:val="center"/>
        </w:trPr>
        <w:tc>
          <w:tcPr>
            <w:tcW w:w="1819" w:type="dxa"/>
            <w:tcBorders>
              <w:top w:val="single" w:sz="4" w:space="0" w:color="auto"/>
              <w:left w:val="single" w:sz="4" w:space="0" w:color="auto"/>
              <w:bottom w:val="single" w:sz="4" w:space="0" w:color="auto"/>
              <w:right w:val="nil"/>
            </w:tcBorders>
            <w:noWrap/>
            <w:vAlign w:val="bottom"/>
          </w:tcPr>
          <w:p>
            <w:pPr>
              <w:spacing w:after="240" w:line="240" w:lineRule="auto"/>
              <w:jc w:val="both"/>
              <w:rPr>
                <w:rFonts w:ascii="Times New Roman" w:hAnsi="Times New Roman"/>
                <w:b/>
                <w:noProof/>
                <w:sz w:val="24"/>
                <w:szCs w:val="24"/>
              </w:rPr>
            </w:pPr>
            <w:r>
              <w:rPr>
                <w:rFonts w:ascii="Times New Roman" w:hAnsi="Times New Roman"/>
                <w:b/>
                <w:noProof/>
                <w:sz w:val="24"/>
              </w:rPr>
              <w:t>Total</w:t>
            </w:r>
          </w:p>
        </w:tc>
        <w:tc>
          <w:tcPr>
            <w:tcW w:w="1190" w:type="dxa"/>
            <w:tcBorders>
              <w:top w:val="single" w:sz="4" w:space="0" w:color="auto"/>
              <w:left w:val="single" w:sz="4" w:space="0" w:color="auto"/>
              <w:bottom w:val="single" w:sz="4" w:space="0" w:color="auto"/>
              <w:right w:val="single" w:sz="4" w:space="0" w:color="auto"/>
            </w:tcBorders>
            <w:noWrap/>
            <w:vAlign w:val="bottom"/>
          </w:tcPr>
          <w:p>
            <w:pPr>
              <w:spacing w:after="240" w:line="240" w:lineRule="auto"/>
              <w:jc w:val="right"/>
              <w:rPr>
                <w:rFonts w:ascii="Times New Roman" w:hAnsi="Times New Roman"/>
                <w:b/>
                <w:noProof/>
                <w:sz w:val="24"/>
                <w:szCs w:val="24"/>
              </w:rPr>
            </w:pPr>
            <w:r>
              <w:rPr>
                <w:rFonts w:ascii="Times New Roman" w:hAnsi="Times New Roman"/>
                <w:b/>
                <w:noProof/>
                <w:sz w:val="24"/>
              </w:rPr>
              <w:t>55,66</w:t>
            </w:r>
          </w:p>
        </w:tc>
        <w:tc>
          <w:tcPr>
            <w:tcW w:w="1418" w:type="dxa"/>
            <w:tcBorders>
              <w:top w:val="single" w:sz="4" w:space="0" w:color="auto"/>
              <w:left w:val="nil"/>
              <w:bottom w:val="single" w:sz="4" w:space="0" w:color="auto"/>
              <w:right w:val="single" w:sz="4" w:space="0" w:color="auto"/>
            </w:tcBorders>
            <w:noWrap/>
            <w:vAlign w:val="bottom"/>
          </w:tcPr>
          <w:p>
            <w:pPr>
              <w:spacing w:after="240" w:line="240" w:lineRule="auto"/>
              <w:jc w:val="right"/>
              <w:rPr>
                <w:rFonts w:ascii="Times New Roman" w:hAnsi="Times New Roman"/>
                <w:b/>
                <w:noProof/>
                <w:sz w:val="24"/>
                <w:szCs w:val="24"/>
              </w:rPr>
            </w:pPr>
            <w:r>
              <w:rPr>
                <w:rFonts w:ascii="Times New Roman" w:hAnsi="Times New Roman"/>
                <w:b/>
                <w:noProof/>
                <w:sz w:val="24"/>
              </w:rPr>
              <w:t>53,96</w:t>
            </w:r>
          </w:p>
        </w:tc>
        <w:tc>
          <w:tcPr>
            <w:tcW w:w="1296" w:type="dxa"/>
            <w:tcBorders>
              <w:top w:val="single" w:sz="4" w:space="0" w:color="auto"/>
              <w:left w:val="nil"/>
              <w:bottom w:val="single" w:sz="4" w:space="0" w:color="auto"/>
              <w:right w:val="single" w:sz="4" w:space="0" w:color="auto"/>
            </w:tcBorders>
          </w:tcPr>
          <w:p>
            <w:pPr>
              <w:spacing w:after="240" w:line="240" w:lineRule="auto"/>
              <w:jc w:val="right"/>
              <w:rPr>
                <w:rFonts w:ascii="Times New Roman" w:hAnsi="Times New Roman"/>
                <w:b/>
                <w:noProof/>
                <w:sz w:val="24"/>
                <w:szCs w:val="24"/>
              </w:rPr>
            </w:pPr>
            <w:r>
              <w:rPr>
                <w:rFonts w:ascii="Times New Roman" w:hAnsi="Times New Roman"/>
                <w:b/>
                <w:noProof/>
                <w:sz w:val="24"/>
              </w:rPr>
              <w:t>7,16</w:t>
            </w:r>
          </w:p>
        </w:tc>
        <w:tc>
          <w:tcPr>
            <w:tcW w:w="1469" w:type="dxa"/>
            <w:tcBorders>
              <w:top w:val="single" w:sz="4" w:space="0" w:color="auto"/>
              <w:left w:val="nil"/>
              <w:bottom w:val="single" w:sz="4" w:space="0" w:color="auto"/>
              <w:right w:val="single" w:sz="4" w:space="0" w:color="auto"/>
            </w:tcBorders>
          </w:tcPr>
          <w:p>
            <w:pPr>
              <w:spacing w:after="240" w:line="240" w:lineRule="auto"/>
              <w:jc w:val="right"/>
              <w:rPr>
                <w:rFonts w:ascii="Times New Roman" w:hAnsi="Times New Roman"/>
                <w:b/>
                <w:noProof/>
                <w:sz w:val="24"/>
                <w:szCs w:val="24"/>
              </w:rPr>
            </w:pPr>
            <w:r>
              <w:rPr>
                <w:rFonts w:ascii="Times New Roman" w:hAnsi="Times New Roman"/>
                <w:b/>
                <w:noProof/>
                <w:sz w:val="24"/>
              </w:rPr>
              <w:t>46,8</w:t>
            </w:r>
          </w:p>
        </w:tc>
        <w:tc>
          <w:tcPr>
            <w:tcW w:w="1944" w:type="dxa"/>
            <w:tcBorders>
              <w:top w:val="single" w:sz="4" w:space="0" w:color="auto"/>
              <w:left w:val="single" w:sz="4" w:space="0" w:color="auto"/>
              <w:bottom w:val="single" w:sz="4" w:space="0" w:color="auto"/>
              <w:right w:val="single" w:sz="4" w:space="0" w:color="auto"/>
            </w:tcBorders>
          </w:tcPr>
          <w:p>
            <w:pPr>
              <w:spacing w:after="240" w:line="240" w:lineRule="auto"/>
              <w:jc w:val="right"/>
              <w:rPr>
                <w:rFonts w:ascii="Times New Roman" w:hAnsi="Times New Roman"/>
                <w:b/>
                <w:noProof/>
                <w:sz w:val="24"/>
                <w:szCs w:val="24"/>
              </w:rPr>
            </w:pPr>
            <w:r>
              <w:rPr>
                <w:rFonts w:ascii="Times New Roman" w:hAnsi="Times New Roman"/>
                <w:b/>
                <w:noProof/>
                <w:sz w:val="24"/>
              </w:rPr>
              <w:t>13,8</w:t>
            </w:r>
          </w:p>
        </w:tc>
      </w:tr>
    </w:tbl>
    <w:p>
      <w:pPr>
        <w:spacing w:after="120" w:line="240" w:lineRule="auto"/>
        <w:jc w:val="both"/>
        <w:rPr>
          <w:rFonts w:ascii="Times New Roman" w:hAnsi="Times New Roman"/>
          <w:noProof/>
          <w:sz w:val="24"/>
          <w:szCs w:val="24"/>
        </w:rPr>
      </w:pPr>
    </w:p>
    <w:p>
      <w:pPr>
        <w:pStyle w:val="ManualHeading2"/>
        <w:spacing w:before="240" w:after="240"/>
        <w:ind w:left="851" w:hanging="851"/>
        <w:rPr>
          <w:noProof/>
        </w:rPr>
      </w:pPr>
      <w:bookmarkStart w:id="53" w:name="_Toc325641141"/>
      <w:bookmarkStart w:id="54" w:name="_Toc330157543"/>
      <w:bookmarkStart w:id="55" w:name="_Toc361393255"/>
      <w:bookmarkStart w:id="56" w:name="_Toc388883943"/>
      <w:bookmarkStart w:id="57" w:name="_Toc393808495"/>
      <w:bookmarkStart w:id="58" w:name="_Toc451257931"/>
      <w:bookmarkStart w:id="59" w:name="_Toc452129249"/>
      <w:r>
        <w:rPr>
          <w:noProof/>
        </w:rPr>
        <w:t>2.3.</w:t>
      </w:r>
      <w:r>
        <w:rPr>
          <w:noProof/>
        </w:rPr>
        <w:tab/>
      </w:r>
      <w:bookmarkEnd w:id="53"/>
      <w:bookmarkEnd w:id="54"/>
      <w:bookmarkEnd w:id="55"/>
      <w:bookmarkEnd w:id="56"/>
      <w:bookmarkEnd w:id="57"/>
      <w:r>
        <w:rPr>
          <w:noProof/>
        </w:rPr>
        <w:t>Assistance macrofinancière</w:t>
      </w:r>
      <w:bookmarkEnd w:id="58"/>
      <w:bookmarkEnd w:id="59"/>
    </w:p>
    <w:p>
      <w:pPr>
        <w:spacing w:after="120" w:line="240" w:lineRule="auto"/>
        <w:jc w:val="both"/>
        <w:rPr>
          <w:rFonts w:ascii="Times New Roman" w:hAnsi="Times New Roman"/>
          <w:noProof/>
          <w:sz w:val="24"/>
          <w:szCs w:val="24"/>
        </w:rPr>
      </w:pPr>
      <w:r>
        <w:rPr>
          <w:rFonts w:ascii="Times New Roman" w:hAnsi="Times New Roman"/>
          <w:noProof/>
          <w:sz w:val="24"/>
        </w:rPr>
        <w:t>L’assistance macrofinancière (AMF) est conçue pour répondre à des besoins exceptionnels de financement extérieur des pays qui sont politiquement, économiquement et géographiquement proches de l’UE. Son objectif est de restaurer la stabilité macroéconomique et financière dans les pays candidats et candidats potentiels à l’UE et dans les pays voisins (et, dans des circonstances exceptionnelles, d’autres pays tiers), tout en encourageant la mise en œuvre de réformes macroéconomiques et structurelles. L'AMF est fournie à titre exceptionnel et temporaire sur la base de conditions strictes de politique économique; elle est mobilisée par tranches. L’AMF est subordonnée à l’existence de programmes d’ajustement du FMI, qu'elle doit compléter. Elle peut prendre la forme de prêts et/ou, dans certains cas, de subventions non remboursables</w:t>
      </w:r>
      <w:r>
        <w:rPr>
          <w:rStyle w:val="FootnoteReference"/>
          <w:rFonts w:ascii="Times New Roman" w:hAnsi="Times New Roman"/>
          <w:noProof/>
          <w:sz w:val="24"/>
        </w:rPr>
        <w:footnoteReference w:id="11"/>
      </w:r>
      <w:r>
        <w:rPr>
          <w:rFonts w:ascii="Times New Roman" w:hAnsi="Times New Roman"/>
          <w:noProof/>
          <w:sz w:val="24"/>
        </w:rPr>
        <w:t>.</w:t>
      </w:r>
    </w:p>
    <w:p>
      <w:pPr>
        <w:spacing w:after="120" w:line="240" w:lineRule="auto"/>
        <w:jc w:val="both"/>
        <w:rPr>
          <w:rFonts w:ascii="Times New Roman" w:hAnsi="Times New Roman"/>
          <w:noProof/>
          <w:sz w:val="24"/>
          <w:szCs w:val="24"/>
        </w:rPr>
      </w:pPr>
      <w:r>
        <w:rPr>
          <w:rFonts w:ascii="Times New Roman" w:hAnsi="Times New Roman"/>
          <w:noProof/>
          <w:sz w:val="24"/>
        </w:rPr>
        <w:t>Si un pays bénéficiaire manque à ses obligations de remboursement, la Commission pourra recourir au Fonds de garantie relatif aux actions extérieures</w:t>
      </w:r>
      <w:r>
        <w:rPr>
          <w:rStyle w:val="FootnoteReference"/>
          <w:rFonts w:ascii="Times New Roman" w:hAnsi="Times New Roman"/>
          <w:noProof/>
          <w:sz w:val="24"/>
        </w:rPr>
        <w:footnoteReference w:id="12"/>
      </w:r>
      <w:r>
        <w:rPr>
          <w:rFonts w:ascii="Times New Roman" w:hAnsi="Times New Roman"/>
          <w:noProof/>
          <w:sz w:val="24"/>
        </w:rPr>
        <w:t xml:space="preserve"> pour rembourser l'emprunt correspondant</w:t>
      </w:r>
      <w:r>
        <w:rPr>
          <w:rStyle w:val="FootnoteReference"/>
          <w:rFonts w:ascii="Times New Roman" w:hAnsi="Times New Roman"/>
          <w:noProof/>
          <w:sz w:val="24"/>
        </w:rPr>
        <w:footnoteReference w:id="13"/>
      </w:r>
      <w:r>
        <w:rPr>
          <w:rFonts w:ascii="Times New Roman" w:hAnsi="Times New Roman"/>
          <w:noProof/>
          <w:sz w:val="24"/>
        </w:rPr>
        <w:t>.</w:t>
      </w:r>
    </w:p>
    <w:p>
      <w:pPr>
        <w:spacing w:after="120" w:line="240" w:lineRule="auto"/>
        <w:jc w:val="both"/>
        <w:rPr>
          <w:rFonts w:ascii="Times New Roman" w:hAnsi="Times New Roman"/>
          <w:noProof/>
          <w:sz w:val="24"/>
          <w:szCs w:val="24"/>
        </w:rPr>
      </w:pPr>
      <w:r>
        <w:rPr>
          <w:rFonts w:ascii="Times New Roman" w:hAnsi="Times New Roman"/>
          <w:noProof/>
          <w:sz w:val="24"/>
        </w:rPr>
        <w:t>En janvier 2015, la Commission a proposé un troisième programme d'AMF en faveur de l'</w:t>
      </w:r>
      <w:r>
        <w:rPr>
          <w:rFonts w:ascii="Times New Roman" w:hAnsi="Times New Roman"/>
          <w:b/>
          <w:noProof/>
          <w:sz w:val="24"/>
        </w:rPr>
        <w:t>Ukraine</w:t>
      </w:r>
      <w:r>
        <w:rPr>
          <w:rFonts w:ascii="Times New Roman" w:hAnsi="Times New Roman"/>
          <w:noProof/>
          <w:sz w:val="24"/>
        </w:rPr>
        <w:t xml:space="preserve"> d'un montant maximal de 1,8 milliard d'EUR sous forme de prêts, adopté par le Parlement et le Conseil le 15 avril 2015</w:t>
      </w:r>
      <w:r>
        <w:rPr>
          <w:rStyle w:val="FootnoteReference"/>
          <w:rFonts w:ascii="Times New Roman" w:hAnsi="Times New Roman"/>
          <w:noProof/>
          <w:sz w:val="24"/>
        </w:rPr>
        <w:footnoteReference w:id="14"/>
      </w:r>
      <w:r>
        <w:rPr>
          <w:rFonts w:ascii="Times New Roman" w:hAnsi="Times New Roman"/>
          <w:noProof/>
          <w:sz w:val="24"/>
        </w:rPr>
        <w:t>. La convention de prêt correspondante a été signée le 22 mai 2015. Au total, ces trois opérations en faveur de l'Ukraine, une fois intégralement versées, représenteraient 3,41 milliards d’EUR, ce qui constitue l'assistance financière la plus importante jamais accordée par l'UE à un pays tiers sur une période si courte. La première tranche (600 millions d’EUR) du troisième programme d'AMF en faveur de l’Ukraine a été versée en juillet 2015. Le versement de la deuxième tranche (600 millions d’EUR également), initialement prévu pour 2015, a été retardé, ce qui reflète la lenteur des progrès concernant un certain nombre de mesures de réforme.</w:t>
      </w:r>
    </w:p>
    <w:p>
      <w:pPr>
        <w:spacing w:after="120" w:line="240" w:lineRule="auto"/>
        <w:jc w:val="both"/>
        <w:rPr>
          <w:rFonts w:ascii="Times New Roman" w:hAnsi="Times New Roman"/>
          <w:noProof/>
          <w:sz w:val="24"/>
          <w:szCs w:val="24"/>
        </w:rPr>
      </w:pPr>
      <w:r>
        <w:rPr>
          <w:rFonts w:ascii="Times New Roman" w:hAnsi="Times New Roman"/>
          <w:noProof/>
          <w:sz w:val="24"/>
        </w:rPr>
        <w:t>La dernière tranche (250 millions d’EUR) du premier programme d’AMF en faveur de l’Ukraine, qui se fonde sur les décisions de 2002</w:t>
      </w:r>
      <w:r>
        <w:rPr>
          <w:rFonts w:ascii="Times New Roman" w:hAnsi="Times New Roman"/>
          <w:noProof/>
          <w:sz w:val="24"/>
          <w:vertAlign w:val="superscript"/>
        </w:rPr>
        <w:footnoteReference w:id="15"/>
      </w:r>
      <w:r>
        <w:rPr>
          <w:rFonts w:ascii="Times New Roman" w:hAnsi="Times New Roman"/>
          <w:noProof/>
          <w:sz w:val="24"/>
        </w:rPr>
        <w:t xml:space="preserve"> et de 2010</w:t>
      </w:r>
      <w:r>
        <w:rPr>
          <w:rFonts w:ascii="Times New Roman" w:hAnsi="Times New Roman"/>
          <w:noProof/>
          <w:sz w:val="24"/>
          <w:vertAlign w:val="superscript"/>
        </w:rPr>
        <w:footnoteReference w:id="16"/>
      </w:r>
      <w:r>
        <w:rPr>
          <w:rFonts w:ascii="Times New Roman" w:hAnsi="Times New Roman"/>
          <w:noProof/>
          <w:sz w:val="24"/>
        </w:rPr>
        <w:t>, a été versée en avril 2015.</w:t>
      </w:r>
    </w:p>
    <w:p>
      <w:pPr>
        <w:spacing w:after="120" w:line="240" w:lineRule="auto"/>
        <w:jc w:val="both"/>
        <w:rPr>
          <w:rFonts w:ascii="Times New Roman" w:hAnsi="Times New Roman"/>
          <w:noProof/>
          <w:sz w:val="24"/>
          <w:szCs w:val="24"/>
        </w:rPr>
      </w:pPr>
      <w:r>
        <w:rPr>
          <w:rFonts w:ascii="Times New Roman" w:hAnsi="Times New Roman"/>
          <w:noProof/>
          <w:sz w:val="24"/>
        </w:rPr>
        <w:t xml:space="preserve">Le 15 mai 2014, le Parlement européen et le Conseil ont décidé de mettre à la disposition de la </w:t>
      </w:r>
      <w:r>
        <w:rPr>
          <w:rFonts w:ascii="Times New Roman" w:hAnsi="Times New Roman"/>
          <w:b/>
          <w:noProof/>
          <w:sz w:val="24"/>
        </w:rPr>
        <w:t>Tunisie</w:t>
      </w:r>
      <w:r>
        <w:rPr>
          <w:rFonts w:ascii="Times New Roman" w:hAnsi="Times New Roman"/>
          <w:noProof/>
          <w:sz w:val="24"/>
        </w:rPr>
        <w:t xml:space="preserve"> une AMF d’un montant maximal de 300 millions d’EUR exclusivement sous forme de prêts d'une durée maximale de 15 ans</w:t>
      </w:r>
      <w:r>
        <w:rPr>
          <w:rStyle w:val="FootnoteReference"/>
          <w:rFonts w:ascii="Times New Roman" w:hAnsi="Times New Roman"/>
          <w:noProof/>
          <w:sz w:val="24"/>
        </w:rPr>
        <w:footnoteReference w:id="17"/>
      </w:r>
      <w:r>
        <w:rPr>
          <w:rFonts w:ascii="Times New Roman" w:hAnsi="Times New Roman"/>
          <w:noProof/>
          <w:sz w:val="24"/>
        </w:rPr>
        <w:t>. La première tranche (100 millions d’EUR) a été versée en mai 2015 et la deuxième (100 millions d’EUR), en décembre 2015.</w:t>
      </w:r>
    </w:p>
    <w:p>
      <w:pPr>
        <w:spacing w:after="120" w:line="240" w:lineRule="auto"/>
        <w:jc w:val="both"/>
        <w:rPr>
          <w:rFonts w:ascii="Times New Roman" w:hAnsi="Times New Roman"/>
          <w:noProof/>
          <w:sz w:val="24"/>
          <w:szCs w:val="24"/>
        </w:rPr>
      </w:pPr>
      <w:r>
        <w:rPr>
          <w:rFonts w:ascii="Times New Roman" w:hAnsi="Times New Roman"/>
          <w:noProof/>
          <w:sz w:val="24"/>
        </w:rPr>
        <w:t xml:space="preserve">Le 11 décembre 2013, le Parlement européen et le Conseil ont décidé de mettre à la disposition de la </w:t>
      </w:r>
      <w:r>
        <w:rPr>
          <w:rFonts w:ascii="Times New Roman" w:hAnsi="Times New Roman"/>
          <w:b/>
          <w:noProof/>
          <w:sz w:val="24"/>
        </w:rPr>
        <w:t>Jordanie</w:t>
      </w:r>
      <w:r>
        <w:rPr>
          <w:rFonts w:ascii="Times New Roman" w:hAnsi="Times New Roman"/>
          <w:noProof/>
          <w:sz w:val="24"/>
        </w:rPr>
        <w:t xml:space="preserve"> une AMF d’un montant maximal de 180 millions</w:t>
      </w:r>
      <w:r>
        <w:rPr>
          <w:rStyle w:val="FootnoteReference"/>
          <w:rFonts w:ascii="Times New Roman" w:hAnsi="Times New Roman"/>
          <w:noProof/>
          <w:sz w:val="24"/>
        </w:rPr>
        <w:footnoteReference w:id="18"/>
      </w:r>
      <w:r>
        <w:rPr>
          <w:rFonts w:ascii="Times New Roman" w:hAnsi="Times New Roman"/>
          <w:noProof/>
          <w:sz w:val="24"/>
        </w:rPr>
        <w:t xml:space="preserve"> d’EUR sous forme de prêts. La première tranche (100 millions d’EUR) a été versée en février 2015 et la seconde (80 millions d’EUR), en octobre 2015.</w:t>
      </w:r>
    </w:p>
    <w:p>
      <w:pPr>
        <w:spacing w:after="120" w:line="240" w:lineRule="auto"/>
        <w:jc w:val="both"/>
        <w:rPr>
          <w:rFonts w:ascii="Times New Roman" w:hAnsi="Times New Roman"/>
          <w:noProof/>
          <w:sz w:val="24"/>
          <w:szCs w:val="24"/>
        </w:rPr>
      </w:pPr>
      <w:r>
        <w:rPr>
          <w:rFonts w:ascii="Times New Roman" w:hAnsi="Times New Roman"/>
          <w:noProof/>
          <w:sz w:val="24"/>
        </w:rPr>
        <w:t xml:space="preserve">Le 12 août 2013, le Parlement européen et le Conseil ont décidé de mettre à la disposition de la </w:t>
      </w:r>
      <w:r>
        <w:rPr>
          <w:rFonts w:ascii="Times New Roman" w:hAnsi="Times New Roman"/>
          <w:b/>
          <w:noProof/>
          <w:sz w:val="24"/>
        </w:rPr>
        <w:t>Géorgie</w:t>
      </w:r>
      <w:r>
        <w:rPr>
          <w:rFonts w:ascii="Times New Roman" w:hAnsi="Times New Roman"/>
          <w:noProof/>
          <w:sz w:val="24"/>
        </w:rPr>
        <w:t xml:space="preserve"> une AMF d’un montant maximal de 46 millions d’EUR (jusqu’à 23 millions d’EUR sous forme de subventions et jusqu'à 23  millions d’EUR sous forme de prêts</w:t>
      </w:r>
      <w:r>
        <w:rPr>
          <w:rStyle w:val="FootnoteReference"/>
          <w:rFonts w:ascii="Times New Roman" w:hAnsi="Times New Roman"/>
          <w:noProof/>
          <w:sz w:val="24"/>
        </w:rPr>
        <w:footnoteReference w:id="19"/>
      </w:r>
      <w:r>
        <w:rPr>
          <w:rFonts w:ascii="Times New Roman" w:hAnsi="Times New Roman"/>
          <w:noProof/>
          <w:sz w:val="24"/>
        </w:rPr>
        <w:t>). Le volet «subventions» de la première tranche (13 millions d'EUR) a été décaissé en janvier 2015 et le volet «prêts» (10 millions d'EUR), en avril 2015. Le versement des volets «subventions» et «prêts» de la deuxième tranche, prévu pour le second semestre de 2015, a été reporté à 2016 à la suite du report du deuxième réexamen du programme du FMI.</w:t>
      </w:r>
    </w:p>
    <w:p>
      <w:pPr>
        <w:spacing w:after="120" w:line="240" w:lineRule="auto"/>
        <w:jc w:val="both"/>
        <w:rPr>
          <w:rFonts w:ascii="Times New Roman" w:hAnsi="Times New Roman"/>
          <w:noProof/>
          <w:sz w:val="24"/>
          <w:szCs w:val="24"/>
        </w:rPr>
      </w:pPr>
      <w:r>
        <w:rPr>
          <w:rFonts w:ascii="Times New Roman" w:hAnsi="Times New Roman"/>
          <w:noProof/>
          <w:sz w:val="24"/>
        </w:rPr>
        <w:t xml:space="preserve">Le 22 octobre 2013, le Parlement européen et le Conseil ont décidé de mettre à la disposition de la </w:t>
      </w:r>
      <w:r>
        <w:rPr>
          <w:rFonts w:ascii="Times New Roman" w:hAnsi="Times New Roman"/>
          <w:b/>
          <w:noProof/>
          <w:sz w:val="24"/>
        </w:rPr>
        <w:t>République kirghize</w:t>
      </w:r>
      <w:r>
        <w:rPr>
          <w:rFonts w:ascii="Times New Roman" w:hAnsi="Times New Roman"/>
          <w:noProof/>
          <w:sz w:val="24"/>
        </w:rPr>
        <w:t xml:space="preserve"> une AMF d’un montant maximal de 30 millions d’EUR (jusqu’à 15 millions d’EUR sous forme de subventions et jusqu'à 15 millions d’EUR sous forme de prêts</w:t>
      </w:r>
      <w:r>
        <w:rPr>
          <w:rStyle w:val="FootnoteReference"/>
          <w:rFonts w:ascii="Times New Roman" w:hAnsi="Times New Roman"/>
          <w:noProof/>
          <w:sz w:val="24"/>
        </w:rPr>
        <w:footnoteReference w:id="20"/>
      </w:r>
      <w:r>
        <w:rPr>
          <w:rFonts w:ascii="Times New Roman" w:hAnsi="Times New Roman"/>
          <w:noProof/>
          <w:sz w:val="24"/>
        </w:rPr>
        <w:t>). Le volet «subventions» de la première tranche (10 millions d'EUR) a été décaissé en juin 2015 et le volet «prêts» (5 millions d'EUR), en octobre 2015.</w:t>
      </w:r>
    </w:p>
    <w:p>
      <w:pPr>
        <w:spacing w:after="240" w:line="240" w:lineRule="auto"/>
        <w:jc w:val="both"/>
        <w:rPr>
          <w:rFonts w:ascii="Times New Roman" w:hAnsi="Times New Roman"/>
          <w:noProof/>
          <w:sz w:val="24"/>
          <w:szCs w:val="24"/>
          <w:highlight w:val="yellow"/>
          <w:u w:val="single"/>
        </w:rPr>
      </w:pPr>
      <w:r>
        <w:rPr>
          <w:rFonts w:ascii="Times New Roman" w:hAnsi="Times New Roman"/>
          <w:noProof/>
          <w:sz w:val="24"/>
        </w:rPr>
        <w:t>Si on compte les décaissements de prêts en 2015 (1 245 millions d’EUR), l’encours total des prêts AMF au 31 décembre 2015 s’élève à 3 milliards d’EUR (voir le tableau ci-dessous).</w:t>
      </w:r>
    </w:p>
    <w:p>
      <w:pPr>
        <w:spacing w:after="240" w:line="240" w:lineRule="auto"/>
        <w:jc w:val="both"/>
        <w:rPr>
          <w:rFonts w:ascii="Times New Roman" w:hAnsi="Times New Roman"/>
          <w:noProof/>
          <w:sz w:val="24"/>
          <w:szCs w:val="24"/>
        </w:rPr>
      </w:pPr>
      <w:r>
        <w:rPr>
          <w:rFonts w:ascii="Times New Roman" w:hAnsi="Times New Roman"/>
          <w:noProof/>
          <w:sz w:val="24"/>
          <w:u w:val="single"/>
        </w:rPr>
        <w:t>Tableau 4: Prêts AMF au 31.12.2015 (montants de capital en millions d’EUR)</w:t>
      </w:r>
      <w:r>
        <w:rPr>
          <w:rFonts w:ascii="Times New Roman" w:hAnsi="Times New Roman"/>
          <w:noProof/>
          <w:sz w:val="24"/>
        </w:rPr>
        <w:t> </w:t>
      </w:r>
    </w:p>
    <w:tbl>
      <w:tblPr>
        <w:tblW w:w="9322" w:type="dxa"/>
        <w:tblLayout w:type="fixed"/>
        <w:tblLook w:val="0000" w:firstRow="0" w:lastRow="0" w:firstColumn="0" w:lastColumn="0" w:noHBand="0" w:noVBand="0"/>
      </w:tblPr>
      <w:tblGrid>
        <w:gridCol w:w="2235"/>
        <w:gridCol w:w="1701"/>
        <w:gridCol w:w="1559"/>
        <w:gridCol w:w="2268"/>
        <w:gridCol w:w="1559"/>
      </w:tblGrid>
      <w:tr>
        <w:trPr>
          <w:trHeight w:val="948"/>
        </w:trPr>
        <w:tc>
          <w:tcPr>
            <w:tcW w:w="2235" w:type="dxa"/>
            <w:tcBorders>
              <w:top w:val="single" w:sz="4" w:space="0" w:color="auto"/>
              <w:left w:val="single" w:sz="4" w:space="0" w:color="auto"/>
              <w:bottom w:val="single" w:sz="4" w:space="0" w:color="auto"/>
              <w:right w:val="single" w:sz="4" w:space="0" w:color="auto"/>
            </w:tcBorders>
            <w:noWrap/>
            <w:vAlign w:val="center"/>
          </w:tcPr>
          <w:p>
            <w:pPr>
              <w:spacing w:after="240" w:line="240" w:lineRule="auto"/>
              <w:jc w:val="center"/>
              <w:rPr>
                <w:rFonts w:ascii="Times New Roman" w:hAnsi="Times New Roman"/>
                <w:noProof/>
                <w:sz w:val="24"/>
                <w:szCs w:val="24"/>
              </w:rPr>
            </w:pPr>
            <w:r>
              <w:rPr>
                <w:rFonts w:ascii="Times New Roman" w:hAnsi="Times New Roman"/>
                <w:noProof/>
                <w:sz w:val="24"/>
              </w:rPr>
              <w:t>Pays</w:t>
            </w:r>
          </w:p>
        </w:tc>
        <w:tc>
          <w:tcPr>
            <w:tcW w:w="1701" w:type="dxa"/>
            <w:tcBorders>
              <w:top w:val="single" w:sz="4" w:space="0" w:color="auto"/>
              <w:left w:val="single" w:sz="4" w:space="0" w:color="auto"/>
              <w:bottom w:val="single" w:sz="4" w:space="0" w:color="auto"/>
              <w:right w:val="single" w:sz="4" w:space="0" w:color="auto"/>
            </w:tcBorders>
            <w:noWrap/>
            <w:vAlign w:val="center"/>
          </w:tcPr>
          <w:p>
            <w:pPr>
              <w:spacing w:after="240" w:line="240" w:lineRule="auto"/>
              <w:jc w:val="center"/>
              <w:rPr>
                <w:rFonts w:ascii="Times New Roman" w:hAnsi="Times New Roman"/>
                <w:noProof/>
                <w:sz w:val="24"/>
                <w:szCs w:val="24"/>
              </w:rPr>
            </w:pPr>
            <w:r>
              <w:rPr>
                <w:rFonts w:ascii="Times New Roman" w:hAnsi="Times New Roman"/>
                <w:noProof/>
                <w:sz w:val="24"/>
              </w:rPr>
              <w:t>Montant décaissé en 2015</w:t>
            </w:r>
          </w:p>
        </w:tc>
        <w:tc>
          <w:tcPr>
            <w:tcW w:w="1559" w:type="dxa"/>
            <w:tcBorders>
              <w:top w:val="single" w:sz="4" w:space="0" w:color="auto"/>
              <w:left w:val="single" w:sz="4" w:space="0" w:color="auto"/>
              <w:bottom w:val="single" w:sz="4" w:space="0" w:color="auto"/>
              <w:right w:val="single" w:sz="4" w:space="0" w:color="auto"/>
            </w:tcBorders>
            <w:vAlign w:val="center"/>
          </w:tcPr>
          <w:p>
            <w:pPr>
              <w:spacing w:after="240" w:line="240" w:lineRule="auto"/>
              <w:jc w:val="center"/>
              <w:rPr>
                <w:rFonts w:ascii="Times New Roman" w:hAnsi="Times New Roman"/>
                <w:noProof/>
                <w:sz w:val="24"/>
                <w:szCs w:val="24"/>
              </w:rPr>
            </w:pPr>
            <w:r>
              <w:rPr>
                <w:rFonts w:ascii="Times New Roman" w:hAnsi="Times New Roman"/>
                <w:noProof/>
                <w:sz w:val="24"/>
              </w:rPr>
              <w:t>Montant remboursé en 2015</w:t>
            </w:r>
          </w:p>
        </w:tc>
        <w:tc>
          <w:tcPr>
            <w:tcW w:w="2268" w:type="dxa"/>
            <w:tcBorders>
              <w:top w:val="single" w:sz="4" w:space="0" w:color="auto"/>
              <w:left w:val="single" w:sz="4" w:space="0" w:color="auto"/>
              <w:bottom w:val="single" w:sz="4" w:space="0" w:color="auto"/>
              <w:right w:val="single" w:sz="4" w:space="0" w:color="auto"/>
            </w:tcBorders>
            <w:vAlign w:val="center"/>
          </w:tcPr>
          <w:p>
            <w:pPr>
              <w:spacing w:after="240" w:line="240" w:lineRule="auto"/>
              <w:ind w:right="-228"/>
              <w:jc w:val="center"/>
              <w:rPr>
                <w:rFonts w:ascii="Times New Roman" w:hAnsi="Times New Roman"/>
                <w:noProof/>
                <w:sz w:val="24"/>
                <w:szCs w:val="24"/>
              </w:rPr>
            </w:pPr>
            <w:r>
              <w:rPr>
                <w:rFonts w:ascii="Times New Roman" w:hAnsi="Times New Roman"/>
                <w:noProof/>
                <w:sz w:val="24"/>
              </w:rPr>
              <w:t>Capital restant dû au 31.12.2015</w:t>
            </w:r>
          </w:p>
        </w:tc>
        <w:tc>
          <w:tcPr>
            <w:tcW w:w="1559" w:type="dxa"/>
            <w:tcBorders>
              <w:top w:val="single" w:sz="4" w:space="0" w:color="auto"/>
              <w:left w:val="single" w:sz="4" w:space="0" w:color="auto"/>
              <w:bottom w:val="single" w:sz="4" w:space="0" w:color="auto"/>
              <w:right w:val="single" w:sz="4" w:space="0" w:color="auto"/>
            </w:tcBorders>
            <w:vAlign w:val="center"/>
          </w:tcPr>
          <w:p>
            <w:pPr>
              <w:spacing w:after="240" w:line="240" w:lineRule="auto"/>
              <w:ind w:right="-228"/>
              <w:jc w:val="center"/>
              <w:rPr>
                <w:rFonts w:ascii="Times New Roman" w:hAnsi="Times New Roman"/>
                <w:noProof/>
                <w:sz w:val="24"/>
                <w:szCs w:val="24"/>
              </w:rPr>
            </w:pPr>
            <w:r>
              <w:rPr>
                <w:rFonts w:ascii="Times New Roman" w:hAnsi="Times New Roman"/>
                <w:noProof/>
                <w:sz w:val="24"/>
              </w:rPr>
              <w:t>Montant à décaisser</w:t>
            </w:r>
          </w:p>
        </w:tc>
      </w:tr>
      <w:tr>
        <w:trPr>
          <w:trHeight w:val="309"/>
        </w:trPr>
        <w:tc>
          <w:tcPr>
            <w:tcW w:w="2235" w:type="dxa"/>
            <w:tcBorders>
              <w:top w:val="single" w:sz="4" w:space="0" w:color="auto"/>
              <w:left w:val="single" w:sz="4" w:space="0" w:color="auto"/>
              <w:right w:val="single" w:sz="4" w:space="0" w:color="auto"/>
            </w:tcBorders>
            <w:noWrap/>
            <w:vAlign w:val="center"/>
          </w:tcPr>
          <w:p>
            <w:pPr>
              <w:spacing w:after="240" w:line="240" w:lineRule="auto"/>
              <w:jc w:val="both"/>
              <w:rPr>
                <w:rFonts w:ascii="Times New Roman" w:hAnsi="Times New Roman"/>
                <w:bCs/>
                <w:noProof/>
                <w:sz w:val="24"/>
                <w:szCs w:val="24"/>
              </w:rPr>
            </w:pPr>
            <w:r>
              <w:rPr>
                <w:rFonts w:ascii="Times New Roman" w:hAnsi="Times New Roman"/>
                <w:noProof/>
                <w:sz w:val="24"/>
              </w:rPr>
              <w:t>Albanie</w:t>
            </w:r>
          </w:p>
        </w:tc>
        <w:tc>
          <w:tcPr>
            <w:tcW w:w="1701" w:type="dxa"/>
            <w:tcBorders>
              <w:top w:val="single" w:sz="4" w:space="0" w:color="auto"/>
              <w:left w:val="nil"/>
              <w:right w:val="single" w:sz="4" w:space="0" w:color="auto"/>
            </w:tcBorders>
            <w:noWrap/>
            <w:vAlign w:val="center"/>
          </w:tcPr>
          <w:p>
            <w:pPr>
              <w:spacing w:after="240" w:line="240" w:lineRule="auto"/>
              <w:jc w:val="right"/>
              <w:rPr>
                <w:rFonts w:ascii="Times New Roman" w:hAnsi="Times New Roman"/>
                <w:noProof/>
                <w:sz w:val="24"/>
                <w:szCs w:val="24"/>
              </w:rPr>
            </w:pPr>
            <w:r>
              <w:rPr>
                <w:rFonts w:ascii="Times New Roman" w:hAnsi="Times New Roman"/>
                <w:noProof/>
                <w:sz w:val="24"/>
              </w:rPr>
              <w:t>0</w:t>
            </w:r>
          </w:p>
        </w:tc>
        <w:tc>
          <w:tcPr>
            <w:tcW w:w="1559" w:type="dxa"/>
            <w:tcBorders>
              <w:top w:val="single" w:sz="4" w:space="0" w:color="auto"/>
              <w:left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0</w:t>
            </w:r>
          </w:p>
        </w:tc>
        <w:tc>
          <w:tcPr>
            <w:tcW w:w="2268" w:type="dxa"/>
            <w:tcBorders>
              <w:top w:val="single" w:sz="4" w:space="0" w:color="auto"/>
              <w:left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9</w:t>
            </w:r>
          </w:p>
        </w:tc>
        <w:tc>
          <w:tcPr>
            <w:tcW w:w="1559" w:type="dxa"/>
            <w:tcBorders>
              <w:top w:val="single" w:sz="4" w:space="0" w:color="auto"/>
              <w:left w:val="single" w:sz="4" w:space="0" w:color="auto"/>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0</w:t>
            </w:r>
          </w:p>
        </w:tc>
      </w:tr>
      <w:tr>
        <w:trPr>
          <w:trHeight w:val="309"/>
        </w:trPr>
        <w:tc>
          <w:tcPr>
            <w:tcW w:w="2235" w:type="dxa"/>
            <w:tcBorders>
              <w:top w:val="nil"/>
              <w:left w:val="single" w:sz="4" w:space="0" w:color="auto"/>
              <w:right w:val="single" w:sz="4" w:space="0" w:color="auto"/>
            </w:tcBorders>
            <w:noWrap/>
            <w:vAlign w:val="center"/>
          </w:tcPr>
          <w:p>
            <w:pPr>
              <w:spacing w:after="240" w:line="240" w:lineRule="auto"/>
              <w:jc w:val="both"/>
              <w:rPr>
                <w:rFonts w:ascii="Times New Roman" w:hAnsi="Times New Roman"/>
                <w:bCs/>
                <w:noProof/>
                <w:sz w:val="24"/>
                <w:szCs w:val="24"/>
              </w:rPr>
            </w:pPr>
            <w:r>
              <w:rPr>
                <w:rFonts w:ascii="Times New Roman" w:hAnsi="Times New Roman"/>
                <w:noProof/>
                <w:sz w:val="24"/>
              </w:rPr>
              <w:t>Arménie</w:t>
            </w:r>
          </w:p>
        </w:tc>
        <w:tc>
          <w:tcPr>
            <w:tcW w:w="1701" w:type="dxa"/>
            <w:tcBorders>
              <w:top w:val="nil"/>
              <w:left w:val="nil"/>
              <w:right w:val="single" w:sz="4" w:space="0" w:color="auto"/>
            </w:tcBorders>
            <w:noWrap/>
            <w:vAlign w:val="center"/>
          </w:tcPr>
          <w:p>
            <w:pPr>
              <w:spacing w:after="240" w:line="240" w:lineRule="auto"/>
              <w:jc w:val="right"/>
              <w:rPr>
                <w:rFonts w:ascii="Times New Roman" w:hAnsi="Times New Roman"/>
                <w:noProof/>
                <w:sz w:val="24"/>
                <w:szCs w:val="24"/>
              </w:rPr>
            </w:pPr>
            <w:r>
              <w:rPr>
                <w:rFonts w:ascii="Times New Roman" w:hAnsi="Times New Roman"/>
                <w:noProof/>
                <w:sz w:val="24"/>
              </w:rPr>
              <w:t>0</w:t>
            </w:r>
          </w:p>
        </w:tc>
        <w:tc>
          <w:tcPr>
            <w:tcW w:w="1559" w:type="dxa"/>
            <w:tcBorders>
              <w:top w:val="nil"/>
              <w:left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0</w:t>
            </w:r>
          </w:p>
        </w:tc>
        <w:tc>
          <w:tcPr>
            <w:tcW w:w="2268" w:type="dxa"/>
            <w:tcBorders>
              <w:top w:val="nil"/>
              <w:left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65</w:t>
            </w:r>
          </w:p>
        </w:tc>
        <w:tc>
          <w:tcPr>
            <w:tcW w:w="1559" w:type="dxa"/>
            <w:tcBorders>
              <w:top w:val="nil"/>
              <w:left w:val="single" w:sz="4" w:space="0" w:color="auto"/>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0</w:t>
            </w:r>
          </w:p>
        </w:tc>
      </w:tr>
      <w:tr>
        <w:trPr>
          <w:trHeight w:val="309"/>
        </w:trPr>
        <w:tc>
          <w:tcPr>
            <w:tcW w:w="2235" w:type="dxa"/>
            <w:tcBorders>
              <w:top w:val="nil"/>
              <w:left w:val="single" w:sz="4" w:space="0" w:color="auto"/>
              <w:right w:val="single" w:sz="4" w:space="0" w:color="auto"/>
            </w:tcBorders>
            <w:noWrap/>
            <w:vAlign w:val="center"/>
          </w:tcPr>
          <w:p>
            <w:pPr>
              <w:spacing w:after="240" w:line="240" w:lineRule="auto"/>
              <w:jc w:val="both"/>
              <w:rPr>
                <w:rFonts w:ascii="Times New Roman" w:hAnsi="Times New Roman"/>
                <w:bCs/>
                <w:noProof/>
                <w:sz w:val="24"/>
                <w:szCs w:val="24"/>
              </w:rPr>
            </w:pPr>
            <w:r>
              <w:rPr>
                <w:rFonts w:ascii="Times New Roman" w:hAnsi="Times New Roman"/>
                <w:noProof/>
                <w:sz w:val="24"/>
              </w:rPr>
              <w:t>Bosnie-Herzégovine</w:t>
            </w:r>
          </w:p>
        </w:tc>
        <w:tc>
          <w:tcPr>
            <w:tcW w:w="1701" w:type="dxa"/>
            <w:tcBorders>
              <w:top w:val="nil"/>
              <w:left w:val="nil"/>
              <w:right w:val="single" w:sz="4" w:space="0" w:color="auto"/>
            </w:tcBorders>
            <w:noWrap/>
            <w:vAlign w:val="center"/>
          </w:tcPr>
          <w:p>
            <w:pPr>
              <w:spacing w:after="240" w:line="240" w:lineRule="auto"/>
              <w:jc w:val="right"/>
              <w:rPr>
                <w:rFonts w:ascii="Times New Roman" w:hAnsi="Times New Roman"/>
                <w:noProof/>
                <w:sz w:val="24"/>
                <w:szCs w:val="24"/>
              </w:rPr>
            </w:pPr>
            <w:r>
              <w:rPr>
                <w:rFonts w:ascii="Times New Roman" w:hAnsi="Times New Roman"/>
                <w:noProof/>
                <w:sz w:val="24"/>
              </w:rPr>
              <w:t>0</w:t>
            </w:r>
          </w:p>
        </w:tc>
        <w:tc>
          <w:tcPr>
            <w:tcW w:w="1559" w:type="dxa"/>
            <w:tcBorders>
              <w:top w:val="nil"/>
              <w:left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4</w:t>
            </w:r>
          </w:p>
        </w:tc>
        <w:tc>
          <w:tcPr>
            <w:tcW w:w="2268" w:type="dxa"/>
            <w:tcBorders>
              <w:top w:val="nil"/>
              <w:left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120</w:t>
            </w:r>
          </w:p>
        </w:tc>
        <w:tc>
          <w:tcPr>
            <w:tcW w:w="1559" w:type="dxa"/>
            <w:tcBorders>
              <w:top w:val="nil"/>
              <w:left w:val="single" w:sz="4" w:space="0" w:color="auto"/>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0</w:t>
            </w:r>
          </w:p>
        </w:tc>
      </w:tr>
      <w:tr>
        <w:trPr>
          <w:trHeight w:val="309"/>
        </w:trPr>
        <w:tc>
          <w:tcPr>
            <w:tcW w:w="2235" w:type="dxa"/>
            <w:tcBorders>
              <w:top w:val="nil"/>
              <w:left w:val="single" w:sz="4" w:space="0" w:color="auto"/>
              <w:right w:val="single" w:sz="4" w:space="0" w:color="auto"/>
            </w:tcBorders>
            <w:noWrap/>
            <w:vAlign w:val="center"/>
          </w:tcPr>
          <w:p>
            <w:pPr>
              <w:spacing w:after="240" w:line="240" w:lineRule="auto"/>
              <w:jc w:val="both"/>
              <w:rPr>
                <w:rFonts w:ascii="Times New Roman" w:hAnsi="Times New Roman"/>
                <w:bCs/>
                <w:noProof/>
                <w:sz w:val="24"/>
                <w:szCs w:val="24"/>
              </w:rPr>
            </w:pPr>
            <w:r>
              <w:rPr>
                <w:rFonts w:ascii="Times New Roman" w:hAnsi="Times New Roman"/>
                <w:noProof/>
                <w:sz w:val="24"/>
              </w:rPr>
              <w:t>ARYM*</w:t>
            </w:r>
          </w:p>
        </w:tc>
        <w:tc>
          <w:tcPr>
            <w:tcW w:w="1701" w:type="dxa"/>
            <w:tcBorders>
              <w:top w:val="nil"/>
              <w:left w:val="nil"/>
              <w:right w:val="single" w:sz="4" w:space="0" w:color="auto"/>
            </w:tcBorders>
            <w:noWrap/>
            <w:vAlign w:val="center"/>
          </w:tcPr>
          <w:p>
            <w:pPr>
              <w:spacing w:after="240" w:line="240" w:lineRule="auto"/>
              <w:jc w:val="right"/>
              <w:rPr>
                <w:rFonts w:ascii="Times New Roman" w:hAnsi="Times New Roman"/>
                <w:noProof/>
                <w:sz w:val="24"/>
                <w:szCs w:val="24"/>
              </w:rPr>
            </w:pPr>
            <w:r>
              <w:rPr>
                <w:rFonts w:ascii="Times New Roman" w:hAnsi="Times New Roman"/>
                <w:noProof/>
                <w:sz w:val="24"/>
              </w:rPr>
              <w:t>0</w:t>
            </w:r>
          </w:p>
        </w:tc>
        <w:tc>
          <w:tcPr>
            <w:tcW w:w="1559" w:type="dxa"/>
            <w:tcBorders>
              <w:top w:val="nil"/>
              <w:left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10</w:t>
            </w:r>
          </w:p>
        </w:tc>
        <w:tc>
          <w:tcPr>
            <w:tcW w:w="2268" w:type="dxa"/>
            <w:tcBorders>
              <w:top w:val="nil"/>
              <w:left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24</w:t>
            </w:r>
          </w:p>
        </w:tc>
        <w:tc>
          <w:tcPr>
            <w:tcW w:w="1559" w:type="dxa"/>
            <w:tcBorders>
              <w:top w:val="nil"/>
              <w:left w:val="single" w:sz="4" w:space="0" w:color="auto"/>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0</w:t>
            </w:r>
          </w:p>
        </w:tc>
      </w:tr>
      <w:tr>
        <w:trPr>
          <w:trHeight w:val="309"/>
        </w:trPr>
        <w:tc>
          <w:tcPr>
            <w:tcW w:w="2235" w:type="dxa"/>
            <w:tcBorders>
              <w:top w:val="nil"/>
              <w:left w:val="single" w:sz="4" w:space="0" w:color="auto"/>
              <w:right w:val="single" w:sz="4" w:space="0" w:color="auto"/>
            </w:tcBorders>
            <w:noWrap/>
            <w:vAlign w:val="center"/>
          </w:tcPr>
          <w:p>
            <w:pPr>
              <w:spacing w:after="240" w:line="240" w:lineRule="auto"/>
              <w:jc w:val="both"/>
              <w:rPr>
                <w:rFonts w:ascii="Times New Roman" w:hAnsi="Times New Roman"/>
                <w:bCs/>
                <w:noProof/>
                <w:sz w:val="24"/>
                <w:szCs w:val="24"/>
              </w:rPr>
            </w:pPr>
            <w:r>
              <w:rPr>
                <w:rFonts w:ascii="Times New Roman" w:hAnsi="Times New Roman"/>
                <w:noProof/>
                <w:sz w:val="24"/>
              </w:rPr>
              <w:t>Géorgie</w:t>
            </w:r>
          </w:p>
        </w:tc>
        <w:tc>
          <w:tcPr>
            <w:tcW w:w="1701" w:type="dxa"/>
            <w:tcBorders>
              <w:top w:val="nil"/>
              <w:left w:val="nil"/>
              <w:right w:val="single" w:sz="4" w:space="0" w:color="auto"/>
            </w:tcBorders>
            <w:noWrap/>
            <w:vAlign w:val="center"/>
          </w:tcPr>
          <w:p>
            <w:pPr>
              <w:spacing w:after="240" w:line="240" w:lineRule="auto"/>
              <w:jc w:val="right"/>
              <w:rPr>
                <w:rFonts w:ascii="Times New Roman" w:hAnsi="Times New Roman"/>
                <w:noProof/>
                <w:sz w:val="24"/>
                <w:szCs w:val="24"/>
              </w:rPr>
            </w:pPr>
            <w:r>
              <w:rPr>
                <w:rFonts w:ascii="Times New Roman" w:hAnsi="Times New Roman"/>
                <w:noProof/>
                <w:sz w:val="24"/>
              </w:rPr>
              <w:t>10</w:t>
            </w:r>
          </w:p>
        </w:tc>
        <w:tc>
          <w:tcPr>
            <w:tcW w:w="1559" w:type="dxa"/>
            <w:tcBorders>
              <w:top w:val="nil"/>
              <w:left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0</w:t>
            </w:r>
          </w:p>
        </w:tc>
        <w:tc>
          <w:tcPr>
            <w:tcW w:w="2268" w:type="dxa"/>
            <w:tcBorders>
              <w:top w:val="nil"/>
              <w:left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10</w:t>
            </w:r>
          </w:p>
        </w:tc>
        <w:tc>
          <w:tcPr>
            <w:tcW w:w="1559" w:type="dxa"/>
            <w:tcBorders>
              <w:top w:val="nil"/>
              <w:left w:val="single" w:sz="4" w:space="0" w:color="auto"/>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13</w:t>
            </w:r>
          </w:p>
        </w:tc>
      </w:tr>
      <w:tr>
        <w:trPr>
          <w:trHeight w:val="309"/>
        </w:trPr>
        <w:tc>
          <w:tcPr>
            <w:tcW w:w="2235" w:type="dxa"/>
            <w:tcBorders>
              <w:top w:val="nil"/>
              <w:left w:val="single" w:sz="4" w:space="0" w:color="auto"/>
              <w:right w:val="single" w:sz="4" w:space="0" w:color="auto"/>
            </w:tcBorders>
            <w:noWrap/>
            <w:vAlign w:val="bottom"/>
          </w:tcPr>
          <w:p>
            <w:pPr>
              <w:spacing w:after="240" w:line="240" w:lineRule="auto"/>
              <w:jc w:val="both"/>
              <w:rPr>
                <w:rFonts w:ascii="Times New Roman" w:hAnsi="Times New Roman"/>
                <w:bCs/>
                <w:noProof/>
                <w:sz w:val="24"/>
                <w:szCs w:val="24"/>
              </w:rPr>
            </w:pPr>
            <w:r>
              <w:rPr>
                <w:rFonts w:ascii="Times New Roman" w:hAnsi="Times New Roman"/>
                <w:noProof/>
                <w:sz w:val="24"/>
              </w:rPr>
              <w:t>Jordanie</w:t>
            </w:r>
          </w:p>
        </w:tc>
        <w:tc>
          <w:tcPr>
            <w:tcW w:w="1701" w:type="dxa"/>
            <w:tcBorders>
              <w:top w:val="nil"/>
              <w:left w:val="nil"/>
              <w:right w:val="single" w:sz="4" w:space="0" w:color="auto"/>
            </w:tcBorders>
            <w:noWrap/>
            <w:vAlign w:val="bottom"/>
          </w:tcPr>
          <w:p>
            <w:pPr>
              <w:spacing w:after="240" w:line="240" w:lineRule="auto"/>
              <w:jc w:val="right"/>
              <w:rPr>
                <w:rFonts w:ascii="Times New Roman" w:hAnsi="Times New Roman"/>
                <w:noProof/>
                <w:sz w:val="24"/>
                <w:szCs w:val="24"/>
              </w:rPr>
            </w:pPr>
            <w:r>
              <w:rPr>
                <w:rFonts w:ascii="Times New Roman" w:hAnsi="Times New Roman"/>
                <w:noProof/>
                <w:sz w:val="24"/>
              </w:rPr>
              <w:t>180</w:t>
            </w:r>
          </w:p>
        </w:tc>
        <w:tc>
          <w:tcPr>
            <w:tcW w:w="1559" w:type="dxa"/>
            <w:tcBorders>
              <w:top w:val="nil"/>
              <w:left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0</w:t>
            </w:r>
          </w:p>
        </w:tc>
        <w:tc>
          <w:tcPr>
            <w:tcW w:w="2268" w:type="dxa"/>
            <w:tcBorders>
              <w:top w:val="nil"/>
              <w:left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180</w:t>
            </w:r>
          </w:p>
        </w:tc>
        <w:tc>
          <w:tcPr>
            <w:tcW w:w="1559" w:type="dxa"/>
            <w:tcBorders>
              <w:top w:val="nil"/>
              <w:left w:val="single" w:sz="4" w:space="0" w:color="auto"/>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0</w:t>
            </w:r>
          </w:p>
        </w:tc>
      </w:tr>
      <w:tr>
        <w:trPr>
          <w:trHeight w:val="309"/>
        </w:trPr>
        <w:tc>
          <w:tcPr>
            <w:tcW w:w="2235" w:type="dxa"/>
            <w:tcBorders>
              <w:top w:val="nil"/>
              <w:left w:val="single" w:sz="4" w:space="0" w:color="auto"/>
              <w:right w:val="single" w:sz="4" w:space="0" w:color="auto"/>
            </w:tcBorders>
            <w:noWrap/>
            <w:vAlign w:val="bottom"/>
          </w:tcPr>
          <w:p>
            <w:pPr>
              <w:spacing w:after="240" w:line="240" w:lineRule="auto"/>
              <w:jc w:val="both"/>
              <w:rPr>
                <w:rFonts w:ascii="Times New Roman" w:hAnsi="Times New Roman"/>
                <w:bCs/>
                <w:noProof/>
                <w:sz w:val="24"/>
                <w:szCs w:val="24"/>
              </w:rPr>
            </w:pPr>
            <w:r>
              <w:rPr>
                <w:rFonts w:ascii="Times New Roman" w:hAnsi="Times New Roman"/>
                <w:noProof/>
                <w:sz w:val="24"/>
              </w:rPr>
              <w:t>République kirghize</w:t>
            </w:r>
          </w:p>
        </w:tc>
        <w:tc>
          <w:tcPr>
            <w:tcW w:w="1701" w:type="dxa"/>
            <w:tcBorders>
              <w:top w:val="nil"/>
              <w:left w:val="nil"/>
              <w:right w:val="single" w:sz="4" w:space="0" w:color="auto"/>
            </w:tcBorders>
            <w:noWrap/>
            <w:vAlign w:val="bottom"/>
          </w:tcPr>
          <w:p>
            <w:pPr>
              <w:spacing w:after="240" w:line="240" w:lineRule="auto"/>
              <w:jc w:val="right"/>
              <w:rPr>
                <w:rFonts w:ascii="Times New Roman" w:hAnsi="Times New Roman"/>
                <w:noProof/>
                <w:sz w:val="24"/>
                <w:szCs w:val="24"/>
              </w:rPr>
            </w:pPr>
            <w:r>
              <w:rPr>
                <w:rFonts w:ascii="Times New Roman" w:hAnsi="Times New Roman"/>
                <w:noProof/>
                <w:sz w:val="24"/>
              </w:rPr>
              <w:t>5</w:t>
            </w:r>
          </w:p>
        </w:tc>
        <w:tc>
          <w:tcPr>
            <w:tcW w:w="1559" w:type="dxa"/>
            <w:tcBorders>
              <w:top w:val="nil"/>
              <w:left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0</w:t>
            </w:r>
          </w:p>
        </w:tc>
        <w:tc>
          <w:tcPr>
            <w:tcW w:w="2268" w:type="dxa"/>
            <w:tcBorders>
              <w:top w:val="nil"/>
              <w:left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5</w:t>
            </w:r>
          </w:p>
        </w:tc>
        <w:tc>
          <w:tcPr>
            <w:tcW w:w="1559" w:type="dxa"/>
            <w:tcBorders>
              <w:top w:val="nil"/>
              <w:left w:val="single" w:sz="4" w:space="0" w:color="auto"/>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10</w:t>
            </w:r>
          </w:p>
        </w:tc>
      </w:tr>
      <w:tr>
        <w:trPr>
          <w:trHeight w:val="309"/>
        </w:trPr>
        <w:tc>
          <w:tcPr>
            <w:tcW w:w="2235" w:type="dxa"/>
            <w:tcBorders>
              <w:top w:val="nil"/>
              <w:left w:val="single" w:sz="4" w:space="0" w:color="auto"/>
              <w:right w:val="single" w:sz="4" w:space="0" w:color="auto"/>
            </w:tcBorders>
            <w:noWrap/>
            <w:vAlign w:val="bottom"/>
          </w:tcPr>
          <w:p>
            <w:pPr>
              <w:spacing w:after="240" w:line="240" w:lineRule="auto"/>
              <w:jc w:val="both"/>
              <w:rPr>
                <w:rFonts w:ascii="Times New Roman" w:hAnsi="Times New Roman"/>
                <w:bCs/>
                <w:noProof/>
                <w:sz w:val="24"/>
                <w:szCs w:val="24"/>
              </w:rPr>
            </w:pPr>
            <w:r>
              <w:rPr>
                <w:rFonts w:ascii="Times New Roman" w:hAnsi="Times New Roman"/>
                <w:noProof/>
                <w:sz w:val="24"/>
              </w:rPr>
              <w:t>Monténégro</w:t>
            </w:r>
          </w:p>
        </w:tc>
        <w:tc>
          <w:tcPr>
            <w:tcW w:w="1701" w:type="dxa"/>
            <w:tcBorders>
              <w:top w:val="nil"/>
              <w:left w:val="nil"/>
              <w:right w:val="single" w:sz="4" w:space="0" w:color="auto"/>
            </w:tcBorders>
            <w:noWrap/>
            <w:vAlign w:val="bottom"/>
          </w:tcPr>
          <w:p>
            <w:pPr>
              <w:spacing w:after="240" w:line="240" w:lineRule="auto"/>
              <w:jc w:val="right"/>
              <w:rPr>
                <w:rFonts w:ascii="Times New Roman" w:hAnsi="Times New Roman"/>
                <w:noProof/>
                <w:sz w:val="24"/>
                <w:szCs w:val="24"/>
              </w:rPr>
            </w:pPr>
            <w:r>
              <w:rPr>
                <w:rFonts w:ascii="Times New Roman" w:hAnsi="Times New Roman"/>
                <w:noProof/>
                <w:sz w:val="24"/>
              </w:rPr>
              <w:t>0</w:t>
            </w:r>
          </w:p>
        </w:tc>
        <w:tc>
          <w:tcPr>
            <w:tcW w:w="1559" w:type="dxa"/>
            <w:tcBorders>
              <w:top w:val="nil"/>
              <w:left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1</w:t>
            </w:r>
          </w:p>
        </w:tc>
        <w:tc>
          <w:tcPr>
            <w:tcW w:w="2268" w:type="dxa"/>
            <w:tcBorders>
              <w:top w:val="nil"/>
              <w:left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4</w:t>
            </w:r>
          </w:p>
        </w:tc>
        <w:tc>
          <w:tcPr>
            <w:tcW w:w="1559" w:type="dxa"/>
            <w:tcBorders>
              <w:top w:val="nil"/>
              <w:left w:val="single" w:sz="4" w:space="0" w:color="auto"/>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0</w:t>
            </w:r>
          </w:p>
        </w:tc>
      </w:tr>
      <w:tr>
        <w:trPr>
          <w:trHeight w:val="309"/>
        </w:trPr>
        <w:tc>
          <w:tcPr>
            <w:tcW w:w="2235" w:type="dxa"/>
            <w:tcBorders>
              <w:top w:val="nil"/>
              <w:left w:val="single" w:sz="4" w:space="0" w:color="auto"/>
              <w:right w:val="single" w:sz="4" w:space="0" w:color="auto"/>
            </w:tcBorders>
            <w:noWrap/>
            <w:vAlign w:val="bottom"/>
          </w:tcPr>
          <w:p>
            <w:pPr>
              <w:spacing w:after="240" w:line="240" w:lineRule="auto"/>
              <w:jc w:val="both"/>
              <w:rPr>
                <w:rFonts w:ascii="Times New Roman" w:hAnsi="Times New Roman"/>
                <w:bCs/>
                <w:noProof/>
                <w:sz w:val="24"/>
                <w:szCs w:val="24"/>
              </w:rPr>
            </w:pPr>
            <w:r>
              <w:rPr>
                <w:rFonts w:ascii="Times New Roman" w:hAnsi="Times New Roman"/>
                <w:noProof/>
                <w:sz w:val="24"/>
              </w:rPr>
              <w:t>Serbie</w:t>
            </w:r>
          </w:p>
        </w:tc>
        <w:tc>
          <w:tcPr>
            <w:tcW w:w="1701" w:type="dxa"/>
            <w:tcBorders>
              <w:top w:val="nil"/>
              <w:left w:val="nil"/>
              <w:right w:val="single" w:sz="4" w:space="0" w:color="auto"/>
            </w:tcBorders>
            <w:noWrap/>
            <w:vAlign w:val="bottom"/>
          </w:tcPr>
          <w:p>
            <w:pPr>
              <w:spacing w:after="240" w:line="240" w:lineRule="auto"/>
              <w:jc w:val="right"/>
              <w:rPr>
                <w:rFonts w:ascii="Times New Roman" w:hAnsi="Times New Roman"/>
                <w:noProof/>
                <w:sz w:val="24"/>
                <w:szCs w:val="24"/>
              </w:rPr>
            </w:pPr>
            <w:r>
              <w:rPr>
                <w:rFonts w:ascii="Times New Roman" w:hAnsi="Times New Roman"/>
                <w:noProof/>
                <w:sz w:val="24"/>
              </w:rPr>
              <w:t>0</w:t>
            </w:r>
          </w:p>
        </w:tc>
        <w:tc>
          <w:tcPr>
            <w:tcW w:w="1559" w:type="dxa"/>
            <w:tcBorders>
              <w:top w:val="nil"/>
              <w:left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52</w:t>
            </w:r>
          </w:p>
        </w:tc>
        <w:tc>
          <w:tcPr>
            <w:tcW w:w="2268" w:type="dxa"/>
            <w:tcBorders>
              <w:top w:val="nil"/>
              <w:left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180</w:t>
            </w:r>
          </w:p>
        </w:tc>
        <w:tc>
          <w:tcPr>
            <w:tcW w:w="1559" w:type="dxa"/>
            <w:tcBorders>
              <w:top w:val="nil"/>
              <w:left w:val="single" w:sz="4" w:space="0" w:color="auto"/>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0</w:t>
            </w:r>
          </w:p>
        </w:tc>
      </w:tr>
      <w:tr>
        <w:trPr>
          <w:trHeight w:val="309"/>
        </w:trPr>
        <w:tc>
          <w:tcPr>
            <w:tcW w:w="2235" w:type="dxa"/>
            <w:tcBorders>
              <w:top w:val="nil"/>
              <w:left w:val="single" w:sz="4" w:space="0" w:color="auto"/>
              <w:right w:val="single" w:sz="4" w:space="0" w:color="auto"/>
            </w:tcBorders>
            <w:noWrap/>
            <w:vAlign w:val="bottom"/>
          </w:tcPr>
          <w:p>
            <w:pPr>
              <w:spacing w:after="240" w:line="240" w:lineRule="auto"/>
              <w:jc w:val="both"/>
              <w:rPr>
                <w:rFonts w:ascii="Times New Roman" w:hAnsi="Times New Roman"/>
                <w:bCs/>
                <w:noProof/>
                <w:sz w:val="24"/>
                <w:szCs w:val="24"/>
              </w:rPr>
            </w:pPr>
            <w:r>
              <w:rPr>
                <w:rFonts w:ascii="Times New Roman" w:hAnsi="Times New Roman"/>
                <w:noProof/>
                <w:sz w:val="24"/>
              </w:rPr>
              <w:t>Tunisie</w:t>
            </w:r>
          </w:p>
        </w:tc>
        <w:tc>
          <w:tcPr>
            <w:tcW w:w="1701" w:type="dxa"/>
            <w:tcBorders>
              <w:top w:val="nil"/>
              <w:left w:val="nil"/>
              <w:right w:val="single" w:sz="4" w:space="0" w:color="auto"/>
            </w:tcBorders>
            <w:noWrap/>
            <w:vAlign w:val="bottom"/>
          </w:tcPr>
          <w:p>
            <w:pPr>
              <w:spacing w:after="240" w:line="240" w:lineRule="auto"/>
              <w:jc w:val="right"/>
              <w:rPr>
                <w:rFonts w:ascii="Times New Roman" w:hAnsi="Times New Roman"/>
                <w:noProof/>
                <w:sz w:val="24"/>
                <w:szCs w:val="24"/>
              </w:rPr>
            </w:pPr>
            <w:r>
              <w:rPr>
                <w:rFonts w:ascii="Times New Roman" w:hAnsi="Times New Roman"/>
                <w:noProof/>
                <w:sz w:val="24"/>
              </w:rPr>
              <w:t>200</w:t>
            </w:r>
          </w:p>
        </w:tc>
        <w:tc>
          <w:tcPr>
            <w:tcW w:w="1559" w:type="dxa"/>
            <w:tcBorders>
              <w:top w:val="nil"/>
              <w:left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0</w:t>
            </w:r>
          </w:p>
        </w:tc>
        <w:tc>
          <w:tcPr>
            <w:tcW w:w="2268" w:type="dxa"/>
            <w:tcBorders>
              <w:top w:val="nil"/>
              <w:left w:val="nil"/>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200</w:t>
            </w:r>
          </w:p>
        </w:tc>
        <w:tc>
          <w:tcPr>
            <w:tcW w:w="1559" w:type="dxa"/>
            <w:tcBorders>
              <w:top w:val="nil"/>
              <w:left w:val="single" w:sz="4" w:space="0" w:color="auto"/>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100</w:t>
            </w:r>
          </w:p>
        </w:tc>
      </w:tr>
      <w:tr>
        <w:trPr>
          <w:trHeight w:val="68"/>
        </w:trPr>
        <w:tc>
          <w:tcPr>
            <w:tcW w:w="2235" w:type="dxa"/>
            <w:tcBorders>
              <w:top w:val="nil"/>
              <w:left w:val="single" w:sz="4" w:space="0" w:color="auto"/>
              <w:bottom w:val="single" w:sz="4" w:space="0" w:color="auto"/>
              <w:right w:val="single" w:sz="4" w:space="0" w:color="auto"/>
            </w:tcBorders>
            <w:noWrap/>
            <w:vAlign w:val="bottom"/>
          </w:tcPr>
          <w:p>
            <w:pPr>
              <w:spacing w:after="240" w:line="240" w:lineRule="auto"/>
              <w:jc w:val="both"/>
              <w:rPr>
                <w:rFonts w:ascii="Times New Roman" w:hAnsi="Times New Roman"/>
                <w:bCs/>
                <w:noProof/>
                <w:sz w:val="24"/>
                <w:szCs w:val="24"/>
              </w:rPr>
            </w:pPr>
            <w:r>
              <w:rPr>
                <w:rFonts w:ascii="Times New Roman" w:hAnsi="Times New Roman"/>
                <w:noProof/>
                <w:sz w:val="24"/>
              </w:rPr>
              <w:t>Ukraine</w:t>
            </w:r>
          </w:p>
        </w:tc>
        <w:tc>
          <w:tcPr>
            <w:tcW w:w="1701" w:type="dxa"/>
            <w:tcBorders>
              <w:top w:val="nil"/>
              <w:left w:val="nil"/>
              <w:bottom w:val="single" w:sz="4" w:space="0" w:color="auto"/>
              <w:right w:val="single" w:sz="4" w:space="0" w:color="auto"/>
            </w:tcBorders>
            <w:noWrap/>
            <w:vAlign w:val="bottom"/>
          </w:tcPr>
          <w:p>
            <w:pPr>
              <w:spacing w:after="240" w:line="240" w:lineRule="auto"/>
              <w:jc w:val="right"/>
              <w:rPr>
                <w:rFonts w:ascii="Times New Roman" w:hAnsi="Times New Roman"/>
                <w:noProof/>
                <w:sz w:val="24"/>
                <w:szCs w:val="24"/>
              </w:rPr>
            </w:pPr>
            <w:r>
              <w:rPr>
                <w:rFonts w:ascii="Times New Roman" w:hAnsi="Times New Roman"/>
                <w:noProof/>
                <w:sz w:val="24"/>
              </w:rPr>
              <w:t>850</w:t>
            </w:r>
          </w:p>
        </w:tc>
        <w:tc>
          <w:tcPr>
            <w:tcW w:w="1559" w:type="dxa"/>
            <w:tcBorders>
              <w:top w:val="nil"/>
              <w:left w:val="nil"/>
              <w:bottom w:val="single" w:sz="4" w:space="0" w:color="auto"/>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0</w:t>
            </w:r>
          </w:p>
        </w:tc>
        <w:tc>
          <w:tcPr>
            <w:tcW w:w="2268" w:type="dxa"/>
            <w:tcBorders>
              <w:top w:val="nil"/>
              <w:left w:val="nil"/>
              <w:bottom w:val="single" w:sz="4" w:space="0" w:color="auto"/>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2 210</w:t>
            </w:r>
          </w:p>
        </w:tc>
        <w:tc>
          <w:tcPr>
            <w:tcW w:w="1559" w:type="dxa"/>
            <w:tcBorders>
              <w:top w:val="nil"/>
              <w:left w:val="single" w:sz="4" w:space="0" w:color="auto"/>
              <w:bottom w:val="single" w:sz="4" w:space="0" w:color="auto"/>
              <w:right w:val="single" w:sz="4" w:space="0" w:color="auto"/>
            </w:tcBorders>
          </w:tcPr>
          <w:p>
            <w:pPr>
              <w:spacing w:after="240" w:line="240" w:lineRule="auto"/>
              <w:jc w:val="right"/>
              <w:rPr>
                <w:rFonts w:ascii="Times New Roman" w:hAnsi="Times New Roman"/>
                <w:noProof/>
                <w:sz w:val="24"/>
                <w:szCs w:val="24"/>
              </w:rPr>
            </w:pPr>
            <w:r>
              <w:rPr>
                <w:rFonts w:ascii="Times New Roman" w:hAnsi="Times New Roman"/>
                <w:noProof/>
                <w:sz w:val="24"/>
              </w:rPr>
              <w:t>1 200</w:t>
            </w:r>
          </w:p>
        </w:tc>
      </w:tr>
      <w:tr>
        <w:trPr>
          <w:trHeight w:val="58"/>
        </w:trPr>
        <w:tc>
          <w:tcPr>
            <w:tcW w:w="2235" w:type="dxa"/>
            <w:tcBorders>
              <w:top w:val="single" w:sz="4" w:space="0" w:color="auto"/>
              <w:left w:val="single" w:sz="4" w:space="0" w:color="auto"/>
              <w:bottom w:val="single" w:sz="4" w:space="0" w:color="auto"/>
              <w:right w:val="nil"/>
            </w:tcBorders>
            <w:noWrap/>
            <w:vAlign w:val="bottom"/>
          </w:tcPr>
          <w:p>
            <w:pPr>
              <w:spacing w:after="240" w:line="240" w:lineRule="auto"/>
              <w:jc w:val="both"/>
              <w:rPr>
                <w:rFonts w:ascii="Times New Roman" w:hAnsi="Times New Roman"/>
                <w:b/>
                <w:noProof/>
                <w:sz w:val="24"/>
                <w:szCs w:val="24"/>
              </w:rPr>
            </w:pPr>
            <w:r>
              <w:rPr>
                <w:rFonts w:ascii="Times New Roman" w:hAnsi="Times New Roman"/>
                <w:b/>
                <w:noProof/>
                <w:sz w:val="24"/>
              </w:rPr>
              <w:t>Total</w:t>
            </w:r>
          </w:p>
        </w:tc>
        <w:tc>
          <w:tcPr>
            <w:tcW w:w="1701" w:type="dxa"/>
            <w:tcBorders>
              <w:top w:val="single" w:sz="4" w:space="0" w:color="auto"/>
              <w:left w:val="nil"/>
              <w:bottom w:val="single" w:sz="4" w:space="0" w:color="auto"/>
              <w:right w:val="single" w:sz="4" w:space="0" w:color="auto"/>
            </w:tcBorders>
            <w:noWrap/>
            <w:vAlign w:val="bottom"/>
          </w:tcPr>
          <w:p>
            <w:pPr>
              <w:spacing w:after="240" w:line="240" w:lineRule="auto"/>
              <w:jc w:val="right"/>
              <w:rPr>
                <w:rFonts w:ascii="Times New Roman" w:hAnsi="Times New Roman"/>
                <w:b/>
                <w:noProof/>
                <w:sz w:val="24"/>
                <w:szCs w:val="24"/>
              </w:rPr>
            </w:pPr>
            <w:r>
              <w:rPr>
                <w:rFonts w:ascii="Times New Roman" w:hAnsi="Times New Roman"/>
                <w:b/>
                <w:noProof/>
                <w:sz w:val="24"/>
              </w:rPr>
              <w:t>1 245</w:t>
            </w:r>
          </w:p>
        </w:tc>
        <w:tc>
          <w:tcPr>
            <w:tcW w:w="1559" w:type="dxa"/>
            <w:tcBorders>
              <w:top w:val="single" w:sz="4" w:space="0" w:color="auto"/>
              <w:left w:val="nil"/>
              <w:bottom w:val="single" w:sz="4" w:space="0" w:color="auto"/>
              <w:right w:val="single" w:sz="4" w:space="0" w:color="auto"/>
            </w:tcBorders>
          </w:tcPr>
          <w:p>
            <w:pPr>
              <w:spacing w:after="240" w:line="240" w:lineRule="auto"/>
              <w:jc w:val="right"/>
              <w:rPr>
                <w:rFonts w:ascii="Times New Roman" w:hAnsi="Times New Roman"/>
                <w:b/>
                <w:noProof/>
                <w:sz w:val="24"/>
                <w:szCs w:val="24"/>
              </w:rPr>
            </w:pPr>
            <w:r>
              <w:rPr>
                <w:rFonts w:ascii="Times New Roman" w:hAnsi="Times New Roman"/>
                <w:b/>
                <w:noProof/>
                <w:sz w:val="24"/>
              </w:rPr>
              <w:t>67</w:t>
            </w:r>
          </w:p>
        </w:tc>
        <w:tc>
          <w:tcPr>
            <w:tcW w:w="2268" w:type="dxa"/>
            <w:tcBorders>
              <w:top w:val="single" w:sz="4" w:space="0" w:color="auto"/>
              <w:left w:val="nil"/>
              <w:bottom w:val="single" w:sz="4" w:space="0" w:color="auto"/>
              <w:right w:val="single" w:sz="4" w:space="0" w:color="auto"/>
            </w:tcBorders>
          </w:tcPr>
          <w:p>
            <w:pPr>
              <w:spacing w:after="240" w:line="240" w:lineRule="auto"/>
              <w:jc w:val="right"/>
              <w:rPr>
                <w:rFonts w:ascii="Times New Roman" w:hAnsi="Times New Roman"/>
                <w:b/>
                <w:noProof/>
                <w:sz w:val="24"/>
                <w:szCs w:val="24"/>
              </w:rPr>
            </w:pPr>
            <w:r>
              <w:rPr>
                <w:rFonts w:ascii="Times New Roman" w:hAnsi="Times New Roman"/>
                <w:b/>
                <w:noProof/>
                <w:sz w:val="24"/>
              </w:rPr>
              <w:t>3 007</w:t>
            </w:r>
          </w:p>
        </w:tc>
        <w:tc>
          <w:tcPr>
            <w:tcW w:w="1559" w:type="dxa"/>
            <w:tcBorders>
              <w:top w:val="single" w:sz="4" w:space="0" w:color="auto"/>
              <w:left w:val="single" w:sz="4" w:space="0" w:color="auto"/>
              <w:bottom w:val="single" w:sz="4" w:space="0" w:color="auto"/>
              <w:right w:val="single" w:sz="4" w:space="0" w:color="auto"/>
            </w:tcBorders>
          </w:tcPr>
          <w:p>
            <w:pPr>
              <w:spacing w:after="240" w:line="240" w:lineRule="auto"/>
              <w:jc w:val="right"/>
              <w:rPr>
                <w:rFonts w:ascii="Times New Roman" w:hAnsi="Times New Roman"/>
                <w:b/>
                <w:noProof/>
                <w:sz w:val="24"/>
                <w:szCs w:val="24"/>
              </w:rPr>
            </w:pPr>
            <w:r>
              <w:rPr>
                <w:rFonts w:ascii="Times New Roman" w:hAnsi="Times New Roman"/>
                <w:b/>
                <w:noProof/>
                <w:sz w:val="24"/>
              </w:rPr>
              <w:t>1 323</w:t>
            </w:r>
          </w:p>
        </w:tc>
      </w:tr>
    </w:tbl>
    <w:p>
      <w:pPr>
        <w:spacing w:after="120" w:line="240" w:lineRule="auto"/>
        <w:jc w:val="both"/>
        <w:rPr>
          <w:rFonts w:ascii="Times New Roman" w:hAnsi="Times New Roman"/>
          <w:noProof/>
          <w:sz w:val="20"/>
          <w:szCs w:val="20"/>
        </w:rPr>
      </w:pPr>
      <w:r>
        <w:rPr>
          <w:rFonts w:ascii="Times New Roman" w:hAnsi="Times New Roman"/>
          <w:noProof/>
          <w:sz w:val="20"/>
        </w:rPr>
        <w:t>*ancienne République yougoslave de Macédoine</w:t>
      </w:r>
    </w:p>
    <w:p>
      <w:pPr>
        <w:pStyle w:val="ManualHeading2"/>
        <w:spacing w:before="240" w:after="240"/>
        <w:ind w:left="851" w:hanging="851"/>
        <w:rPr>
          <w:noProof/>
        </w:rPr>
      </w:pPr>
      <w:bookmarkStart w:id="60" w:name="_Toc325641143"/>
      <w:bookmarkStart w:id="61" w:name="_Toc330157545"/>
      <w:bookmarkStart w:id="62" w:name="_Toc361393256"/>
      <w:bookmarkStart w:id="63" w:name="_Toc388883944"/>
      <w:bookmarkStart w:id="64" w:name="_Toc393808496"/>
      <w:bookmarkStart w:id="65" w:name="_Toc451257932"/>
      <w:bookmarkStart w:id="66" w:name="_Toc452129250"/>
      <w:r>
        <w:rPr>
          <w:noProof/>
        </w:rPr>
        <w:t>2.4.</w:t>
      </w:r>
      <w:r>
        <w:rPr>
          <w:noProof/>
        </w:rPr>
        <w:tab/>
        <w:t>Mécanisme Euratom</w:t>
      </w:r>
      <w:bookmarkEnd w:id="60"/>
      <w:bookmarkEnd w:id="61"/>
      <w:bookmarkEnd w:id="62"/>
      <w:bookmarkEnd w:id="63"/>
      <w:bookmarkEnd w:id="64"/>
      <w:bookmarkEnd w:id="65"/>
      <w:bookmarkEnd w:id="66"/>
    </w:p>
    <w:p>
      <w:pPr>
        <w:spacing w:after="120" w:line="240" w:lineRule="auto"/>
        <w:jc w:val="both"/>
        <w:rPr>
          <w:rFonts w:ascii="Times New Roman" w:hAnsi="Times New Roman"/>
          <w:noProof/>
          <w:sz w:val="24"/>
          <w:szCs w:val="24"/>
        </w:rPr>
      </w:pPr>
      <w:r>
        <w:rPr>
          <w:rFonts w:ascii="Times New Roman" w:hAnsi="Times New Roman"/>
          <w:noProof/>
          <w:sz w:val="24"/>
        </w:rPr>
        <w:t xml:space="preserve">Le mécanisme de prêt de l’Euratom peut être utilisé pour financer des projets dans les États membres (décision 77/270/Euratom du Conseil) ou dans certains pays tiers (Ukraine, Russie ou Arménie – décision 94/179/Euratom du Conseil). </w:t>
      </w:r>
    </w:p>
    <w:p>
      <w:pPr>
        <w:spacing w:after="120" w:line="240" w:lineRule="auto"/>
        <w:jc w:val="both"/>
        <w:rPr>
          <w:rFonts w:ascii="Times New Roman" w:hAnsi="Times New Roman"/>
          <w:noProof/>
          <w:sz w:val="24"/>
          <w:szCs w:val="24"/>
        </w:rPr>
      </w:pPr>
      <w:r>
        <w:rPr>
          <w:rFonts w:ascii="Times New Roman" w:hAnsi="Times New Roman"/>
          <w:noProof/>
          <w:sz w:val="24"/>
        </w:rPr>
        <w:t>En 1990, le Conseil a fixé une limite d’emprunt de 4 milliards d’EUR, dont quelque 3,7 milliards d’EUR ont été approuvés et 3,4 milliards, déjà décaissés. Conformément à la décision du Conseil fixant un plafond de prêt (décision 77/271/Euratom, telle que modifiée), la Commission informe le Conseil lorsque le montant approuvé atteint 3,8 milliards d’EUR et, le cas échéant, propose un nouveau plafond de prêt.</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En 2013, la Commission a adopté la décision C(2013) 3496 portant octroi d’un prêt Euratom en faveur du programme d'amélioration de la sûreté des réacteurs nucléaires de l’Ukraine, d'un montant maximal de 300 millions d'EUR. L'accord de prêt a été signé le 7 août 2013. En parallèle, un accord de prêt similaire de 300 millions d’EUR a été signé en mars 2013 par la BERD.</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Après que toutes les conditions préalables à la mise à disposition du prêt ont été remplies, une décision de la Commission autorisant le versement d’un montant maximal de 100 millions d’EUR a été adoptée le 27 mai 2015.</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 xml:space="preserve">Toutefois, en raison de retards dans la mise en œuvre, aucun décaissement au titre du mécanisme Euratom en faveur de l’Ukraine n'a eu lieu. </w:t>
      </w:r>
    </w:p>
    <w:p>
      <w:pPr>
        <w:pStyle w:val="ManualHeading1"/>
        <w:spacing w:after="240"/>
        <w:ind w:left="851" w:hanging="851"/>
        <w:rPr>
          <w:noProof/>
        </w:rPr>
      </w:pPr>
      <w:bookmarkStart w:id="67" w:name="_Toc325641145"/>
      <w:bookmarkStart w:id="68" w:name="_Toc330157547"/>
      <w:bookmarkStart w:id="69" w:name="_Toc361393257"/>
      <w:bookmarkStart w:id="70" w:name="_Toc388883945"/>
      <w:bookmarkStart w:id="71" w:name="_Toc393808497"/>
      <w:bookmarkStart w:id="72" w:name="_Toc451257933"/>
      <w:bookmarkStart w:id="73" w:name="_Toc452129251"/>
      <w:r>
        <w:rPr>
          <w:noProof/>
        </w:rPr>
        <w:t>3.</w:t>
      </w:r>
      <w:r>
        <w:rPr>
          <w:noProof/>
        </w:rPr>
        <w:tab/>
        <w:t>Activités d’emprunt de l’Union européenne</w:t>
      </w:r>
      <w:bookmarkEnd w:id="67"/>
      <w:bookmarkEnd w:id="68"/>
      <w:bookmarkEnd w:id="69"/>
      <w:bookmarkEnd w:id="70"/>
      <w:bookmarkEnd w:id="71"/>
      <w:bookmarkEnd w:id="72"/>
      <w:bookmarkEnd w:id="73"/>
    </w:p>
    <w:p>
      <w:pPr>
        <w:spacing w:after="240" w:line="240" w:lineRule="auto"/>
        <w:jc w:val="both"/>
        <w:rPr>
          <w:rFonts w:ascii="Times New Roman" w:hAnsi="Times New Roman"/>
          <w:noProof/>
          <w:sz w:val="24"/>
          <w:szCs w:val="24"/>
        </w:rPr>
      </w:pPr>
      <w:r>
        <w:rPr>
          <w:rFonts w:ascii="Times New Roman" w:hAnsi="Times New Roman"/>
          <w:noProof/>
          <w:sz w:val="24"/>
        </w:rPr>
        <w:t>Pour financer les activités de prêt, la Commission est habilitée à emprunter des fonds sur les marchés des capitaux pour le compte de l'Union européenne et de l'Euratom. Chaque prêt est adossé à un emprunt (opérations back-to-back), de sorte que le budget de l’UE n'est soumis à aucun risque de taux d'intérêt ou de change</w:t>
      </w:r>
      <w:r>
        <w:rPr>
          <w:rStyle w:val="FootnoteReference"/>
          <w:rFonts w:ascii="Times New Roman" w:hAnsi="Times New Roman"/>
          <w:noProof/>
          <w:sz w:val="24"/>
        </w:rPr>
        <w:footnoteReference w:id="21"/>
      </w:r>
      <w:r>
        <w:rPr>
          <w:rFonts w:ascii="Times New Roman" w:hAnsi="Times New Roman"/>
          <w:noProof/>
          <w:sz w:val="24"/>
        </w:rPr>
        <w:t>. L'encours des emprunts correspond à l'encours des prêts.</w:t>
      </w:r>
    </w:p>
    <w:p>
      <w:pPr>
        <w:pStyle w:val="ManualHeading2"/>
        <w:spacing w:before="240" w:after="240"/>
        <w:ind w:left="851" w:hanging="851"/>
        <w:outlineLvl w:val="0"/>
        <w:rPr>
          <w:noProof/>
        </w:rPr>
      </w:pPr>
      <w:bookmarkStart w:id="74" w:name="_Toc325641146"/>
      <w:bookmarkStart w:id="75" w:name="_Toc330157548"/>
      <w:bookmarkStart w:id="76" w:name="_Toc361393258"/>
      <w:bookmarkStart w:id="77" w:name="_Toc388883946"/>
      <w:bookmarkStart w:id="78" w:name="_Toc393808498"/>
      <w:bookmarkStart w:id="79" w:name="_Toc451257934"/>
      <w:bookmarkStart w:id="80" w:name="_Toc452129252"/>
      <w:r>
        <w:rPr>
          <w:noProof/>
        </w:rPr>
        <w:t>3.1.</w:t>
      </w:r>
      <w:r>
        <w:rPr>
          <w:noProof/>
        </w:rPr>
        <w:tab/>
        <w:t>Mécanisme</w:t>
      </w:r>
      <w:bookmarkEnd w:id="74"/>
      <w:bookmarkEnd w:id="75"/>
      <w:bookmarkEnd w:id="76"/>
      <w:bookmarkEnd w:id="77"/>
      <w:bookmarkEnd w:id="78"/>
      <w:r>
        <w:rPr>
          <w:noProof/>
        </w:rPr>
        <w:t xml:space="preserve"> de soutien des balances des paiements</w:t>
      </w:r>
      <w:bookmarkEnd w:id="79"/>
      <w:bookmarkEnd w:id="80"/>
    </w:p>
    <w:p>
      <w:pPr>
        <w:spacing w:after="120" w:line="240" w:lineRule="auto"/>
        <w:jc w:val="both"/>
        <w:rPr>
          <w:rFonts w:ascii="Times New Roman" w:hAnsi="Times New Roman"/>
          <w:noProof/>
          <w:sz w:val="24"/>
          <w:szCs w:val="24"/>
        </w:rPr>
      </w:pPr>
      <w:r>
        <w:rPr>
          <w:rFonts w:ascii="Times New Roman" w:hAnsi="Times New Roman"/>
          <w:noProof/>
          <w:sz w:val="24"/>
        </w:rPr>
        <w:t>En 2015, aucun emprunt n'a été effectué sur le marché au titre du mécanisme de soutien des balances des paiements. L'encours total des emprunts pour le mécanisme de soutien des balances des paiements à la fin de l’année 2015 était de 5,7 milliards d’EUR.</w:t>
      </w:r>
    </w:p>
    <w:p>
      <w:pPr>
        <w:pStyle w:val="ManualHeading2"/>
        <w:spacing w:before="240" w:after="240"/>
        <w:ind w:left="851" w:hanging="851"/>
        <w:outlineLvl w:val="0"/>
        <w:rPr>
          <w:noProof/>
        </w:rPr>
      </w:pPr>
      <w:bookmarkStart w:id="81" w:name="_Toc325641147"/>
      <w:bookmarkStart w:id="82" w:name="_Toc330157549"/>
      <w:bookmarkStart w:id="83" w:name="_Toc361393259"/>
      <w:bookmarkStart w:id="84" w:name="_Toc388883947"/>
      <w:bookmarkStart w:id="85" w:name="_Toc393808499"/>
      <w:r>
        <w:rPr>
          <w:noProof/>
        </w:rPr>
        <w:br w:type="page"/>
      </w:r>
      <w:bookmarkStart w:id="86" w:name="_Toc451257935"/>
      <w:bookmarkStart w:id="87" w:name="_Toc452129253"/>
      <w:r>
        <w:rPr>
          <w:noProof/>
        </w:rPr>
        <w:t>3.2.</w:t>
      </w:r>
      <w:r>
        <w:rPr>
          <w:noProof/>
        </w:rPr>
        <w:tab/>
        <w:t>Mécanisme européen de stabilisation financière</w:t>
      </w:r>
      <w:bookmarkEnd w:id="81"/>
      <w:bookmarkEnd w:id="82"/>
      <w:bookmarkEnd w:id="83"/>
      <w:bookmarkEnd w:id="84"/>
      <w:bookmarkEnd w:id="85"/>
      <w:bookmarkEnd w:id="86"/>
      <w:bookmarkEnd w:id="87"/>
    </w:p>
    <w:p>
      <w:pPr>
        <w:spacing w:after="120" w:line="240" w:lineRule="auto"/>
        <w:jc w:val="both"/>
        <w:rPr>
          <w:rFonts w:ascii="Times New Roman" w:hAnsi="Times New Roman"/>
          <w:noProof/>
          <w:sz w:val="24"/>
          <w:szCs w:val="24"/>
        </w:rPr>
      </w:pPr>
      <w:r>
        <w:rPr>
          <w:rFonts w:ascii="Times New Roman" w:hAnsi="Times New Roman"/>
          <w:noProof/>
          <w:sz w:val="24"/>
        </w:rPr>
        <w:t>À la suite de la demande de l’Irlande de prolonger la durée de son prêt MESF de 5 milliards d’EUR dont l'échéance était fixée à décembre 2015, l’UE a émis, en septembre et en octobre 2015, trois obligations à 8, 14 et 20 ans, pour un montant de 5 milliards d’EUR, comme indiqué dans le tableau ci-dessous.</w:t>
      </w:r>
    </w:p>
    <w:p>
      <w:pPr>
        <w:spacing w:after="120" w:line="240" w:lineRule="auto"/>
        <w:jc w:val="both"/>
        <w:rPr>
          <w:rFonts w:ascii="Times New Roman" w:hAnsi="Times New Roman"/>
          <w:noProof/>
          <w:sz w:val="24"/>
          <w:szCs w:val="24"/>
        </w:rPr>
      </w:pPr>
      <w:r>
        <w:rPr>
          <w:rFonts w:ascii="Times New Roman" w:hAnsi="Times New Roman"/>
          <w:noProof/>
          <w:sz w:val="24"/>
        </w:rPr>
        <w:t>Ces émissions obligataires de l'UE ont suscité une très forte demande sur le marché, ce qui s'est traduit par une large sursouscription des carnets d'ordres. Tous les principaux groupes d'investisseurs, notamment les investisseurs à long terme (fonds d'investissement, gestionnaires d'actifs, assurances et fonds de pension) et les institutions officielles, se sont portés acquéreurs de ces obligations.</w:t>
      </w:r>
    </w:p>
    <w:p>
      <w:pPr>
        <w:tabs>
          <w:tab w:val="left" w:pos="7800"/>
        </w:tabs>
        <w:spacing w:after="240" w:line="240" w:lineRule="auto"/>
        <w:jc w:val="both"/>
        <w:rPr>
          <w:rFonts w:ascii="Times New Roman" w:hAnsi="Times New Roman"/>
          <w:noProof/>
          <w:sz w:val="24"/>
          <w:szCs w:val="24"/>
          <w:u w:val="single"/>
        </w:rPr>
      </w:pPr>
      <w:r>
        <w:rPr>
          <w:rFonts w:ascii="Times New Roman" w:hAnsi="Times New Roman"/>
          <w:noProof/>
          <w:sz w:val="24"/>
          <w:u w:val="single"/>
        </w:rPr>
        <w:t>Tableau 5: Opérations d'emprunt de l'UE pour le MESF en 2015 (en millions d'EUR)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0"/>
        <w:gridCol w:w="1416"/>
        <w:gridCol w:w="1984"/>
        <w:gridCol w:w="959"/>
      </w:tblGrid>
      <w:tr>
        <w:tc>
          <w:tcPr>
            <w:tcW w:w="2654" w:type="pct"/>
            <w:tcBorders>
              <w:bottom w:val="single" w:sz="4" w:space="0" w:color="auto"/>
            </w:tcBorders>
            <w:shd w:val="clear" w:color="auto" w:fill="auto"/>
          </w:tcPr>
          <w:p>
            <w:pPr>
              <w:spacing w:before="240" w:after="240" w:line="240" w:lineRule="auto"/>
              <w:jc w:val="center"/>
              <w:rPr>
                <w:rFonts w:ascii="Times New Roman" w:hAnsi="Times New Roman"/>
                <w:noProof/>
                <w:sz w:val="24"/>
                <w:szCs w:val="24"/>
              </w:rPr>
            </w:pPr>
            <w:r>
              <w:rPr>
                <w:rFonts w:ascii="Times New Roman" w:hAnsi="Times New Roman"/>
                <w:noProof/>
                <w:sz w:val="24"/>
              </w:rPr>
              <w:t>Pays</w:t>
            </w:r>
          </w:p>
        </w:tc>
        <w:tc>
          <w:tcPr>
            <w:tcW w:w="762" w:type="pct"/>
            <w:tcBorders>
              <w:bottom w:val="single" w:sz="4" w:space="0" w:color="auto"/>
            </w:tcBorders>
            <w:shd w:val="clear" w:color="auto" w:fill="auto"/>
          </w:tcPr>
          <w:p>
            <w:pPr>
              <w:spacing w:before="240" w:after="240" w:line="240" w:lineRule="auto"/>
              <w:jc w:val="center"/>
              <w:rPr>
                <w:rFonts w:ascii="Times New Roman" w:hAnsi="Times New Roman"/>
                <w:noProof/>
                <w:sz w:val="24"/>
                <w:szCs w:val="24"/>
              </w:rPr>
            </w:pPr>
            <w:r>
              <w:rPr>
                <w:rFonts w:ascii="Times New Roman" w:hAnsi="Times New Roman"/>
                <w:noProof/>
                <w:sz w:val="24"/>
              </w:rPr>
              <w:t>Date d'émission</w:t>
            </w:r>
          </w:p>
        </w:tc>
        <w:tc>
          <w:tcPr>
            <w:tcW w:w="1068" w:type="pct"/>
            <w:tcBorders>
              <w:bottom w:val="single" w:sz="4" w:space="0" w:color="auto"/>
            </w:tcBorders>
            <w:shd w:val="clear" w:color="auto" w:fill="auto"/>
          </w:tcPr>
          <w:p>
            <w:pPr>
              <w:spacing w:before="240" w:after="240" w:line="240" w:lineRule="auto"/>
              <w:jc w:val="center"/>
              <w:rPr>
                <w:rFonts w:ascii="Times New Roman" w:hAnsi="Times New Roman"/>
                <w:noProof/>
                <w:sz w:val="24"/>
                <w:szCs w:val="24"/>
              </w:rPr>
            </w:pPr>
            <w:r>
              <w:rPr>
                <w:rFonts w:ascii="Times New Roman" w:hAnsi="Times New Roman"/>
                <w:noProof/>
                <w:sz w:val="24"/>
              </w:rPr>
              <w:t>Date d'échéance</w:t>
            </w:r>
          </w:p>
        </w:tc>
        <w:tc>
          <w:tcPr>
            <w:tcW w:w="516" w:type="pct"/>
            <w:tcBorders>
              <w:bottom w:val="single" w:sz="4" w:space="0" w:color="auto"/>
            </w:tcBorders>
            <w:shd w:val="clear" w:color="auto" w:fill="auto"/>
          </w:tcPr>
          <w:p>
            <w:pPr>
              <w:spacing w:before="240" w:after="240" w:line="240" w:lineRule="auto"/>
              <w:jc w:val="center"/>
              <w:rPr>
                <w:rFonts w:ascii="Times New Roman" w:hAnsi="Times New Roman"/>
                <w:noProof/>
                <w:sz w:val="24"/>
                <w:szCs w:val="24"/>
              </w:rPr>
            </w:pPr>
            <w:r>
              <w:rPr>
                <w:rFonts w:ascii="Times New Roman" w:hAnsi="Times New Roman"/>
                <w:noProof/>
                <w:sz w:val="24"/>
              </w:rPr>
              <w:t>Volume</w:t>
            </w:r>
          </w:p>
        </w:tc>
      </w:tr>
      <w:tr>
        <w:tc>
          <w:tcPr>
            <w:tcW w:w="2654" w:type="pct"/>
            <w:tcBorders>
              <w:top w:val="single" w:sz="4" w:space="0" w:color="auto"/>
            </w:tcBorders>
            <w:shd w:val="clear" w:color="auto" w:fill="auto"/>
          </w:tcPr>
          <w:p>
            <w:pPr>
              <w:spacing w:before="240" w:after="240" w:line="240" w:lineRule="auto"/>
              <w:rPr>
                <w:rFonts w:ascii="Times New Roman" w:hAnsi="Times New Roman"/>
                <w:bCs/>
                <w:noProof/>
                <w:sz w:val="24"/>
                <w:szCs w:val="24"/>
              </w:rPr>
            </w:pPr>
            <w:r>
              <w:rPr>
                <w:rFonts w:ascii="Times New Roman" w:hAnsi="Times New Roman"/>
                <w:noProof/>
                <w:sz w:val="24"/>
              </w:rPr>
              <w:t>Irlande – 1</w:t>
            </w:r>
            <w:r>
              <w:rPr>
                <w:rFonts w:ascii="Times New Roman" w:hAnsi="Times New Roman"/>
                <w:noProof/>
                <w:sz w:val="24"/>
                <w:vertAlign w:val="superscript"/>
              </w:rPr>
              <w:t>e</w:t>
            </w:r>
            <w:r>
              <w:rPr>
                <w:rFonts w:ascii="Times New Roman" w:hAnsi="Times New Roman"/>
                <w:noProof/>
                <w:sz w:val="24"/>
              </w:rPr>
              <w:t xml:space="preserve"> tranche</w:t>
            </w:r>
          </w:p>
        </w:tc>
        <w:tc>
          <w:tcPr>
            <w:tcW w:w="762" w:type="pct"/>
            <w:tcBorders>
              <w:top w:val="single" w:sz="4" w:space="0" w:color="auto"/>
            </w:tcBorders>
            <w:shd w:val="clear" w:color="auto" w:fill="auto"/>
          </w:tcPr>
          <w:p>
            <w:pPr>
              <w:spacing w:before="240" w:after="240" w:line="240" w:lineRule="auto"/>
              <w:rPr>
                <w:rFonts w:ascii="Times New Roman" w:hAnsi="Times New Roman"/>
                <w:bCs/>
                <w:noProof/>
                <w:sz w:val="24"/>
                <w:szCs w:val="24"/>
              </w:rPr>
            </w:pPr>
            <w:r>
              <w:rPr>
                <w:rFonts w:ascii="Times New Roman" w:hAnsi="Times New Roman"/>
                <w:noProof/>
                <w:sz w:val="24"/>
              </w:rPr>
              <w:t>22.9.2015</w:t>
            </w:r>
          </w:p>
        </w:tc>
        <w:tc>
          <w:tcPr>
            <w:tcW w:w="1068" w:type="pct"/>
            <w:tcBorders>
              <w:top w:val="single" w:sz="4" w:space="0" w:color="auto"/>
            </w:tcBorders>
            <w:shd w:val="clear" w:color="auto" w:fill="auto"/>
          </w:tcPr>
          <w:p>
            <w:pPr>
              <w:spacing w:before="240" w:after="240" w:line="240" w:lineRule="auto"/>
              <w:jc w:val="center"/>
              <w:rPr>
                <w:rFonts w:ascii="Times New Roman" w:hAnsi="Times New Roman"/>
                <w:bCs/>
                <w:noProof/>
                <w:sz w:val="24"/>
                <w:szCs w:val="24"/>
              </w:rPr>
            </w:pPr>
            <w:r>
              <w:rPr>
                <w:rFonts w:ascii="Times New Roman" w:hAnsi="Times New Roman"/>
                <w:noProof/>
                <w:sz w:val="24"/>
              </w:rPr>
              <w:t>4.10.2035</w:t>
            </w:r>
          </w:p>
        </w:tc>
        <w:tc>
          <w:tcPr>
            <w:tcW w:w="516" w:type="pct"/>
            <w:tcBorders>
              <w:top w:val="single" w:sz="4" w:space="0" w:color="auto"/>
            </w:tcBorders>
            <w:shd w:val="clear" w:color="auto" w:fill="auto"/>
          </w:tcPr>
          <w:p>
            <w:pPr>
              <w:spacing w:before="240" w:after="240" w:line="240" w:lineRule="auto"/>
              <w:rPr>
                <w:rFonts w:ascii="Times New Roman" w:hAnsi="Times New Roman"/>
                <w:bCs/>
                <w:noProof/>
                <w:sz w:val="24"/>
                <w:szCs w:val="24"/>
              </w:rPr>
            </w:pPr>
            <w:r>
              <w:rPr>
                <w:rFonts w:ascii="Times New Roman" w:hAnsi="Times New Roman"/>
                <w:noProof/>
                <w:sz w:val="24"/>
              </w:rPr>
              <w:t>2 000</w:t>
            </w:r>
          </w:p>
        </w:tc>
      </w:tr>
      <w:tr>
        <w:tc>
          <w:tcPr>
            <w:tcW w:w="2654" w:type="pct"/>
            <w:tcBorders>
              <w:top w:val="single" w:sz="4" w:space="0" w:color="auto"/>
            </w:tcBorders>
            <w:shd w:val="clear" w:color="auto" w:fill="auto"/>
          </w:tcPr>
          <w:p>
            <w:pPr>
              <w:spacing w:before="240" w:after="240" w:line="240" w:lineRule="auto"/>
              <w:rPr>
                <w:rFonts w:ascii="Times New Roman" w:hAnsi="Times New Roman"/>
                <w:bCs/>
                <w:noProof/>
                <w:sz w:val="24"/>
                <w:szCs w:val="24"/>
              </w:rPr>
            </w:pPr>
            <w:r>
              <w:rPr>
                <w:rFonts w:ascii="Times New Roman" w:hAnsi="Times New Roman"/>
                <w:noProof/>
                <w:sz w:val="24"/>
              </w:rPr>
              <w:t>Irlande – 2</w:t>
            </w:r>
            <w:r>
              <w:rPr>
                <w:rFonts w:ascii="Times New Roman" w:hAnsi="Times New Roman"/>
                <w:noProof/>
                <w:sz w:val="24"/>
                <w:vertAlign w:val="superscript"/>
              </w:rPr>
              <w:t>e</w:t>
            </w:r>
            <w:r>
              <w:rPr>
                <w:rFonts w:ascii="Times New Roman" w:hAnsi="Times New Roman"/>
                <w:noProof/>
                <w:sz w:val="24"/>
              </w:rPr>
              <w:t xml:space="preserve"> tranche</w:t>
            </w:r>
          </w:p>
        </w:tc>
        <w:tc>
          <w:tcPr>
            <w:tcW w:w="762" w:type="pct"/>
            <w:tcBorders>
              <w:top w:val="single" w:sz="4" w:space="0" w:color="auto"/>
            </w:tcBorders>
            <w:shd w:val="clear" w:color="auto" w:fill="auto"/>
          </w:tcPr>
          <w:p>
            <w:pPr>
              <w:spacing w:before="240" w:after="240" w:line="240" w:lineRule="auto"/>
              <w:rPr>
                <w:rFonts w:ascii="Times New Roman" w:hAnsi="Times New Roman"/>
                <w:bCs/>
                <w:noProof/>
                <w:sz w:val="24"/>
                <w:szCs w:val="24"/>
              </w:rPr>
            </w:pPr>
            <w:r>
              <w:rPr>
                <w:rFonts w:ascii="Times New Roman" w:hAnsi="Times New Roman"/>
                <w:noProof/>
                <w:sz w:val="24"/>
              </w:rPr>
              <w:t>1.10.2015</w:t>
            </w:r>
          </w:p>
        </w:tc>
        <w:tc>
          <w:tcPr>
            <w:tcW w:w="1068" w:type="pct"/>
            <w:tcBorders>
              <w:top w:val="single" w:sz="4" w:space="0" w:color="auto"/>
            </w:tcBorders>
            <w:shd w:val="clear" w:color="auto" w:fill="auto"/>
          </w:tcPr>
          <w:p>
            <w:pPr>
              <w:spacing w:before="240" w:after="240" w:line="240" w:lineRule="auto"/>
              <w:jc w:val="center"/>
              <w:rPr>
                <w:rFonts w:ascii="Times New Roman" w:hAnsi="Times New Roman"/>
                <w:bCs/>
                <w:noProof/>
                <w:sz w:val="24"/>
                <w:szCs w:val="24"/>
              </w:rPr>
            </w:pPr>
            <w:r>
              <w:rPr>
                <w:rFonts w:ascii="Times New Roman" w:hAnsi="Times New Roman"/>
                <w:noProof/>
                <w:sz w:val="24"/>
              </w:rPr>
              <w:t>4.11.2023</w:t>
            </w:r>
          </w:p>
        </w:tc>
        <w:tc>
          <w:tcPr>
            <w:tcW w:w="516" w:type="pct"/>
            <w:tcBorders>
              <w:top w:val="single" w:sz="4" w:space="0" w:color="auto"/>
            </w:tcBorders>
            <w:shd w:val="clear" w:color="auto" w:fill="auto"/>
          </w:tcPr>
          <w:p>
            <w:pPr>
              <w:spacing w:before="240" w:after="240" w:line="240" w:lineRule="auto"/>
              <w:rPr>
                <w:rFonts w:ascii="Times New Roman" w:hAnsi="Times New Roman"/>
                <w:bCs/>
                <w:noProof/>
                <w:sz w:val="24"/>
                <w:szCs w:val="24"/>
              </w:rPr>
            </w:pPr>
            <w:r>
              <w:rPr>
                <w:rFonts w:ascii="Times New Roman" w:hAnsi="Times New Roman"/>
                <w:noProof/>
                <w:sz w:val="24"/>
              </w:rPr>
              <w:t>2 000</w:t>
            </w:r>
          </w:p>
        </w:tc>
      </w:tr>
      <w:tr>
        <w:tc>
          <w:tcPr>
            <w:tcW w:w="2654" w:type="pct"/>
            <w:tcBorders>
              <w:top w:val="single" w:sz="4" w:space="0" w:color="auto"/>
            </w:tcBorders>
            <w:shd w:val="clear" w:color="auto" w:fill="auto"/>
          </w:tcPr>
          <w:p>
            <w:pPr>
              <w:spacing w:before="240" w:after="240" w:line="240" w:lineRule="auto"/>
              <w:rPr>
                <w:rFonts w:ascii="Times New Roman" w:hAnsi="Times New Roman"/>
                <w:bCs/>
                <w:noProof/>
                <w:sz w:val="24"/>
                <w:szCs w:val="24"/>
              </w:rPr>
            </w:pPr>
            <w:r>
              <w:rPr>
                <w:rFonts w:ascii="Times New Roman" w:hAnsi="Times New Roman"/>
                <w:noProof/>
                <w:sz w:val="24"/>
              </w:rPr>
              <w:t>Irlande – 3</w:t>
            </w:r>
            <w:r>
              <w:rPr>
                <w:rFonts w:ascii="Times New Roman" w:hAnsi="Times New Roman"/>
                <w:noProof/>
                <w:sz w:val="24"/>
                <w:vertAlign w:val="superscript"/>
              </w:rPr>
              <w:t>e</w:t>
            </w:r>
            <w:r>
              <w:rPr>
                <w:rFonts w:ascii="Times New Roman" w:hAnsi="Times New Roman"/>
                <w:noProof/>
                <w:sz w:val="24"/>
              </w:rPr>
              <w:t xml:space="preserve"> tranche</w:t>
            </w:r>
            <w:r>
              <w:rPr>
                <w:rFonts w:ascii="Times New Roman" w:hAnsi="Times New Roman"/>
                <w:noProof/>
                <w:sz w:val="20"/>
              </w:rPr>
              <w:t>*</w:t>
            </w:r>
          </w:p>
        </w:tc>
        <w:tc>
          <w:tcPr>
            <w:tcW w:w="762" w:type="pct"/>
            <w:tcBorders>
              <w:top w:val="single" w:sz="4" w:space="0" w:color="auto"/>
            </w:tcBorders>
            <w:shd w:val="clear" w:color="auto" w:fill="auto"/>
          </w:tcPr>
          <w:p>
            <w:pPr>
              <w:spacing w:before="240" w:after="240" w:line="240" w:lineRule="auto"/>
              <w:rPr>
                <w:rFonts w:ascii="Times New Roman" w:hAnsi="Times New Roman"/>
                <w:bCs/>
                <w:noProof/>
                <w:sz w:val="24"/>
                <w:szCs w:val="24"/>
              </w:rPr>
            </w:pPr>
            <w:r>
              <w:rPr>
                <w:rFonts w:ascii="Times New Roman" w:hAnsi="Times New Roman"/>
                <w:noProof/>
                <w:sz w:val="24"/>
              </w:rPr>
              <w:t>15.10.2015</w:t>
            </w:r>
          </w:p>
        </w:tc>
        <w:tc>
          <w:tcPr>
            <w:tcW w:w="1068" w:type="pct"/>
            <w:tcBorders>
              <w:top w:val="single" w:sz="4" w:space="0" w:color="auto"/>
            </w:tcBorders>
            <w:shd w:val="clear" w:color="auto" w:fill="auto"/>
          </w:tcPr>
          <w:p>
            <w:pPr>
              <w:spacing w:before="240" w:after="240" w:line="240" w:lineRule="auto"/>
              <w:jc w:val="center"/>
              <w:rPr>
                <w:rFonts w:ascii="Times New Roman" w:hAnsi="Times New Roman"/>
                <w:bCs/>
                <w:noProof/>
                <w:sz w:val="24"/>
                <w:szCs w:val="24"/>
              </w:rPr>
            </w:pPr>
            <w:r>
              <w:rPr>
                <w:rFonts w:ascii="Times New Roman" w:hAnsi="Times New Roman"/>
                <w:noProof/>
                <w:sz w:val="24"/>
              </w:rPr>
              <w:t>4.10.2029</w:t>
            </w:r>
          </w:p>
        </w:tc>
        <w:tc>
          <w:tcPr>
            <w:tcW w:w="516" w:type="pct"/>
            <w:tcBorders>
              <w:top w:val="single" w:sz="4" w:space="0" w:color="auto"/>
            </w:tcBorders>
            <w:shd w:val="clear" w:color="auto" w:fill="auto"/>
          </w:tcPr>
          <w:p>
            <w:pPr>
              <w:spacing w:before="240" w:after="240" w:line="240" w:lineRule="auto"/>
              <w:rPr>
                <w:rFonts w:ascii="Times New Roman" w:hAnsi="Times New Roman"/>
                <w:bCs/>
                <w:noProof/>
                <w:sz w:val="24"/>
                <w:szCs w:val="24"/>
              </w:rPr>
            </w:pPr>
            <w:r>
              <w:rPr>
                <w:rFonts w:ascii="Times New Roman" w:hAnsi="Times New Roman"/>
                <w:noProof/>
                <w:sz w:val="24"/>
              </w:rPr>
              <w:t>1 000</w:t>
            </w:r>
          </w:p>
        </w:tc>
      </w:tr>
      <w:tr>
        <w:trPr>
          <w:trHeight w:val="336"/>
        </w:trPr>
        <w:tc>
          <w:tcPr>
            <w:tcW w:w="2654" w:type="pct"/>
            <w:shd w:val="clear" w:color="auto" w:fill="auto"/>
          </w:tcPr>
          <w:p>
            <w:pPr>
              <w:spacing w:before="240" w:after="240" w:line="240" w:lineRule="auto"/>
              <w:jc w:val="both"/>
              <w:rPr>
                <w:rFonts w:ascii="Times New Roman" w:hAnsi="Times New Roman"/>
                <w:b/>
                <w:noProof/>
                <w:sz w:val="24"/>
                <w:szCs w:val="24"/>
              </w:rPr>
            </w:pPr>
            <w:r>
              <w:rPr>
                <w:rFonts w:ascii="Times New Roman" w:hAnsi="Times New Roman"/>
                <w:b/>
                <w:noProof/>
                <w:sz w:val="24"/>
              </w:rPr>
              <w:t>Total</w:t>
            </w:r>
          </w:p>
        </w:tc>
        <w:tc>
          <w:tcPr>
            <w:tcW w:w="762" w:type="pct"/>
            <w:shd w:val="clear" w:color="auto" w:fill="auto"/>
          </w:tcPr>
          <w:p>
            <w:pPr>
              <w:spacing w:after="240" w:line="240" w:lineRule="auto"/>
              <w:jc w:val="both"/>
              <w:rPr>
                <w:rFonts w:ascii="Times New Roman" w:hAnsi="Times New Roman"/>
                <w:b/>
                <w:noProof/>
                <w:sz w:val="24"/>
                <w:szCs w:val="24"/>
              </w:rPr>
            </w:pPr>
          </w:p>
        </w:tc>
        <w:tc>
          <w:tcPr>
            <w:tcW w:w="1068" w:type="pct"/>
            <w:shd w:val="clear" w:color="auto" w:fill="auto"/>
          </w:tcPr>
          <w:p>
            <w:pPr>
              <w:spacing w:after="240" w:line="240" w:lineRule="auto"/>
              <w:jc w:val="both"/>
              <w:rPr>
                <w:rFonts w:ascii="Times New Roman" w:hAnsi="Times New Roman"/>
                <w:b/>
                <w:noProof/>
                <w:sz w:val="24"/>
                <w:szCs w:val="24"/>
              </w:rPr>
            </w:pPr>
          </w:p>
        </w:tc>
        <w:tc>
          <w:tcPr>
            <w:tcW w:w="516" w:type="pct"/>
            <w:shd w:val="clear" w:color="auto" w:fill="auto"/>
          </w:tcPr>
          <w:p>
            <w:pPr>
              <w:spacing w:before="240" w:after="240" w:line="240" w:lineRule="auto"/>
              <w:rPr>
                <w:rFonts w:ascii="Times New Roman" w:hAnsi="Times New Roman"/>
                <w:b/>
                <w:noProof/>
                <w:sz w:val="24"/>
                <w:szCs w:val="24"/>
              </w:rPr>
            </w:pPr>
            <w:r>
              <w:rPr>
                <w:rFonts w:ascii="Times New Roman" w:hAnsi="Times New Roman"/>
                <w:b/>
                <w:noProof/>
                <w:sz w:val="24"/>
              </w:rPr>
              <w:t>5 000</w:t>
            </w:r>
          </w:p>
        </w:tc>
      </w:tr>
    </w:tbl>
    <w:p>
      <w:pPr>
        <w:spacing w:after="240" w:line="240" w:lineRule="auto"/>
        <w:jc w:val="both"/>
        <w:rPr>
          <w:rFonts w:ascii="Times New Roman" w:hAnsi="Times New Roman"/>
          <w:noProof/>
          <w:sz w:val="20"/>
          <w:szCs w:val="20"/>
        </w:rPr>
      </w:pPr>
      <w:r>
        <w:rPr>
          <w:rFonts w:ascii="Times New Roman" w:hAnsi="Times New Roman"/>
          <w:noProof/>
          <w:sz w:val="20"/>
        </w:rPr>
        <w:t>*Avec les 80 millions d'EUR d'AMF pour la Jordanie et les 5 millions d'EUR d'AMF pour la République kirghize; (voir point 3.3 ci-après).</w:t>
      </w:r>
    </w:p>
    <w:p>
      <w:pPr>
        <w:pStyle w:val="ManualHeading2"/>
        <w:spacing w:before="480" w:after="240"/>
        <w:ind w:left="851" w:hanging="851"/>
        <w:outlineLvl w:val="0"/>
        <w:rPr>
          <w:noProof/>
        </w:rPr>
      </w:pPr>
      <w:bookmarkStart w:id="88" w:name="_Toc325641148"/>
      <w:bookmarkStart w:id="89" w:name="_Toc330157550"/>
      <w:bookmarkStart w:id="90" w:name="_Toc361393260"/>
      <w:bookmarkStart w:id="91" w:name="_Toc388883948"/>
      <w:bookmarkStart w:id="92" w:name="_Toc393808500"/>
      <w:bookmarkStart w:id="93" w:name="_Toc451257936"/>
      <w:bookmarkStart w:id="94" w:name="_Toc452129254"/>
      <w:r>
        <w:rPr>
          <w:noProof/>
        </w:rPr>
        <w:t>3.3.</w:t>
      </w:r>
      <w:r>
        <w:rPr>
          <w:noProof/>
        </w:rPr>
        <w:tab/>
        <w:t>Assistance macrofinancière</w:t>
      </w:r>
      <w:bookmarkEnd w:id="88"/>
      <w:bookmarkEnd w:id="89"/>
      <w:bookmarkEnd w:id="90"/>
      <w:bookmarkEnd w:id="91"/>
      <w:bookmarkEnd w:id="92"/>
      <w:bookmarkEnd w:id="93"/>
      <w:bookmarkEnd w:id="94"/>
    </w:p>
    <w:p>
      <w:pPr>
        <w:spacing w:after="120" w:line="240" w:lineRule="auto"/>
        <w:jc w:val="both"/>
        <w:rPr>
          <w:rFonts w:ascii="Times New Roman" w:hAnsi="Times New Roman"/>
          <w:noProof/>
          <w:sz w:val="24"/>
          <w:szCs w:val="24"/>
        </w:rPr>
      </w:pPr>
      <w:bookmarkStart w:id="95" w:name="_Toc325641149"/>
      <w:bookmarkStart w:id="96" w:name="_Toc330157551"/>
      <w:bookmarkStart w:id="97" w:name="_Toc361393261"/>
      <w:r>
        <w:rPr>
          <w:rFonts w:ascii="Times New Roman" w:hAnsi="Times New Roman"/>
          <w:noProof/>
          <w:sz w:val="24"/>
        </w:rPr>
        <w:t>En 2015, huit opérations d’emprunt ont été réalisées pour un montant total de 1 245 millions d’EUR, comme indiqué dans le tableau 6.</w:t>
      </w:r>
    </w:p>
    <w:p>
      <w:pPr>
        <w:spacing w:after="120" w:line="240" w:lineRule="auto"/>
        <w:jc w:val="both"/>
        <w:rPr>
          <w:rFonts w:ascii="Times New Roman" w:hAnsi="Times New Roman"/>
          <w:noProof/>
          <w:sz w:val="24"/>
          <w:szCs w:val="24"/>
        </w:rPr>
      </w:pPr>
      <w:r>
        <w:rPr>
          <w:rFonts w:ascii="Times New Roman" w:hAnsi="Times New Roman"/>
          <w:noProof/>
          <w:sz w:val="24"/>
        </w:rPr>
        <w:t xml:space="preserve">Le 3 février 2015, la première tranche en faveur de la Jordanie d'un montant de 100 millions d'EUR a été financée à travers un placement privé. La transaction s’est fondée sur une structure d'amortissement (5 obligations conventionnelles imitant la structure d'amortissement du prêt) et le décaissement a eu lieu le 10 février 2015. </w:t>
      </w:r>
    </w:p>
    <w:p>
      <w:pPr>
        <w:spacing w:after="120" w:line="240" w:lineRule="auto"/>
        <w:jc w:val="both"/>
        <w:rPr>
          <w:rFonts w:ascii="Times New Roman" w:hAnsi="Times New Roman"/>
          <w:noProof/>
          <w:sz w:val="24"/>
          <w:szCs w:val="24"/>
        </w:rPr>
      </w:pPr>
      <w:r>
        <w:rPr>
          <w:rFonts w:ascii="Times New Roman" w:hAnsi="Times New Roman"/>
          <w:noProof/>
          <w:sz w:val="24"/>
        </w:rPr>
        <w:t>Basée sur une structure similaire ayant un profil de remboursement lié à l'amortissement, un montant nominal de 260 millions d’EUR a été levé le 14 avril 2015 et décaissé le 21 avril 2015 pour le prêt en faveur de l’Ukraine (250 millions d’EUR) et le prêt en faveur de la Géorgie (10 millions d’EUR).</w:t>
      </w:r>
    </w:p>
    <w:p>
      <w:pPr>
        <w:spacing w:after="120" w:line="240" w:lineRule="auto"/>
        <w:jc w:val="both"/>
        <w:rPr>
          <w:rFonts w:ascii="Times New Roman" w:hAnsi="Times New Roman"/>
          <w:noProof/>
          <w:sz w:val="24"/>
          <w:szCs w:val="24"/>
        </w:rPr>
      </w:pPr>
      <w:r>
        <w:rPr>
          <w:rFonts w:ascii="Times New Roman" w:hAnsi="Times New Roman"/>
          <w:noProof/>
          <w:sz w:val="24"/>
        </w:rPr>
        <w:t>En mai 2015 et en décembre 2015, les première et deuxième tranches pour la Tunisie (100 millions d’EUR chacune, sous forme de prêts remboursables à l'échéance) ont été financées à travers des placements privés.</w:t>
      </w:r>
    </w:p>
    <w:p>
      <w:pPr>
        <w:spacing w:after="120" w:line="240" w:lineRule="auto"/>
        <w:jc w:val="both"/>
        <w:rPr>
          <w:rFonts w:ascii="Times New Roman" w:hAnsi="Times New Roman"/>
          <w:noProof/>
          <w:sz w:val="24"/>
          <w:szCs w:val="24"/>
        </w:rPr>
      </w:pPr>
      <w:r>
        <w:rPr>
          <w:rFonts w:ascii="Times New Roman" w:hAnsi="Times New Roman"/>
          <w:noProof/>
          <w:sz w:val="24"/>
        </w:rPr>
        <w:t>En juillet 2015, la première tranche du troisième programme en faveur de l’Ukraine (600 millions d’EUR) a été financée par une émission obligataire publique.</w:t>
      </w:r>
    </w:p>
    <w:p>
      <w:pPr>
        <w:spacing w:after="120" w:line="240" w:lineRule="auto"/>
        <w:jc w:val="both"/>
        <w:rPr>
          <w:rFonts w:ascii="Times New Roman" w:hAnsi="Times New Roman"/>
          <w:noProof/>
          <w:sz w:val="24"/>
          <w:szCs w:val="24"/>
        </w:rPr>
      </w:pPr>
      <w:r>
        <w:rPr>
          <w:rFonts w:ascii="Times New Roman" w:hAnsi="Times New Roman"/>
          <w:noProof/>
          <w:sz w:val="24"/>
        </w:rPr>
        <w:t>En octobre 2015, deux autres transactions de 80 millions d’EUR et 5 millions d’EUR ont été combinées avec la troisième tranche du refinancement du prêt MESF de l’Irlande (voir point 3.2 ci-dessus).</w:t>
      </w:r>
    </w:p>
    <w:p>
      <w:pPr>
        <w:tabs>
          <w:tab w:val="left" w:pos="7800"/>
        </w:tabs>
        <w:spacing w:after="240" w:line="240" w:lineRule="auto"/>
        <w:jc w:val="both"/>
        <w:rPr>
          <w:rFonts w:ascii="Times New Roman" w:hAnsi="Times New Roman"/>
          <w:noProof/>
          <w:sz w:val="24"/>
          <w:szCs w:val="24"/>
          <w:u w:val="single"/>
        </w:rPr>
      </w:pPr>
      <w:r>
        <w:rPr>
          <w:noProof/>
        </w:rPr>
        <w:br w:type="page"/>
      </w:r>
      <w:r>
        <w:rPr>
          <w:rFonts w:ascii="Times New Roman" w:hAnsi="Times New Roman"/>
          <w:noProof/>
          <w:sz w:val="24"/>
          <w:u w:val="single"/>
        </w:rPr>
        <w:t>Tableau 6: Opérations d'emprunt de l'UE pour l'AMF en 2015 (en millions d'EUR)</w:t>
      </w: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8"/>
        <w:gridCol w:w="2510"/>
        <w:gridCol w:w="1555"/>
        <w:gridCol w:w="2036"/>
        <w:gridCol w:w="1560"/>
      </w:tblGrid>
      <w:tr>
        <w:trPr>
          <w:trHeight w:val="809"/>
        </w:trPr>
        <w:tc>
          <w:tcPr>
            <w:tcW w:w="827" w:type="pct"/>
            <w:tcBorders>
              <w:bottom w:val="single" w:sz="4" w:space="0" w:color="auto"/>
            </w:tcBorders>
            <w:shd w:val="clear" w:color="auto" w:fill="auto"/>
          </w:tcPr>
          <w:p>
            <w:pPr>
              <w:spacing w:after="240" w:line="240" w:lineRule="auto"/>
              <w:jc w:val="center"/>
              <w:rPr>
                <w:rFonts w:ascii="Times New Roman" w:hAnsi="Times New Roman"/>
                <w:noProof/>
                <w:sz w:val="24"/>
                <w:szCs w:val="24"/>
              </w:rPr>
            </w:pPr>
          </w:p>
          <w:p>
            <w:pPr>
              <w:spacing w:after="240" w:line="240" w:lineRule="auto"/>
              <w:jc w:val="center"/>
              <w:rPr>
                <w:rFonts w:ascii="Times New Roman" w:hAnsi="Times New Roman"/>
                <w:noProof/>
                <w:sz w:val="24"/>
                <w:szCs w:val="24"/>
              </w:rPr>
            </w:pPr>
            <w:r>
              <w:rPr>
                <w:rFonts w:ascii="Times New Roman" w:hAnsi="Times New Roman"/>
                <w:noProof/>
                <w:sz w:val="24"/>
              </w:rPr>
              <w:t>Pays</w:t>
            </w:r>
          </w:p>
        </w:tc>
        <w:tc>
          <w:tcPr>
            <w:tcW w:w="1367" w:type="pct"/>
            <w:tcBorders>
              <w:bottom w:val="single" w:sz="4" w:space="0" w:color="auto"/>
            </w:tcBorders>
            <w:shd w:val="clear" w:color="auto" w:fill="auto"/>
          </w:tcPr>
          <w:p>
            <w:pPr>
              <w:spacing w:after="240" w:line="240" w:lineRule="auto"/>
              <w:jc w:val="center"/>
              <w:rPr>
                <w:rFonts w:ascii="Times New Roman" w:hAnsi="Times New Roman"/>
                <w:noProof/>
                <w:sz w:val="24"/>
                <w:szCs w:val="24"/>
              </w:rPr>
            </w:pPr>
          </w:p>
          <w:p>
            <w:pPr>
              <w:spacing w:after="240" w:line="240" w:lineRule="auto"/>
              <w:jc w:val="center"/>
              <w:rPr>
                <w:rFonts w:ascii="Times New Roman" w:hAnsi="Times New Roman"/>
                <w:noProof/>
                <w:sz w:val="24"/>
                <w:szCs w:val="24"/>
              </w:rPr>
            </w:pPr>
            <w:r>
              <w:rPr>
                <w:rFonts w:ascii="Times New Roman" w:hAnsi="Times New Roman"/>
                <w:noProof/>
                <w:sz w:val="24"/>
              </w:rPr>
              <w:t>Description</w:t>
            </w:r>
          </w:p>
        </w:tc>
        <w:tc>
          <w:tcPr>
            <w:tcW w:w="847" w:type="pct"/>
            <w:tcBorders>
              <w:bottom w:val="single" w:sz="4" w:space="0" w:color="auto"/>
            </w:tcBorders>
            <w:shd w:val="clear" w:color="auto" w:fill="auto"/>
          </w:tcPr>
          <w:p>
            <w:pPr>
              <w:spacing w:after="240" w:line="240" w:lineRule="auto"/>
              <w:jc w:val="center"/>
              <w:rPr>
                <w:rFonts w:ascii="Times New Roman" w:hAnsi="Times New Roman"/>
                <w:noProof/>
                <w:sz w:val="24"/>
                <w:szCs w:val="24"/>
              </w:rPr>
            </w:pPr>
          </w:p>
          <w:p>
            <w:pPr>
              <w:spacing w:after="240" w:line="240" w:lineRule="auto"/>
              <w:jc w:val="center"/>
              <w:rPr>
                <w:rFonts w:ascii="Times New Roman" w:hAnsi="Times New Roman"/>
                <w:noProof/>
                <w:sz w:val="24"/>
                <w:szCs w:val="24"/>
              </w:rPr>
            </w:pPr>
            <w:r>
              <w:rPr>
                <w:rFonts w:ascii="Times New Roman" w:hAnsi="Times New Roman"/>
                <w:noProof/>
                <w:sz w:val="24"/>
              </w:rPr>
              <w:t>Date d'émission</w:t>
            </w:r>
          </w:p>
        </w:tc>
        <w:tc>
          <w:tcPr>
            <w:tcW w:w="1109" w:type="pct"/>
            <w:tcBorders>
              <w:bottom w:val="single" w:sz="4" w:space="0" w:color="auto"/>
            </w:tcBorders>
            <w:shd w:val="clear" w:color="auto" w:fill="auto"/>
          </w:tcPr>
          <w:p>
            <w:pPr>
              <w:spacing w:after="240" w:line="240" w:lineRule="auto"/>
              <w:jc w:val="center"/>
              <w:rPr>
                <w:rFonts w:ascii="Times New Roman" w:hAnsi="Times New Roman"/>
                <w:noProof/>
                <w:sz w:val="24"/>
                <w:szCs w:val="24"/>
              </w:rPr>
            </w:pPr>
          </w:p>
          <w:p>
            <w:pPr>
              <w:spacing w:after="240" w:line="240" w:lineRule="auto"/>
              <w:jc w:val="center"/>
              <w:rPr>
                <w:rFonts w:ascii="Times New Roman" w:hAnsi="Times New Roman"/>
                <w:noProof/>
                <w:sz w:val="24"/>
                <w:szCs w:val="24"/>
              </w:rPr>
            </w:pPr>
            <w:r>
              <w:rPr>
                <w:rFonts w:ascii="Times New Roman" w:hAnsi="Times New Roman"/>
                <w:noProof/>
                <w:sz w:val="24"/>
              </w:rPr>
              <w:t>Date d'échéance</w:t>
            </w:r>
          </w:p>
        </w:tc>
        <w:tc>
          <w:tcPr>
            <w:tcW w:w="850" w:type="pct"/>
            <w:tcBorders>
              <w:bottom w:val="single" w:sz="4" w:space="0" w:color="auto"/>
            </w:tcBorders>
            <w:shd w:val="clear" w:color="auto" w:fill="auto"/>
          </w:tcPr>
          <w:p>
            <w:pPr>
              <w:spacing w:after="240" w:line="240" w:lineRule="auto"/>
              <w:jc w:val="center"/>
              <w:rPr>
                <w:rFonts w:ascii="Times New Roman" w:hAnsi="Times New Roman"/>
                <w:noProof/>
                <w:sz w:val="24"/>
                <w:szCs w:val="24"/>
              </w:rPr>
            </w:pPr>
          </w:p>
          <w:p>
            <w:pPr>
              <w:spacing w:after="240" w:line="240" w:lineRule="auto"/>
              <w:jc w:val="center"/>
              <w:rPr>
                <w:rFonts w:ascii="Times New Roman" w:hAnsi="Times New Roman"/>
                <w:noProof/>
                <w:sz w:val="24"/>
                <w:szCs w:val="24"/>
              </w:rPr>
            </w:pPr>
            <w:r>
              <w:rPr>
                <w:rFonts w:ascii="Times New Roman" w:hAnsi="Times New Roman"/>
                <w:noProof/>
                <w:sz w:val="24"/>
              </w:rPr>
              <w:t>Volume</w:t>
            </w:r>
          </w:p>
        </w:tc>
      </w:tr>
      <w:tr>
        <w:tc>
          <w:tcPr>
            <w:tcW w:w="827" w:type="pct"/>
            <w:tcBorders>
              <w:top w:val="single" w:sz="4" w:space="0" w:color="auto"/>
            </w:tcBorders>
            <w:shd w:val="clear" w:color="auto" w:fill="auto"/>
          </w:tcPr>
          <w:p>
            <w:pPr>
              <w:spacing w:after="240" w:line="240" w:lineRule="auto"/>
              <w:jc w:val="center"/>
              <w:rPr>
                <w:rFonts w:ascii="Times New Roman" w:hAnsi="Times New Roman"/>
                <w:noProof/>
                <w:sz w:val="24"/>
                <w:szCs w:val="24"/>
              </w:rPr>
            </w:pPr>
          </w:p>
          <w:p>
            <w:pPr>
              <w:spacing w:after="240" w:line="240" w:lineRule="auto"/>
              <w:jc w:val="center"/>
              <w:rPr>
                <w:rFonts w:ascii="Times New Roman" w:hAnsi="Times New Roman"/>
                <w:bCs/>
                <w:noProof/>
                <w:sz w:val="24"/>
                <w:szCs w:val="24"/>
              </w:rPr>
            </w:pPr>
            <w:r>
              <w:rPr>
                <w:rFonts w:ascii="Times New Roman" w:hAnsi="Times New Roman"/>
                <w:noProof/>
                <w:sz w:val="24"/>
              </w:rPr>
              <w:t>Jordanie</w:t>
            </w:r>
          </w:p>
        </w:tc>
        <w:tc>
          <w:tcPr>
            <w:tcW w:w="1367" w:type="pct"/>
            <w:tcBorders>
              <w:top w:val="single" w:sz="4" w:space="0" w:color="auto"/>
            </w:tcBorders>
            <w:shd w:val="clear" w:color="auto" w:fill="auto"/>
          </w:tcPr>
          <w:p>
            <w:pPr>
              <w:spacing w:after="0" w:line="240" w:lineRule="auto"/>
              <w:jc w:val="center"/>
              <w:rPr>
                <w:rFonts w:ascii="Times New Roman" w:hAnsi="Times New Roman"/>
                <w:bCs/>
                <w:noProof/>
                <w:sz w:val="24"/>
                <w:szCs w:val="24"/>
              </w:rPr>
            </w:pPr>
          </w:p>
          <w:p>
            <w:pPr>
              <w:spacing w:after="0" w:line="240" w:lineRule="auto"/>
              <w:jc w:val="center"/>
              <w:rPr>
                <w:rFonts w:ascii="Times New Roman" w:hAnsi="Times New Roman"/>
                <w:bCs/>
                <w:noProof/>
                <w:sz w:val="24"/>
                <w:szCs w:val="24"/>
              </w:rPr>
            </w:pPr>
            <w:r>
              <w:rPr>
                <w:rFonts w:ascii="Times New Roman" w:hAnsi="Times New Roman"/>
                <w:noProof/>
                <w:sz w:val="24"/>
              </w:rPr>
              <w:t>Jordanie</w:t>
            </w:r>
          </w:p>
          <w:p>
            <w:pPr>
              <w:spacing w:after="240" w:line="240" w:lineRule="auto"/>
              <w:jc w:val="center"/>
              <w:rPr>
                <w:rFonts w:ascii="Times New Roman" w:hAnsi="Times New Roman"/>
                <w:bCs/>
                <w:noProof/>
                <w:sz w:val="24"/>
                <w:szCs w:val="24"/>
              </w:rPr>
            </w:pPr>
            <w:r>
              <w:rPr>
                <w:rFonts w:ascii="Times New Roman" w:hAnsi="Times New Roman"/>
                <w:noProof/>
                <w:sz w:val="24"/>
              </w:rPr>
              <w:t>1</w:t>
            </w:r>
            <w:r>
              <w:rPr>
                <w:rFonts w:ascii="Times New Roman" w:hAnsi="Times New Roman"/>
                <w:noProof/>
                <w:sz w:val="24"/>
                <w:vertAlign w:val="superscript"/>
              </w:rPr>
              <w:t>e</w:t>
            </w:r>
            <w:r>
              <w:rPr>
                <w:rFonts w:ascii="Times New Roman" w:hAnsi="Times New Roman"/>
                <w:noProof/>
                <w:sz w:val="24"/>
              </w:rPr>
              <w:t xml:space="preserve"> tranche</w:t>
            </w:r>
          </w:p>
        </w:tc>
        <w:tc>
          <w:tcPr>
            <w:tcW w:w="847" w:type="pct"/>
            <w:tcBorders>
              <w:top w:val="single" w:sz="4" w:space="0" w:color="auto"/>
            </w:tcBorders>
            <w:shd w:val="clear" w:color="auto" w:fill="auto"/>
          </w:tcPr>
          <w:p>
            <w:pPr>
              <w:spacing w:after="240" w:line="240" w:lineRule="auto"/>
              <w:jc w:val="center"/>
              <w:rPr>
                <w:rFonts w:ascii="Times New Roman" w:hAnsi="Times New Roman"/>
                <w:bCs/>
                <w:noProof/>
                <w:sz w:val="24"/>
                <w:szCs w:val="24"/>
              </w:rPr>
            </w:pPr>
          </w:p>
          <w:p>
            <w:pPr>
              <w:spacing w:after="240" w:line="240" w:lineRule="auto"/>
              <w:jc w:val="center"/>
              <w:rPr>
                <w:rFonts w:ascii="Times New Roman" w:hAnsi="Times New Roman"/>
                <w:bCs/>
                <w:noProof/>
                <w:sz w:val="24"/>
                <w:szCs w:val="24"/>
              </w:rPr>
            </w:pPr>
            <w:r>
              <w:rPr>
                <w:rFonts w:ascii="Times New Roman" w:hAnsi="Times New Roman"/>
                <w:noProof/>
                <w:sz w:val="24"/>
              </w:rPr>
              <w:t>10.2.2015</w:t>
            </w:r>
          </w:p>
        </w:tc>
        <w:tc>
          <w:tcPr>
            <w:tcW w:w="1109" w:type="pct"/>
            <w:tcBorders>
              <w:top w:val="single" w:sz="4" w:space="0" w:color="auto"/>
            </w:tcBorders>
            <w:shd w:val="clear" w:color="auto" w:fill="auto"/>
          </w:tcPr>
          <w:p>
            <w:pPr>
              <w:spacing w:after="240" w:line="240" w:lineRule="auto"/>
              <w:jc w:val="center"/>
              <w:rPr>
                <w:rFonts w:ascii="Times New Roman" w:hAnsi="Times New Roman"/>
                <w:bCs/>
                <w:noProof/>
                <w:sz w:val="24"/>
                <w:szCs w:val="24"/>
              </w:rPr>
            </w:pPr>
          </w:p>
          <w:p>
            <w:pPr>
              <w:spacing w:after="240" w:line="240" w:lineRule="auto"/>
              <w:jc w:val="center"/>
              <w:rPr>
                <w:rFonts w:ascii="Times New Roman" w:hAnsi="Times New Roman"/>
                <w:bCs/>
                <w:noProof/>
                <w:sz w:val="24"/>
                <w:szCs w:val="24"/>
              </w:rPr>
            </w:pPr>
            <w:r>
              <w:rPr>
                <w:rFonts w:ascii="Times New Roman" w:hAnsi="Times New Roman"/>
                <w:noProof/>
                <w:sz w:val="24"/>
              </w:rPr>
              <w:t>4.12.2029</w:t>
            </w:r>
          </w:p>
        </w:tc>
        <w:tc>
          <w:tcPr>
            <w:tcW w:w="850" w:type="pct"/>
            <w:tcBorders>
              <w:top w:val="single" w:sz="4" w:space="0" w:color="auto"/>
            </w:tcBorders>
            <w:shd w:val="clear" w:color="auto" w:fill="auto"/>
          </w:tcPr>
          <w:p>
            <w:pPr>
              <w:spacing w:after="240" w:line="240" w:lineRule="auto"/>
              <w:jc w:val="center"/>
              <w:rPr>
                <w:rFonts w:ascii="Times New Roman" w:hAnsi="Times New Roman"/>
                <w:bCs/>
                <w:noProof/>
                <w:sz w:val="24"/>
                <w:szCs w:val="24"/>
              </w:rPr>
            </w:pPr>
          </w:p>
          <w:p>
            <w:pPr>
              <w:spacing w:after="240" w:line="240" w:lineRule="auto"/>
              <w:jc w:val="center"/>
              <w:rPr>
                <w:rFonts w:ascii="Times New Roman" w:hAnsi="Times New Roman"/>
                <w:bCs/>
                <w:noProof/>
                <w:sz w:val="24"/>
                <w:szCs w:val="24"/>
              </w:rPr>
            </w:pPr>
            <w:r>
              <w:rPr>
                <w:rFonts w:ascii="Times New Roman" w:hAnsi="Times New Roman"/>
                <w:noProof/>
                <w:sz w:val="24"/>
              </w:rPr>
              <w:t>100</w:t>
            </w:r>
          </w:p>
        </w:tc>
      </w:tr>
      <w:tr>
        <w:tc>
          <w:tcPr>
            <w:tcW w:w="827" w:type="pct"/>
            <w:tcBorders>
              <w:top w:val="single" w:sz="4" w:space="0" w:color="auto"/>
            </w:tcBorders>
            <w:shd w:val="clear" w:color="auto" w:fill="auto"/>
          </w:tcPr>
          <w:p>
            <w:pPr>
              <w:spacing w:after="240" w:line="240" w:lineRule="auto"/>
              <w:jc w:val="center"/>
              <w:rPr>
                <w:rFonts w:ascii="Times New Roman" w:hAnsi="Times New Roman"/>
                <w:noProof/>
                <w:sz w:val="24"/>
                <w:szCs w:val="24"/>
              </w:rPr>
            </w:pPr>
          </w:p>
          <w:p>
            <w:pPr>
              <w:spacing w:after="240" w:line="240" w:lineRule="auto"/>
              <w:jc w:val="center"/>
              <w:rPr>
                <w:rFonts w:ascii="Times New Roman" w:hAnsi="Times New Roman"/>
                <w:bCs/>
                <w:noProof/>
                <w:sz w:val="24"/>
                <w:szCs w:val="24"/>
              </w:rPr>
            </w:pPr>
            <w:r>
              <w:rPr>
                <w:rFonts w:ascii="Times New Roman" w:hAnsi="Times New Roman"/>
                <w:noProof/>
                <w:sz w:val="24"/>
              </w:rPr>
              <w:t>Ukraine</w:t>
            </w:r>
          </w:p>
        </w:tc>
        <w:tc>
          <w:tcPr>
            <w:tcW w:w="1367" w:type="pct"/>
            <w:tcBorders>
              <w:top w:val="single" w:sz="4" w:space="0" w:color="auto"/>
            </w:tcBorders>
            <w:shd w:val="clear" w:color="auto" w:fill="auto"/>
          </w:tcPr>
          <w:p>
            <w:pPr>
              <w:spacing w:after="0" w:line="240" w:lineRule="auto"/>
              <w:jc w:val="center"/>
              <w:rPr>
                <w:rFonts w:ascii="Times New Roman" w:hAnsi="Times New Roman"/>
                <w:bCs/>
                <w:noProof/>
                <w:sz w:val="24"/>
                <w:szCs w:val="24"/>
                <w:lang w:val="it-IT"/>
              </w:rPr>
            </w:pPr>
          </w:p>
          <w:p>
            <w:pPr>
              <w:spacing w:after="0" w:line="240" w:lineRule="auto"/>
              <w:jc w:val="center"/>
              <w:rPr>
                <w:rFonts w:ascii="Times New Roman" w:hAnsi="Times New Roman"/>
                <w:bCs/>
                <w:noProof/>
                <w:sz w:val="24"/>
                <w:szCs w:val="24"/>
                <w:lang w:val="it-IT"/>
              </w:rPr>
            </w:pPr>
            <w:r>
              <w:rPr>
                <w:rFonts w:ascii="Times New Roman" w:hAnsi="Times New Roman"/>
                <w:noProof/>
                <w:sz w:val="24"/>
                <w:lang w:val="it-IT"/>
              </w:rPr>
              <w:t>Ukraine (AMF I)</w:t>
            </w:r>
          </w:p>
          <w:p>
            <w:pPr>
              <w:spacing w:after="240" w:line="240" w:lineRule="auto"/>
              <w:jc w:val="center"/>
              <w:rPr>
                <w:rFonts w:ascii="Times New Roman" w:hAnsi="Times New Roman"/>
                <w:bCs/>
                <w:noProof/>
                <w:sz w:val="24"/>
                <w:szCs w:val="24"/>
                <w:lang w:val="it-IT"/>
              </w:rPr>
            </w:pPr>
            <w:r>
              <w:rPr>
                <w:rFonts w:ascii="Times New Roman" w:hAnsi="Times New Roman"/>
                <w:noProof/>
                <w:sz w:val="24"/>
                <w:lang w:val="it-IT"/>
              </w:rPr>
              <w:t>4</w:t>
            </w:r>
            <w:r>
              <w:rPr>
                <w:rFonts w:ascii="Times New Roman" w:hAnsi="Times New Roman"/>
                <w:noProof/>
                <w:sz w:val="24"/>
                <w:vertAlign w:val="superscript"/>
                <w:lang w:val="it-IT"/>
              </w:rPr>
              <w:t>e</w:t>
            </w:r>
            <w:r>
              <w:rPr>
                <w:rFonts w:ascii="Times New Roman" w:hAnsi="Times New Roman"/>
                <w:noProof/>
                <w:sz w:val="24"/>
                <w:lang w:val="it-IT"/>
              </w:rPr>
              <w:t xml:space="preserve"> tranche</w:t>
            </w:r>
          </w:p>
        </w:tc>
        <w:tc>
          <w:tcPr>
            <w:tcW w:w="847" w:type="pct"/>
            <w:tcBorders>
              <w:top w:val="single" w:sz="4" w:space="0" w:color="auto"/>
            </w:tcBorders>
            <w:shd w:val="clear" w:color="auto" w:fill="auto"/>
          </w:tcPr>
          <w:p>
            <w:pPr>
              <w:spacing w:after="240" w:line="240" w:lineRule="auto"/>
              <w:jc w:val="center"/>
              <w:rPr>
                <w:rFonts w:ascii="Times New Roman" w:hAnsi="Times New Roman"/>
                <w:bCs/>
                <w:noProof/>
                <w:sz w:val="24"/>
                <w:szCs w:val="24"/>
                <w:lang w:val="it-IT"/>
              </w:rPr>
            </w:pPr>
          </w:p>
          <w:p>
            <w:pPr>
              <w:spacing w:after="240" w:line="240" w:lineRule="auto"/>
              <w:jc w:val="center"/>
              <w:rPr>
                <w:rFonts w:ascii="Times New Roman" w:hAnsi="Times New Roman"/>
                <w:bCs/>
                <w:noProof/>
                <w:sz w:val="24"/>
                <w:szCs w:val="24"/>
              </w:rPr>
            </w:pPr>
            <w:r>
              <w:rPr>
                <w:rFonts w:ascii="Times New Roman" w:hAnsi="Times New Roman"/>
                <w:noProof/>
                <w:sz w:val="24"/>
              </w:rPr>
              <w:t>21.4.2015</w:t>
            </w:r>
          </w:p>
        </w:tc>
        <w:tc>
          <w:tcPr>
            <w:tcW w:w="1109" w:type="pct"/>
            <w:tcBorders>
              <w:top w:val="single" w:sz="4" w:space="0" w:color="auto"/>
            </w:tcBorders>
            <w:shd w:val="clear" w:color="auto" w:fill="auto"/>
          </w:tcPr>
          <w:p>
            <w:pPr>
              <w:spacing w:after="240" w:line="240" w:lineRule="auto"/>
              <w:jc w:val="center"/>
              <w:rPr>
                <w:rFonts w:ascii="Times New Roman" w:hAnsi="Times New Roman"/>
                <w:bCs/>
                <w:noProof/>
                <w:sz w:val="24"/>
                <w:szCs w:val="24"/>
              </w:rPr>
            </w:pPr>
          </w:p>
          <w:p>
            <w:pPr>
              <w:spacing w:after="240" w:line="240" w:lineRule="auto"/>
              <w:jc w:val="center"/>
              <w:rPr>
                <w:rFonts w:ascii="Times New Roman" w:hAnsi="Times New Roman"/>
                <w:bCs/>
                <w:noProof/>
                <w:sz w:val="24"/>
                <w:szCs w:val="24"/>
              </w:rPr>
            </w:pPr>
            <w:r>
              <w:rPr>
                <w:rFonts w:ascii="Times New Roman" w:hAnsi="Times New Roman"/>
                <w:noProof/>
                <w:sz w:val="24"/>
              </w:rPr>
              <w:t>4.4.2023</w:t>
            </w:r>
          </w:p>
        </w:tc>
        <w:tc>
          <w:tcPr>
            <w:tcW w:w="850" w:type="pct"/>
            <w:tcBorders>
              <w:top w:val="single" w:sz="4" w:space="0" w:color="auto"/>
            </w:tcBorders>
            <w:shd w:val="clear" w:color="auto" w:fill="auto"/>
          </w:tcPr>
          <w:p>
            <w:pPr>
              <w:spacing w:after="240" w:line="240" w:lineRule="auto"/>
              <w:jc w:val="center"/>
              <w:rPr>
                <w:rFonts w:ascii="Times New Roman" w:hAnsi="Times New Roman"/>
                <w:bCs/>
                <w:noProof/>
                <w:sz w:val="24"/>
                <w:szCs w:val="24"/>
              </w:rPr>
            </w:pPr>
          </w:p>
          <w:p>
            <w:pPr>
              <w:spacing w:after="240" w:line="240" w:lineRule="auto"/>
              <w:jc w:val="center"/>
              <w:rPr>
                <w:rFonts w:ascii="Times New Roman" w:hAnsi="Times New Roman"/>
                <w:bCs/>
                <w:noProof/>
                <w:sz w:val="24"/>
                <w:szCs w:val="24"/>
              </w:rPr>
            </w:pPr>
            <w:r>
              <w:rPr>
                <w:rFonts w:ascii="Times New Roman" w:hAnsi="Times New Roman"/>
                <w:noProof/>
                <w:sz w:val="24"/>
              </w:rPr>
              <w:t>250</w:t>
            </w:r>
          </w:p>
        </w:tc>
      </w:tr>
      <w:tr>
        <w:tc>
          <w:tcPr>
            <w:tcW w:w="827" w:type="pct"/>
            <w:tcBorders>
              <w:top w:val="single" w:sz="4" w:space="0" w:color="auto"/>
            </w:tcBorders>
            <w:shd w:val="clear" w:color="auto" w:fill="auto"/>
          </w:tcPr>
          <w:p>
            <w:pPr>
              <w:spacing w:after="240" w:line="240" w:lineRule="auto"/>
              <w:jc w:val="center"/>
              <w:rPr>
                <w:rFonts w:ascii="Times New Roman" w:hAnsi="Times New Roman"/>
                <w:noProof/>
                <w:sz w:val="24"/>
                <w:szCs w:val="24"/>
              </w:rPr>
            </w:pPr>
          </w:p>
          <w:p>
            <w:pPr>
              <w:spacing w:after="240" w:line="240" w:lineRule="auto"/>
              <w:jc w:val="center"/>
              <w:rPr>
                <w:rFonts w:ascii="Times New Roman" w:hAnsi="Times New Roman"/>
                <w:bCs/>
                <w:noProof/>
                <w:sz w:val="24"/>
                <w:szCs w:val="24"/>
              </w:rPr>
            </w:pPr>
            <w:r>
              <w:rPr>
                <w:rFonts w:ascii="Times New Roman" w:hAnsi="Times New Roman"/>
                <w:noProof/>
                <w:sz w:val="24"/>
              </w:rPr>
              <w:t>Géorgie</w:t>
            </w:r>
          </w:p>
        </w:tc>
        <w:tc>
          <w:tcPr>
            <w:tcW w:w="1367" w:type="pct"/>
            <w:tcBorders>
              <w:top w:val="single" w:sz="4" w:space="0" w:color="auto"/>
            </w:tcBorders>
            <w:shd w:val="clear" w:color="auto" w:fill="auto"/>
          </w:tcPr>
          <w:p>
            <w:pPr>
              <w:spacing w:after="0" w:line="240" w:lineRule="auto"/>
              <w:jc w:val="center"/>
              <w:rPr>
                <w:rFonts w:ascii="Times New Roman" w:hAnsi="Times New Roman"/>
                <w:bCs/>
                <w:noProof/>
                <w:sz w:val="24"/>
                <w:szCs w:val="24"/>
              </w:rPr>
            </w:pPr>
          </w:p>
          <w:p>
            <w:pPr>
              <w:spacing w:after="0" w:line="240" w:lineRule="auto"/>
              <w:jc w:val="center"/>
              <w:rPr>
                <w:rFonts w:ascii="Times New Roman" w:hAnsi="Times New Roman"/>
                <w:bCs/>
                <w:noProof/>
                <w:sz w:val="24"/>
                <w:szCs w:val="24"/>
              </w:rPr>
            </w:pPr>
            <w:r>
              <w:rPr>
                <w:rFonts w:ascii="Times New Roman" w:hAnsi="Times New Roman"/>
                <w:noProof/>
                <w:sz w:val="24"/>
              </w:rPr>
              <w:t xml:space="preserve">Géorgie </w:t>
            </w:r>
          </w:p>
          <w:p>
            <w:pPr>
              <w:spacing w:after="0" w:line="240" w:lineRule="auto"/>
              <w:jc w:val="center"/>
              <w:rPr>
                <w:rFonts w:ascii="Times New Roman" w:hAnsi="Times New Roman"/>
                <w:bCs/>
                <w:noProof/>
                <w:sz w:val="24"/>
                <w:szCs w:val="24"/>
              </w:rPr>
            </w:pPr>
            <w:r>
              <w:rPr>
                <w:rFonts w:ascii="Times New Roman" w:hAnsi="Times New Roman"/>
                <w:noProof/>
                <w:sz w:val="24"/>
              </w:rPr>
              <w:t>1</w:t>
            </w:r>
            <w:r>
              <w:rPr>
                <w:rFonts w:ascii="Times New Roman" w:hAnsi="Times New Roman"/>
                <w:noProof/>
                <w:sz w:val="24"/>
                <w:vertAlign w:val="superscript"/>
              </w:rPr>
              <w:t>e</w:t>
            </w:r>
            <w:r>
              <w:rPr>
                <w:rFonts w:ascii="Times New Roman" w:hAnsi="Times New Roman"/>
                <w:noProof/>
                <w:sz w:val="24"/>
              </w:rPr>
              <w:t xml:space="preserve"> tranche</w:t>
            </w:r>
          </w:p>
        </w:tc>
        <w:tc>
          <w:tcPr>
            <w:tcW w:w="847" w:type="pct"/>
            <w:tcBorders>
              <w:top w:val="single" w:sz="4" w:space="0" w:color="auto"/>
            </w:tcBorders>
            <w:shd w:val="clear" w:color="auto" w:fill="auto"/>
          </w:tcPr>
          <w:p>
            <w:pPr>
              <w:spacing w:after="240" w:line="240" w:lineRule="auto"/>
              <w:jc w:val="center"/>
              <w:rPr>
                <w:rFonts w:ascii="Times New Roman" w:hAnsi="Times New Roman"/>
                <w:bCs/>
                <w:noProof/>
                <w:sz w:val="24"/>
                <w:szCs w:val="24"/>
              </w:rPr>
            </w:pPr>
          </w:p>
          <w:p>
            <w:pPr>
              <w:spacing w:after="240" w:line="240" w:lineRule="auto"/>
              <w:jc w:val="center"/>
              <w:rPr>
                <w:rFonts w:ascii="Times New Roman" w:hAnsi="Times New Roman"/>
                <w:bCs/>
                <w:noProof/>
                <w:sz w:val="24"/>
                <w:szCs w:val="24"/>
              </w:rPr>
            </w:pPr>
            <w:r>
              <w:rPr>
                <w:rFonts w:ascii="Times New Roman" w:hAnsi="Times New Roman"/>
                <w:noProof/>
                <w:sz w:val="24"/>
              </w:rPr>
              <w:t>21.4.2015</w:t>
            </w:r>
          </w:p>
        </w:tc>
        <w:tc>
          <w:tcPr>
            <w:tcW w:w="1109" w:type="pct"/>
            <w:tcBorders>
              <w:top w:val="single" w:sz="4" w:space="0" w:color="auto"/>
            </w:tcBorders>
            <w:shd w:val="clear" w:color="auto" w:fill="auto"/>
          </w:tcPr>
          <w:p>
            <w:pPr>
              <w:spacing w:after="240" w:line="240" w:lineRule="auto"/>
              <w:jc w:val="center"/>
              <w:rPr>
                <w:rFonts w:ascii="Times New Roman" w:hAnsi="Times New Roman"/>
                <w:bCs/>
                <w:noProof/>
                <w:sz w:val="24"/>
                <w:szCs w:val="24"/>
              </w:rPr>
            </w:pPr>
          </w:p>
          <w:p>
            <w:pPr>
              <w:spacing w:after="240" w:line="240" w:lineRule="auto"/>
              <w:jc w:val="center"/>
              <w:rPr>
                <w:rFonts w:ascii="Times New Roman" w:hAnsi="Times New Roman"/>
                <w:bCs/>
                <w:noProof/>
                <w:sz w:val="24"/>
                <w:szCs w:val="24"/>
              </w:rPr>
            </w:pPr>
            <w:r>
              <w:rPr>
                <w:rFonts w:ascii="Times New Roman" w:hAnsi="Times New Roman"/>
                <w:noProof/>
                <w:sz w:val="24"/>
              </w:rPr>
              <w:t>4.4.2030</w:t>
            </w:r>
          </w:p>
        </w:tc>
        <w:tc>
          <w:tcPr>
            <w:tcW w:w="850" w:type="pct"/>
            <w:tcBorders>
              <w:top w:val="single" w:sz="4" w:space="0" w:color="auto"/>
            </w:tcBorders>
            <w:shd w:val="clear" w:color="auto" w:fill="auto"/>
          </w:tcPr>
          <w:p>
            <w:pPr>
              <w:spacing w:after="240" w:line="240" w:lineRule="auto"/>
              <w:jc w:val="center"/>
              <w:rPr>
                <w:rFonts w:ascii="Times New Roman" w:hAnsi="Times New Roman"/>
                <w:bCs/>
                <w:noProof/>
                <w:sz w:val="24"/>
                <w:szCs w:val="24"/>
              </w:rPr>
            </w:pPr>
          </w:p>
          <w:p>
            <w:pPr>
              <w:spacing w:after="240" w:line="240" w:lineRule="auto"/>
              <w:jc w:val="center"/>
              <w:rPr>
                <w:rFonts w:ascii="Times New Roman" w:hAnsi="Times New Roman"/>
                <w:bCs/>
                <w:noProof/>
                <w:sz w:val="24"/>
                <w:szCs w:val="24"/>
              </w:rPr>
            </w:pPr>
            <w:r>
              <w:rPr>
                <w:rFonts w:ascii="Times New Roman" w:hAnsi="Times New Roman"/>
                <w:noProof/>
                <w:sz w:val="24"/>
              </w:rPr>
              <w:t>10</w:t>
            </w:r>
          </w:p>
        </w:tc>
      </w:tr>
      <w:tr>
        <w:tc>
          <w:tcPr>
            <w:tcW w:w="827" w:type="pct"/>
            <w:tcBorders>
              <w:top w:val="single" w:sz="4" w:space="0" w:color="auto"/>
            </w:tcBorders>
            <w:shd w:val="clear" w:color="auto" w:fill="auto"/>
          </w:tcPr>
          <w:p>
            <w:pPr>
              <w:spacing w:after="240" w:line="240" w:lineRule="auto"/>
              <w:jc w:val="center"/>
              <w:rPr>
                <w:rFonts w:ascii="Times New Roman" w:hAnsi="Times New Roman"/>
                <w:noProof/>
                <w:sz w:val="24"/>
                <w:szCs w:val="24"/>
              </w:rPr>
            </w:pPr>
          </w:p>
          <w:p>
            <w:pPr>
              <w:spacing w:after="240" w:line="240" w:lineRule="auto"/>
              <w:jc w:val="center"/>
              <w:rPr>
                <w:rFonts w:ascii="Times New Roman" w:hAnsi="Times New Roman"/>
                <w:bCs/>
                <w:noProof/>
                <w:sz w:val="24"/>
                <w:szCs w:val="24"/>
              </w:rPr>
            </w:pPr>
            <w:r>
              <w:rPr>
                <w:rFonts w:ascii="Times New Roman" w:hAnsi="Times New Roman"/>
                <w:noProof/>
                <w:sz w:val="24"/>
              </w:rPr>
              <w:t>Tunisie</w:t>
            </w:r>
          </w:p>
        </w:tc>
        <w:tc>
          <w:tcPr>
            <w:tcW w:w="1367" w:type="pct"/>
            <w:tcBorders>
              <w:top w:val="single" w:sz="4" w:space="0" w:color="auto"/>
            </w:tcBorders>
            <w:shd w:val="clear" w:color="auto" w:fill="auto"/>
          </w:tcPr>
          <w:p>
            <w:pPr>
              <w:spacing w:after="0" w:line="240" w:lineRule="auto"/>
              <w:jc w:val="center"/>
              <w:rPr>
                <w:rFonts w:ascii="Times New Roman" w:hAnsi="Times New Roman"/>
                <w:bCs/>
                <w:noProof/>
                <w:sz w:val="24"/>
                <w:szCs w:val="24"/>
              </w:rPr>
            </w:pPr>
          </w:p>
          <w:p>
            <w:pPr>
              <w:spacing w:after="0" w:line="240" w:lineRule="auto"/>
              <w:jc w:val="center"/>
              <w:rPr>
                <w:rFonts w:ascii="Times New Roman" w:hAnsi="Times New Roman"/>
                <w:bCs/>
                <w:noProof/>
                <w:sz w:val="24"/>
                <w:szCs w:val="24"/>
              </w:rPr>
            </w:pPr>
            <w:r>
              <w:rPr>
                <w:rFonts w:ascii="Times New Roman" w:hAnsi="Times New Roman"/>
                <w:noProof/>
                <w:sz w:val="24"/>
              </w:rPr>
              <w:t>Tunisie</w:t>
            </w:r>
          </w:p>
          <w:p>
            <w:pPr>
              <w:spacing w:after="240" w:line="240" w:lineRule="auto"/>
              <w:jc w:val="center"/>
              <w:rPr>
                <w:rFonts w:ascii="Times New Roman" w:hAnsi="Times New Roman"/>
                <w:bCs/>
                <w:noProof/>
                <w:sz w:val="24"/>
                <w:szCs w:val="24"/>
              </w:rPr>
            </w:pPr>
            <w:r>
              <w:rPr>
                <w:rFonts w:ascii="Times New Roman" w:hAnsi="Times New Roman"/>
                <w:noProof/>
                <w:sz w:val="24"/>
              </w:rPr>
              <w:t>1</w:t>
            </w:r>
            <w:r>
              <w:rPr>
                <w:rFonts w:ascii="Times New Roman" w:hAnsi="Times New Roman"/>
                <w:noProof/>
                <w:sz w:val="24"/>
                <w:vertAlign w:val="superscript"/>
              </w:rPr>
              <w:t>e</w:t>
            </w:r>
            <w:r>
              <w:rPr>
                <w:rFonts w:ascii="Times New Roman" w:hAnsi="Times New Roman"/>
                <w:noProof/>
                <w:sz w:val="24"/>
              </w:rPr>
              <w:t xml:space="preserve"> tranche</w:t>
            </w:r>
          </w:p>
        </w:tc>
        <w:tc>
          <w:tcPr>
            <w:tcW w:w="847" w:type="pct"/>
            <w:tcBorders>
              <w:top w:val="single" w:sz="4" w:space="0" w:color="auto"/>
            </w:tcBorders>
            <w:shd w:val="clear" w:color="auto" w:fill="auto"/>
          </w:tcPr>
          <w:p>
            <w:pPr>
              <w:spacing w:after="240" w:line="240" w:lineRule="auto"/>
              <w:jc w:val="center"/>
              <w:rPr>
                <w:rFonts w:ascii="Times New Roman" w:hAnsi="Times New Roman"/>
                <w:bCs/>
                <w:noProof/>
                <w:sz w:val="24"/>
                <w:szCs w:val="24"/>
              </w:rPr>
            </w:pPr>
          </w:p>
          <w:p>
            <w:pPr>
              <w:spacing w:after="240" w:line="240" w:lineRule="auto"/>
              <w:jc w:val="center"/>
              <w:rPr>
                <w:rFonts w:ascii="Times New Roman" w:hAnsi="Times New Roman"/>
                <w:bCs/>
                <w:noProof/>
                <w:sz w:val="24"/>
                <w:szCs w:val="24"/>
              </w:rPr>
            </w:pPr>
            <w:r>
              <w:rPr>
                <w:rFonts w:ascii="Times New Roman" w:hAnsi="Times New Roman"/>
                <w:noProof/>
                <w:sz w:val="24"/>
              </w:rPr>
              <w:t>7.5.2015</w:t>
            </w:r>
          </w:p>
        </w:tc>
        <w:tc>
          <w:tcPr>
            <w:tcW w:w="1109" w:type="pct"/>
            <w:tcBorders>
              <w:top w:val="single" w:sz="4" w:space="0" w:color="auto"/>
            </w:tcBorders>
            <w:shd w:val="clear" w:color="auto" w:fill="auto"/>
          </w:tcPr>
          <w:p>
            <w:pPr>
              <w:spacing w:after="240" w:line="240" w:lineRule="auto"/>
              <w:jc w:val="center"/>
              <w:rPr>
                <w:rFonts w:ascii="Times New Roman" w:hAnsi="Times New Roman"/>
                <w:bCs/>
                <w:noProof/>
                <w:sz w:val="24"/>
                <w:szCs w:val="24"/>
              </w:rPr>
            </w:pPr>
          </w:p>
          <w:p>
            <w:pPr>
              <w:spacing w:after="240" w:line="240" w:lineRule="auto"/>
              <w:jc w:val="center"/>
              <w:rPr>
                <w:rFonts w:ascii="Times New Roman" w:hAnsi="Times New Roman"/>
                <w:bCs/>
                <w:noProof/>
                <w:sz w:val="24"/>
                <w:szCs w:val="24"/>
              </w:rPr>
            </w:pPr>
            <w:r>
              <w:rPr>
                <w:rFonts w:ascii="Times New Roman" w:hAnsi="Times New Roman"/>
                <w:noProof/>
                <w:sz w:val="24"/>
              </w:rPr>
              <w:t>4.5.2027</w:t>
            </w:r>
          </w:p>
        </w:tc>
        <w:tc>
          <w:tcPr>
            <w:tcW w:w="850" w:type="pct"/>
            <w:tcBorders>
              <w:top w:val="single" w:sz="4" w:space="0" w:color="auto"/>
            </w:tcBorders>
            <w:shd w:val="clear" w:color="auto" w:fill="auto"/>
          </w:tcPr>
          <w:p>
            <w:pPr>
              <w:spacing w:after="240" w:line="240" w:lineRule="auto"/>
              <w:jc w:val="center"/>
              <w:rPr>
                <w:rFonts w:ascii="Times New Roman" w:hAnsi="Times New Roman"/>
                <w:bCs/>
                <w:noProof/>
                <w:sz w:val="24"/>
                <w:szCs w:val="24"/>
              </w:rPr>
            </w:pPr>
          </w:p>
          <w:p>
            <w:pPr>
              <w:spacing w:after="240" w:line="240" w:lineRule="auto"/>
              <w:jc w:val="center"/>
              <w:rPr>
                <w:rFonts w:ascii="Times New Roman" w:hAnsi="Times New Roman"/>
                <w:bCs/>
                <w:noProof/>
                <w:sz w:val="24"/>
                <w:szCs w:val="24"/>
              </w:rPr>
            </w:pPr>
            <w:r>
              <w:rPr>
                <w:rFonts w:ascii="Times New Roman" w:hAnsi="Times New Roman"/>
                <w:noProof/>
                <w:sz w:val="24"/>
              </w:rPr>
              <w:t>100</w:t>
            </w:r>
          </w:p>
        </w:tc>
      </w:tr>
      <w:tr>
        <w:tc>
          <w:tcPr>
            <w:tcW w:w="827" w:type="pct"/>
            <w:shd w:val="clear" w:color="auto" w:fill="auto"/>
          </w:tcPr>
          <w:p>
            <w:pPr>
              <w:spacing w:after="240" w:line="240" w:lineRule="auto"/>
              <w:jc w:val="center"/>
              <w:rPr>
                <w:rFonts w:ascii="Times New Roman" w:hAnsi="Times New Roman"/>
                <w:noProof/>
                <w:sz w:val="24"/>
                <w:szCs w:val="24"/>
              </w:rPr>
            </w:pPr>
          </w:p>
          <w:p>
            <w:pPr>
              <w:spacing w:after="240" w:line="240" w:lineRule="auto"/>
              <w:jc w:val="center"/>
              <w:rPr>
                <w:rFonts w:ascii="Times New Roman" w:hAnsi="Times New Roman"/>
                <w:b/>
                <w:noProof/>
                <w:sz w:val="24"/>
                <w:szCs w:val="24"/>
              </w:rPr>
            </w:pPr>
            <w:r>
              <w:rPr>
                <w:rFonts w:ascii="Times New Roman" w:hAnsi="Times New Roman"/>
                <w:noProof/>
                <w:sz w:val="24"/>
              </w:rPr>
              <w:t>Ukraine</w:t>
            </w:r>
          </w:p>
        </w:tc>
        <w:tc>
          <w:tcPr>
            <w:tcW w:w="1367" w:type="pct"/>
            <w:shd w:val="clear" w:color="auto" w:fill="auto"/>
          </w:tcPr>
          <w:p>
            <w:pPr>
              <w:spacing w:after="0" w:line="240" w:lineRule="auto"/>
              <w:jc w:val="center"/>
              <w:rPr>
                <w:rFonts w:ascii="Times New Roman" w:hAnsi="Times New Roman"/>
                <w:bCs/>
                <w:noProof/>
                <w:sz w:val="24"/>
                <w:szCs w:val="24"/>
                <w:lang w:val="it-IT"/>
              </w:rPr>
            </w:pPr>
          </w:p>
          <w:p>
            <w:pPr>
              <w:spacing w:after="0" w:line="240" w:lineRule="auto"/>
              <w:jc w:val="center"/>
              <w:rPr>
                <w:rFonts w:ascii="Times New Roman" w:hAnsi="Times New Roman"/>
                <w:bCs/>
                <w:noProof/>
                <w:sz w:val="24"/>
                <w:szCs w:val="24"/>
                <w:lang w:val="it-IT"/>
              </w:rPr>
            </w:pPr>
            <w:r>
              <w:rPr>
                <w:rFonts w:ascii="Times New Roman" w:hAnsi="Times New Roman"/>
                <w:noProof/>
                <w:sz w:val="24"/>
                <w:lang w:val="it-IT"/>
              </w:rPr>
              <w:t>Ukraine (AMF III)</w:t>
            </w:r>
          </w:p>
          <w:p>
            <w:pPr>
              <w:spacing w:after="240" w:line="240" w:lineRule="auto"/>
              <w:jc w:val="center"/>
              <w:rPr>
                <w:rFonts w:ascii="Times New Roman" w:hAnsi="Times New Roman"/>
                <w:b/>
                <w:noProof/>
                <w:sz w:val="24"/>
                <w:szCs w:val="24"/>
                <w:lang w:val="it-IT"/>
              </w:rPr>
            </w:pPr>
            <w:r>
              <w:rPr>
                <w:rFonts w:ascii="Times New Roman" w:hAnsi="Times New Roman"/>
                <w:noProof/>
                <w:sz w:val="24"/>
                <w:lang w:val="it-IT"/>
              </w:rPr>
              <w:t>1</w:t>
            </w:r>
            <w:r>
              <w:rPr>
                <w:rFonts w:ascii="Times New Roman" w:hAnsi="Times New Roman"/>
                <w:noProof/>
                <w:sz w:val="24"/>
                <w:vertAlign w:val="superscript"/>
                <w:lang w:val="it-IT"/>
              </w:rPr>
              <w:t>e</w:t>
            </w:r>
            <w:r>
              <w:rPr>
                <w:rFonts w:ascii="Times New Roman" w:hAnsi="Times New Roman"/>
                <w:noProof/>
                <w:sz w:val="24"/>
                <w:lang w:val="it-IT"/>
              </w:rPr>
              <w:t xml:space="preserve"> tranche</w:t>
            </w:r>
          </w:p>
        </w:tc>
        <w:tc>
          <w:tcPr>
            <w:tcW w:w="847" w:type="pct"/>
            <w:shd w:val="clear" w:color="auto" w:fill="auto"/>
          </w:tcPr>
          <w:p>
            <w:pPr>
              <w:spacing w:after="240" w:line="240" w:lineRule="auto"/>
              <w:jc w:val="center"/>
              <w:rPr>
                <w:rFonts w:ascii="Times New Roman" w:hAnsi="Times New Roman"/>
                <w:bCs/>
                <w:noProof/>
                <w:sz w:val="24"/>
                <w:szCs w:val="24"/>
                <w:lang w:val="it-IT"/>
              </w:rPr>
            </w:pPr>
          </w:p>
          <w:p>
            <w:pPr>
              <w:spacing w:after="240" w:line="240" w:lineRule="auto"/>
              <w:jc w:val="center"/>
              <w:rPr>
                <w:rFonts w:ascii="Times New Roman" w:hAnsi="Times New Roman"/>
                <w:bCs/>
                <w:noProof/>
                <w:sz w:val="24"/>
                <w:szCs w:val="24"/>
              </w:rPr>
            </w:pPr>
            <w:r>
              <w:rPr>
                <w:rFonts w:ascii="Times New Roman" w:hAnsi="Times New Roman"/>
                <w:noProof/>
                <w:sz w:val="24"/>
              </w:rPr>
              <w:t>22.7.2015</w:t>
            </w:r>
          </w:p>
        </w:tc>
        <w:tc>
          <w:tcPr>
            <w:tcW w:w="1109" w:type="pct"/>
            <w:shd w:val="clear" w:color="auto" w:fill="auto"/>
          </w:tcPr>
          <w:p>
            <w:pPr>
              <w:spacing w:after="240" w:line="240" w:lineRule="auto"/>
              <w:jc w:val="center"/>
              <w:rPr>
                <w:rFonts w:ascii="Times New Roman" w:hAnsi="Times New Roman"/>
                <w:bCs/>
                <w:noProof/>
                <w:sz w:val="24"/>
                <w:szCs w:val="24"/>
              </w:rPr>
            </w:pPr>
          </w:p>
          <w:p>
            <w:pPr>
              <w:spacing w:after="240" w:line="240" w:lineRule="auto"/>
              <w:jc w:val="center"/>
              <w:rPr>
                <w:rFonts w:ascii="Times New Roman" w:hAnsi="Times New Roman"/>
                <w:bCs/>
                <w:noProof/>
                <w:sz w:val="24"/>
                <w:szCs w:val="24"/>
              </w:rPr>
            </w:pPr>
            <w:r>
              <w:rPr>
                <w:rFonts w:ascii="Times New Roman" w:hAnsi="Times New Roman"/>
                <w:noProof/>
                <w:sz w:val="24"/>
              </w:rPr>
              <w:t>4.7.2020</w:t>
            </w:r>
          </w:p>
        </w:tc>
        <w:tc>
          <w:tcPr>
            <w:tcW w:w="850" w:type="pct"/>
            <w:shd w:val="clear" w:color="auto" w:fill="auto"/>
          </w:tcPr>
          <w:p>
            <w:pPr>
              <w:spacing w:after="240" w:line="240" w:lineRule="auto"/>
              <w:jc w:val="center"/>
              <w:rPr>
                <w:rFonts w:ascii="Times New Roman" w:hAnsi="Times New Roman"/>
                <w:bCs/>
                <w:noProof/>
                <w:sz w:val="24"/>
                <w:szCs w:val="24"/>
              </w:rPr>
            </w:pPr>
          </w:p>
          <w:p>
            <w:pPr>
              <w:spacing w:after="240" w:line="240" w:lineRule="auto"/>
              <w:jc w:val="center"/>
              <w:rPr>
                <w:rFonts w:ascii="Times New Roman" w:hAnsi="Times New Roman"/>
                <w:bCs/>
                <w:noProof/>
                <w:sz w:val="24"/>
                <w:szCs w:val="24"/>
              </w:rPr>
            </w:pPr>
            <w:r>
              <w:rPr>
                <w:rFonts w:ascii="Times New Roman" w:hAnsi="Times New Roman"/>
                <w:noProof/>
                <w:sz w:val="24"/>
              </w:rPr>
              <w:t>600</w:t>
            </w:r>
          </w:p>
        </w:tc>
      </w:tr>
      <w:tr>
        <w:tc>
          <w:tcPr>
            <w:tcW w:w="827" w:type="pct"/>
            <w:shd w:val="clear" w:color="auto" w:fill="auto"/>
          </w:tcPr>
          <w:p>
            <w:pPr>
              <w:spacing w:after="240" w:line="240" w:lineRule="auto"/>
              <w:jc w:val="center"/>
              <w:rPr>
                <w:rFonts w:ascii="Times New Roman" w:hAnsi="Times New Roman"/>
                <w:noProof/>
                <w:sz w:val="24"/>
                <w:szCs w:val="24"/>
              </w:rPr>
            </w:pPr>
          </w:p>
          <w:p>
            <w:pPr>
              <w:spacing w:after="240" w:line="240" w:lineRule="auto"/>
              <w:jc w:val="center"/>
              <w:rPr>
                <w:rFonts w:ascii="Times New Roman" w:hAnsi="Times New Roman"/>
                <w:b/>
                <w:noProof/>
                <w:sz w:val="24"/>
                <w:szCs w:val="24"/>
              </w:rPr>
            </w:pPr>
            <w:r>
              <w:rPr>
                <w:rFonts w:ascii="Times New Roman" w:hAnsi="Times New Roman"/>
                <w:noProof/>
                <w:sz w:val="24"/>
              </w:rPr>
              <w:t>Jordanie</w:t>
            </w:r>
          </w:p>
        </w:tc>
        <w:tc>
          <w:tcPr>
            <w:tcW w:w="1367" w:type="pct"/>
            <w:shd w:val="clear" w:color="auto" w:fill="auto"/>
          </w:tcPr>
          <w:p>
            <w:pPr>
              <w:spacing w:after="0" w:line="240" w:lineRule="auto"/>
              <w:jc w:val="center"/>
              <w:rPr>
                <w:rFonts w:ascii="Times New Roman" w:hAnsi="Times New Roman"/>
                <w:bCs/>
                <w:noProof/>
                <w:sz w:val="24"/>
                <w:szCs w:val="24"/>
              </w:rPr>
            </w:pPr>
          </w:p>
          <w:p>
            <w:pPr>
              <w:spacing w:after="0" w:line="240" w:lineRule="auto"/>
              <w:jc w:val="center"/>
              <w:rPr>
                <w:rFonts w:ascii="Times New Roman" w:hAnsi="Times New Roman"/>
                <w:bCs/>
                <w:noProof/>
                <w:sz w:val="24"/>
                <w:szCs w:val="24"/>
              </w:rPr>
            </w:pPr>
            <w:r>
              <w:rPr>
                <w:rFonts w:ascii="Times New Roman" w:hAnsi="Times New Roman"/>
                <w:noProof/>
                <w:sz w:val="24"/>
              </w:rPr>
              <w:t>Jordanie</w:t>
            </w:r>
          </w:p>
          <w:p>
            <w:pPr>
              <w:spacing w:after="240" w:line="240" w:lineRule="auto"/>
              <w:jc w:val="center"/>
              <w:rPr>
                <w:rFonts w:ascii="Times New Roman" w:hAnsi="Times New Roman"/>
                <w:b/>
                <w:noProof/>
                <w:sz w:val="24"/>
                <w:szCs w:val="24"/>
              </w:rPr>
            </w:pPr>
            <w:r>
              <w:rPr>
                <w:rFonts w:ascii="Times New Roman" w:hAnsi="Times New Roman"/>
                <w:noProof/>
                <w:sz w:val="24"/>
              </w:rPr>
              <w:t>2</w:t>
            </w:r>
            <w:r>
              <w:rPr>
                <w:rFonts w:ascii="Times New Roman" w:hAnsi="Times New Roman"/>
                <w:noProof/>
                <w:sz w:val="24"/>
                <w:vertAlign w:val="superscript"/>
              </w:rPr>
              <w:t>e</w:t>
            </w:r>
            <w:r>
              <w:rPr>
                <w:rFonts w:ascii="Times New Roman" w:hAnsi="Times New Roman"/>
                <w:noProof/>
                <w:sz w:val="24"/>
              </w:rPr>
              <w:t xml:space="preserve"> tranche</w:t>
            </w:r>
          </w:p>
        </w:tc>
        <w:tc>
          <w:tcPr>
            <w:tcW w:w="847" w:type="pct"/>
            <w:shd w:val="clear" w:color="auto" w:fill="auto"/>
          </w:tcPr>
          <w:p>
            <w:pPr>
              <w:spacing w:after="240" w:line="240" w:lineRule="auto"/>
              <w:jc w:val="center"/>
              <w:rPr>
                <w:rFonts w:ascii="Times New Roman" w:hAnsi="Times New Roman"/>
                <w:bCs/>
                <w:noProof/>
                <w:sz w:val="24"/>
                <w:szCs w:val="24"/>
              </w:rPr>
            </w:pPr>
          </w:p>
          <w:p>
            <w:pPr>
              <w:spacing w:after="240" w:line="240" w:lineRule="auto"/>
              <w:jc w:val="center"/>
              <w:rPr>
                <w:rFonts w:ascii="Times New Roman" w:hAnsi="Times New Roman"/>
                <w:b/>
                <w:noProof/>
                <w:sz w:val="24"/>
                <w:szCs w:val="24"/>
              </w:rPr>
            </w:pPr>
            <w:r>
              <w:rPr>
                <w:rFonts w:ascii="Times New Roman" w:hAnsi="Times New Roman"/>
                <w:noProof/>
                <w:sz w:val="24"/>
              </w:rPr>
              <w:t>15.10.2015</w:t>
            </w:r>
          </w:p>
        </w:tc>
        <w:tc>
          <w:tcPr>
            <w:tcW w:w="1109" w:type="pct"/>
            <w:shd w:val="clear" w:color="auto" w:fill="auto"/>
          </w:tcPr>
          <w:p>
            <w:pPr>
              <w:spacing w:after="240" w:line="240" w:lineRule="auto"/>
              <w:jc w:val="center"/>
              <w:rPr>
                <w:rFonts w:ascii="Times New Roman" w:hAnsi="Times New Roman"/>
                <w:bCs/>
                <w:noProof/>
                <w:sz w:val="24"/>
                <w:szCs w:val="24"/>
              </w:rPr>
            </w:pPr>
          </w:p>
          <w:p>
            <w:pPr>
              <w:spacing w:after="240" w:line="240" w:lineRule="auto"/>
              <w:jc w:val="center"/>
              <w:rPr>
                <w:rFonts w:ascii="Times New Roman" w:hAnsi="Times New Roman"/>
                <w:b/>
                <w:noProof/>
                <w:sz w:val="24"/>
                <w:szCs w:val="24"/>
              </w:rPr>
            </w:pPr>
            <w:r>
              <w:rPr>
                <w:rFonts w:ascii="Times New Roman" w:hAnsi="Times New Roman"/>
                <w:noProof/>
                <w:sz w:val="24"/>
              </w:rPr>
              <w:t>4.10.2029</w:t>
            </w:r>
          </w:p>
        </w:tc>
        <w:tc>
          <w:tcPr>
            <w:tcW w:w="850" w:type="pct"/>
            <w:shd w:val="clear" w:color="auto" w:fill="auto"/>
          </w:tcPr>
          <w:p>
            <w:pPr>
              <w:spacing w:after="240" w:line="240" w:lineRule="auto"/>
              <w:jc w:val="center"/>
              <w:rPr>
                <w:rFonts w:ascii="Times New Roman" w:hAnsi="Times New Roman"/>
                <w:bCs/>
                <w:noProof/>
                <w:sz w:val="24"/>
                <w:szCs w:val="24"/>
              </w:rPr>
            </w:pPr>
          </w:p>
          <w:p>
            <w:pPr>
              <w:spacing w:after="240" w:line="240" w:lineRule="auto"/>
              <w:jc w:val="center"/>
              <w:rPr>
                <w:rFonts w:ascii="Times New Roman" w:hAnsi="Times New Roman"/>
                <w:b/>
                <w:noProof/>
                <w:sz w:val="24"/>
                <w:szCs w:val="24"/>
              </w:rPr>
            </w:pPr>
            <w:r>
              <w:rPr>
                <w:rFonts w:ascii="Times New Roman" w:hAnsi="Times New Roman"/>
                <w:noProof/>
                <w:sz w:val="24"/>
              </w:rPr>
              <w:t>80</w:t>
            </w:r>
          </w:p>
        </w:tc>
      </w:tr>
      <w:tr>
        <w:tc>
          <w:tcPr>
            <w:tcW w:w="827" w:type="pct"/>
            <w:shd w:val="clear" w:color="auto" w:fill="auto"/>
          </w:tcPr>
          <w:p>
            <w:pPr>
              <w:spacing w:after="240" w:line="240" w:lineRule="auto"/>
              <w:jc w:val="center"/>
              <w:rPr>
                <w:rFonts w:ascii="Times New Roman" w:hAnsi="Times New Roman"/>
                <w:noProof/>
                <w:sz w:val="24"/>
                <w:szCs w:val="24"/>
              </w:rPr>
            </w:pPr>
          </w:p>
          <w:p>
            <w:pPr>
              <w:spacing w:after="240" w:line="240" w:lineRule="auto"/>
              <w:jc w:val="center"/>
              <w:rPr>
                <w:rFonts w:ascii="Times New Roman" w:hAnsi="Times New Roman"/>
                <w:noProof/>
                <w:sz w:val="24"/>
                <w:szCs w:val="24"/>
              </w:rPr>
            </w:pPr>
            <w:r>
              <w:rPr>
                <w:rFonts w:ascii="Times New Roman" w:hAnsi="Times New Roman"/>
                <w:noProof/>
                <w:sz w:val="24"/>
              </w:rPr>
              <w:t>République kirghize</w:t>
            </w:r>
          </w:p>
        </w:tc>
        <w:tc>
          <w:tcPr>
            <w:tcW w:w="1367" w:type="pct"/>
            <w:shd w:val="clear" w:color="auto" w:fill="auto"/>
          </w:tcPr>
          <w:p>
            <w:pPr>
              <w:spacing w:after="0" w:line="240" w:lineRule="auto"/>
              <w:jc w:val="center"/>
              <w:rPr>
                <w:rFonts w:ascii="Times New Roman" w:hAnsi="Times New Roman"/>
                <w:bCs/>
                <w:noProof/>
                <w:sz w:val="24"/>
                <w:szCs w:val="24"/>
              </w:rPr>
            </w:pPr>
          </w:p>
          <w:p>
            <w:pPr>
              <w:spacing w:after="0" w:line="240" w:lineRule="auto"/>
              <w:jc w:val="center"/>
              <w:rPr>
                <w:rFonts w:ascii="Times New Roman" w:hAnsi="Times New Roman"/>
                <w:bCs/>
                <w:noProof/>
                <w:sz w:val="24"/>
                <w:szCs w:val="24"/>
              </w:rPr>
            </w:pPr>
            <w:r>
              <w:rPr>
                <w:rFonts w:ascii="Times New Roman" w:hAnsi="Times New Roman"/>
                <w:noProof/>
                <w:sz w:val="24"/>
              </w:rPr>
              <w:t>République kirghize</w:t>
            </w:r>
          </w:p>
          <w:p>
            <w:pPr>
              <w:spacing w:after="240" w:line="240" w:lineRule="auto"/>
              <w:jc w:val="center"/>
              <w:rPr>
                <w:rFonts w:ascii="Times New Roman" w:hAnsi="Times New Roman"/>
                <w:b/>
                <w:noProof/>
                <w:sz w:val="24"/>
                <w:szCs w:val="24"/>
              </w:rPr>
            </w:pPr>
            <w:r>
              <w:rPr>
                <w:rFonts w:ascii="Times New Roman" w:hAnsi="Times New Roman"/>
                <w:noProof/>
                <w:sz w:val="24"/>
              </w:rPr>
              <w:t>1</w:t>
            </w:r>
            <w:r>
              <w:rPr>
                <w:rFonts w:ascii="Times New Roman" w:hAnsi="Times New Roman"/>
                <w:noProof/>
                <w:sz w:val="24"/>
                <w:vertAlign w:val="superscript"/>
              </w:rPr>
              <w:t>e</w:t>
            </w:r>
            <w:r>
              <w:rPr>
                <w:rFonts w:ascii="Times New Roman" w:hAnsi="Times New Roman"/>
                <w:noProof/>
                <w:sz w:val="24"/>
              </w:rPr>
              <w:t xml:space="preserve"> tranche</w:t>
            </w:r>
          </w:p>
        </w:tc>
        <w:tc>
          <w:tcPr>
            <w:tcW w:w="847" w:type="pct"/>
            <w:shd w:val="clear" w:color="auto" w:fill="auto"/>
          </w:tcPr>
          <w:p>
            <w:pPr>
              <w:spacing w:after="240" w:line="240" w:lineRule="auto"/>
              <w:jc w:val="center"/>
              <w:rPr>
                <w:rFonts w:ascii="Times New Roman" w:hAnsi="Times New Roman"/>
                <w:bCs/>
                <w:noProof/>
                <w:sz w:val="24"/>
                <w:szCs w:val="24"/>
              </w:rPr>
            </w:pPr>
          </w:p>
          <w:p>
            <w:pPr>
              <w:spacing w:after="240" w:line="240" w:lineRule="auto"/>
              <w:jc w:val="center"/>
              <w:rPr>
                <w:rFonts w:ascii="Times New Roman" w:hAnsi="Times New Roman"/>
                <w:b/>
                <w:noProof/>
                <w:sz w:val="24"/>
                <w:szCs w:val="24"/>
              </w:rPr>
            </w:pPr>
            <w:r>
              <w:rPr>
                <w:rFonts w:ascii="Times New Roman" w:hAnsi="Times New Roman"/>
                <w:noProof/>
                <w:sz w:val="24"/>
              </w:rPr>
              <w:t>15.10.2015</w:t>
            </w:r>
          </w:p>
        </w:tc>
        <w:tc>
          <w:tcPr>
            <w:tcW w:w="1109" w:type="pct"/>
            <w:shd w:val="clear" w:color="auto" w:fill="auto"/>
          </w:tcPr>
          <w:p>
            <w:pPr>
              <w:spacing w:after="240" w:line="240" w:lineRule="auto"/>
              <w:jc w:val="center"/>
              <w:rPr>
                <w:rFonts w:ascii="Times New Roman" w:hAnsi="Times New Roman"/>
                <w:bCs/>
                <w:noProof/>
                <w:sz w:val="24"/>
                <w:szCs w:val="24"/>
              </w:rPr>
            </w:pPr>
          </w:p>
          <w:p>
            <w:pPr>
              <w:spacing w:after="240" w:line="240" w:lineRule="auto"/>
              <w:jc w:val="center"/>
              <w:rPr>
                <w:rFonts w:ascii="Times New Roman" w:hAnsi="Times New Roman"/>
                <w:b/>
                <w:noProof/>
                <w:sz w:val="24"/>
                <w:szCs w:val="24"/>
              </w:rPr>
            </w:pPr>
            <w:r>
              <w:rPr>
                <w:rFonts w:ascii="Times New Roman" w:hAnsi="Times New Roman"/>
                <w:noProof/>
                <w:sz w:val="24"/>
              </w:rPr>
              <w:t>4.10.2029</w:t>
            </w:r>
          </w:p>
        </w:tc>
        <w:tc>
          <w:tcPr>
            <w:tcW w:w="850" w:type="pct"/>
            <w:shd w:val="clear" w:color="auto" w:fill="auto"/>
          </w:tcPr>
          <w:p>
            <w:pPr>
              <w:spacing w:after="240" w:line="240" w:lineRule="auto"/>
              <w:jc w:val="center"/>
              <w:rPr>
                <w:rFonts w:ascii="Times New Roman" w:hAnsi="Times New Roman"/>
                <w:bCs/>
                <w:noProof/>
                <w:sz w:val="24"/>
                <w:szCs w:val="24"/>
              </w:rPr>
            </w:pPr>
          </w:p>
          <w:p>
            <w:pPr>
              <w:spacing w:after="240" w:line="240" w:lineRule="auto"/>
              <w:jc w:val="center"/>
              <w:rPr>
                <w:rFonts w:ascii="Times New Roman" w:hAnsi="Times New Roman"/>
                <w:b/>
                <w:noProof/>
                <w:sz w:val="24"/>
                <w:szCs w:val="24"/>
              </w:rPr>
            </w:pPr>
            <w:r>
              <w:rPr>
                <w:rFonts w:ascii="Times New Roman" w:hAnsi="Times New Roman"/>
                <w:noProof/>
                <w:sz w:val="24"/>
              </w:rPr>
              <w:t>5</w:t>
            </w:r>
          </w:p>
        </w:tc>
      </w:tr>
      <w:tr>
        <w:tc>
          <w:tcPr>
            <w:tcW w:w="827" w:type="pct"/>
            <w:shd w:val="clear" w:color="auto" w:fill="auto"/>
          </w:tcPr>
          <w:p>
            <w:pPr>
              <w:spacing w:after="240" w:line="240" w:lineRule="auto"/>
              <w:jc w:val="center"/>
              <w:rPr>
                <w:rFonts w:ascii="Times New Roman" w:hAnsi="Times New Roman"/>
                <w:noProof/>
                <w:sz w:val="24"/>
                <w:szCs w:val="24"/>
              </w:rPr>
            </w:pPr>
          </w:p>
          <w:p>
            <w:pPr>
              <w:spacing w:after="240" w:line="240" w:lineRule="auto"/>
              <w:jc w:val="center"/>
              <w:rPr>
                <w:rFonts w:ascii="Times New Roman" w:hAnsi="Times New Roman"/>
                <w:noProof/>
                <w:sz w:val="24"/>
                <w:szCs w:val="24"/>
              </w:rPr>
            </w:pPr>
            <w:r>
              <w:rPr>
                <w:rFonts w:ascii="Times New Roman" w:hAnsi="Times New Roman"/>
                <w:noProof/>
                <w:sz w:val="24"/>
              </w:rPr>
              <w:t>Tunisie</w:t>
            </w:r>
          </w:p>
        </w:tc>
        <w:tc>
          <w:tcPr>
            <w:tcW w:w="1367" w:type="pct"/>
            <w:shd w:val="clear" w:color="auto" w:fill="auto"/>
          </w:tcPr>
          <w:p>
            <w:pPr>
              <w:spacing w:after="0" w:line="240" w:lineRule="auto"/>
              <w:jc w:val="center"/>
              <w:rPr>
                <w:rFonts w:ascii="Times New Roman" w:hAnsi="Times New Roman"/>
                <w:bCs/>
                <w:noProof/>
                <w:sz w:val="24"/>
                <w:szCs w:val="24"/>
              </w:rPr>
            </w:pPr>
          </w:p>
          <w:p>
            <w:pPr>
              <w:spacing w:after="0" w:line="240" w:lineRule="auto"/>
              <w:jc w:val="center"/>
              <w:rPr>
                <w:rFonts w:ascii="Times New Roman" w:hAnsi="Times New Roman"/>
                <w:bCs/>
                <w:noProof/>
                <w:sz w:val="24"/>
                <w:szCs w:val="24"/>
              </w:rPr>
            </w:pPr>
            <w:r>
              <w:rPr>
                <w:rFonts w:ascii="Times New Roman" w:hAnsi="Times New Roman"/>
                <w:noProof/>
                <w:sz w:val="24"/>
              </w:rPr>
              <w:t>Tunisie</w:t>
            </w:r>
          </w:p>
          <w:p>
            <w:pPr>
              <w:spacing w:after="240" w:line="240" w:lineRule="auto"/>
              <w:jc w:val="center"/>
              <w:rPr>
                <w:rFonts w:ascii="Times New Roman" w:hAnsi="Times New Roman"/>
                <w:b/>
                <w:noProof/>
                <w:sz w:val="24"/>
                <w:szCs w:val="24"/>
              </w:rPr>
            </w:pPr>
            <w:r>
              <w:rPr>
                <w:rFonts w:ascii="Times New Roman" w:hAnsi="Times New Roman"/>
                <w:noProof/>
                <w:sz w:val="24"/>
              </w:rPr>
              <w:t>2</w:t>
            </w:r>
            <w:r>
              <w:rPr>
                <w:rFonts w:ascii="Times New Roman" w:hAnsi="Times New Roman"/>
                <w:noProof/>
                <w:sz w:val="24"/>
                <w:vertAlign w:val="superscript"/>
              </w:rPr>
              <w:t>e</w:t>
            </w:r>
            <w:r>
              <w:rPr>
                <w:rFonts w:ascii="Times New Roman" w:hAnsi="Times New Roman"/>
                <w:noProof/>
                <w:sz w:val="24"/>
              </w:rPr>
              <w:t xml:space="preserve"> tranche</w:t>
            </w:r>
          </w:p>
        </w:tc>
        <w:tc>
          <w:tcPr>
            <w:tcW w:w="847" w:type="pct"/>
            <w:shd w:val="clear" w:color="auto" w:fill="auto"/>
          </w:tcPr>
          <w:p>
            <w:pPr>
              <w:spacing w:after="240" w:line="240" w:lineRule="auto"/>
              <w:jc w:val="center"/>
              <w:rPr>
                <w:rFonts w:ascii="Times New Roman" w:hAnsi="Times New Roman"/>
                <w:noProof/>
                <w:sz w:val="24"/>
                <w:szCs w:val="24"/>
              </w:rPr>
            </w:pPr>
          </w:p>
          <w:p>
            <w:pPr>
              <w:spacing w:after="240" w:line="240" w:lineRule="auto"/>
              <w:jc w:val="center"/>
              <w:rPr>
                <w:rFonts w:ascii="Times New Roman" w:hAnsi="Times New Roman"/>
                <w:noProof/>
                <w:sz w:val="24"/>
                <w:szCs w:val="24"/>
              </w:rPr>
            </w:pPr>
            <w:r>
              <w:rPr>
                <w:rFonts w:ascii="Times New Roman" w:hAnsi="Times New Roman"/>
                <w:noProof/>
                <w:sz w:val="24"/>
              </w:rPr>
              <w:t>1.12.2015</w:t>
            </w:r>
          </w:p>
        </w:tc>
        <w:tc>
          <w:tcPr>
            <w:tcW w:w="1109" w:type="pct"/>
            <w:shd w:val="clear" w:color="auto" w:fill="auto"/>
          </w:tcPr>
          <w:p>
            <w:pPr>
              <w:spacing w:after="240" w:line="240" w:lineRule="auto"/>
              <w:jc w:val="center"/>
              <w:rPr>
                <w:rFonts w:ascii="Times New Roman" w:hAnsi="Times New Roman"/>
                <w:noProof/>
                <w:sz w:val="24"/>
                <w:szCs w:val="24"/>
              </w:rPr>
            </w:pPr>
          </w:p>
          <w:p>
            <w:pPr>
              <w:spacing w:after="240" w:line="240" w:lineRule="auto"/>
              <w:jc w:val="center"/>
              <w:rPr>
                <w:rFonts w:ascii="Times New Roman" w:hAnsi="Times New Roman"/>
                <w:noProof/>
                <w:sz w:val="24"/>
                <w:szCs w:val="24"/>
              </w:rPr>
            </w:pPr>
            <w:r>
              <w:rPr>
                <w:rFonts w:ascii="Times New Roman" w:hAnsi="Times New Roman"/>
                <w:noProof/>
                <w:sz w:val="24"/>
              </w:rPr>
              <w:t>1.12.2028</w:t>
            </w:r>
          </w:p>
        </w:tc>
        <w:tc>
          <w:tcPr>
            <w:tcW w:w="850" w:type="pct"/>
            <w:shd w:val="clear" w:color="auto" w:fill="auto"/>
          </w:tcPr>
          <w:p>
            <w:pPr>
              <w:spacing w:after="240" w:line="240" w:lineRule="auto"/>
              <w:jc w:val="center"/>
              <w:rPr>
                <w:rFonts w:ascii="Times New Roman" w:hAnsi="Times New Roman"/>
                <w:noProof/>
                <w:sz w:val="24"/>
                <w:szCs w:val="24"/>
              </w:rPr>
            </w:pPr>
          </w:p>
          <w:p>
            <w:pPr>
              <w:spacing w:after="240" w:line="240" w:lineRule="auto"/>
              <w:jc w:val="center"/>
              <w:rPr>
                <w:rFonts w:ascii="Times New Roman" w:hAnsi="Times New Roman"/>
                <w:noProof/>
                <w:sz w:val="24"/>
                <w:szCs w:val="24"/>
              </w:rPr>
            </w:pPr>
            <w:r>
              <w:rPr>
                <w:rFonts w:ascii="Times New Roman" w:hAnsi="Times New Roman"/>
                <w:noProof/>
                <w:sz w:val="24"/>
              </w:rPr>
              <w:t>100</w:t>
            </w:r>
          </w:p>
        </w:tc>
      </w:tr>
      <w:tr>
        <w:tc>
          <w:tcPr>
            <w:tcW w:w="827" w:type="pct"/>
            <w:shd w:val="clear" w:color="auto" w:fill="auto"/>
          </w:tcPr>
          <w:p>
            <w:pPr>
              <w:spacing w:after="240" w:line="240" w:lineRule="auto"/>
              <w:jc w:val="center"/>
              <w:rPr>
                <w:rFonts w:ascii="Times New Roman" w:hAnsi="Times New Roman"/>
                <w:b/>
                <w:noProof/>
                <w:sz w:val="24"/>
                <w:szCs w:val="24"/>
              </w:rPr>
            </w:pPr>
          </w:p>
          <w:p>
            <w:pPr>
              <w:spacing w:after="240" w:line="240" w:lineRule="auto"/>
              <w:jc w:val="center"/>
              <w:rPr>
                <w:rFonts w:ascii="Times New Roman" w:hAnsi="Times New Roman"/>
                <w:b/>
                <w:noProof/>
                <w:sz w:val="24"/>
                <w:szCs w:val="24"/>
              </w:rPr>
            </w:pPr>
            <w:r>
              <w:rPr>
                <w:rFonts w:ascii="Times New Roman" w:hAnsi="Times New Roman"/>
                <w:b/>
                <w:noProof/>
                <w:sz w:val="24"/>
              </w:rPr>
              <w:t>Total</w:t>
            </w:r>
          </w:p>
        </w:tc>
        <w:tc>
          <w:tcPr>
            <w:tcW w:w="1367" w:type="pct"/>
            <w:shd w:val="clear" w:color="auto" w:fill="auto"/>
          </w:tcPr>
          <w:p>
            <w:pPr>
              <w:spacing w:after="240" w:line="240" w:lineRule="auto"/>
              <w:jc w:val="center"/>
              <w:rPr>
                <w:rFonts w:ascii="Times New Roman" w:hAnsi="Times New Roman"/>
                <w:b/>
                <w:noProof/>
                <w:sz w:val="24"/>
                <w:szCs w:val="24"/>
              </w:rPr>
            </w:pPr>
          </w:p>
        </w:tc>
        <w:tc>
          <w:tcPr>
            <w:tcW w:w="847" w:type="pct"/>
            <w:shd w:val="clear" w:color="auto" w:fill="auto"/>
          </w:tcPr>
          <w:p>
            <w:pPr>
              <w:spacing w:after="240" w:line="240" w:lineRule="auto"/>
              <w:jc w:val="center"/>
              <w:rPr>
                <w:rFonts w:ascii="Times New Roman" w:hAnsi="Times New Roman"/>
                <w:b/>
                <w:noProof/>
                <w:sz w:val="24"/>
                <w:szCs w:val="24"/>
              </w:rPr>
            </w:pPr>
          </w:p>
        </w:tc>
        <w:tc>
          <w:tcPr>
            <w:tcW w:w="1109" w:type="pct"/>
            <w:shd w:val="clear" w:color="auto" w:fill="auto"/>
          </w:tcPr>
          <w:p>
            <w:pPr>
              <w:spacing w:after="240" w:line="240" w:lineRule="auto"/>
              <w:jc w:val="center"/>
              <w:rPr>
                <w:rFonts w:ascii="Times New Roman" w:hAnsi="Times New Roman"/>
                <w:b/>
                <w:noProof/>
                <w:sz w:val="24"/>
                <w:szCs w:val="24"/>
              </w:rPr>
            </w:pPr>
          </w:p>
        </w:tc>
        <w:tc>
          <w:tcPr>
            <w:tcW w:w="850" w:type="pct"/>
            <w:shd w:val="clear" w:color="auto" w:fill="auto"/>
          </w:tcPr>
          <w:p>
            <w:pPr>
              <w:spacing w:after="240" w:line="240" w:lineRule="auto"/>
              <w:jc w:val="center"/>
              <w:rPr>
                <w:rFonts w:ascii="Times New Roman" w:hAnsi="Times New Roman"/>
                <w:b/>
                <w:noProof/>
                <w:sz w:val="24"/>
                <w:szCs w:val="24"/>
              </w:rPr>
            </w:pPr>
          </w:p>
          <w:p>
            <w:pPr>
              <w:spacing w:after="240" w:line="240" w:lineRule="auto"/>
              <w:jc w:val="center"/>
              <w:rPr>
                <w:rFonts w:ascii="Times New Roman" w:hAnsi="Times New Roman"/>
                <w:b/>
                <w:noProof/>
                <w:sz w:val="24"/>
                <w:szCs w:val="24"/>
              </w:rPr>
            </w:pPr>
            <w:r>
              <w:rPr>
                <w:rFonts w:ascii="Times New Roman" w:hAnsi="Times New Roman"/>
                <w:b/>
                <w:noProof/>
                <w:sz w:val="24"/>
              </w:rPr>
              <w:t>1 245</w:t>
            </w:r>
          </w:p>
        </w:tc>
      </w:tr>
    </w:tbl>
    <w:p>
      <w:pPr>
        <w:pStyle w:val="ManualHeading2"/>
        <w:spacing w:after="240"/>
        <w:ind w:left="851" w:hanging="851"/>
        <w:outlineLvl w:val="0"/>
        <w:rPr>
          <w:noProof/>
        </w:rPr>
      </w:pPr>
      <w:bookmarkStart w:id="98" w:name="_Toc388883949"/>
      <w:bookmarkStart w:id="99" w:name="_Toc393808501"/>
    </w:p>
    <w:p>
      <w:pPr>
        <w:pStyle w:val="ManualHeading2"/>
        <w:spacing w:before="240" w:after="240"/>
        <w:ind w:left="851" w:hanging="851"/>
        <w:outlineLvl w:val="0"/>
        <w:rPr>
          <w:noProof/>
        </w:rPr>
      </w:pPr>
      <w:bookmarkStart w:id="100" w:name="_Toc451257937"/>
      <w:bookmarkStart w:id="101" w:name="_Toc452129255"/>
      <w:r>
        <w:rPr>
          <w:noProof/>
        </w:rPr>
        <w:t>3.4.</w:t>
      </w:r>
      <w:r>
        <w:rPr>
          <w:noProof/>
        </w:rPr>
        <w:tab/>
        <w:t>Mécanisme</w:t>
      </w:r>
      <w:bookmarkEnd w:id="95"/>
      <w:bookmarkEnd w:id="96"/>
      <w:bookmarkEnd w:id="97"/>
      <w:bookmarkEnd w:id="98"/>
      <w:bookmarkEnd w:id="99"/>
      <w:r>
        <w:rPr>
          <w:noProof/>
        </w:rPr>
        <w:t xml:space="preserve"> Euratom</w:t>
      </w:r>
      <w:bookmarkEnd w:id="100"/>
      <w:bookmarkEnd w:id="101"/>
    </w:p>
    <w:p>
      <w:pPr>
        <w:spacing w:after="240" w:line="240" w:lineRule="auto"/>
        <w:jc w:val="both"/>
        <w:rPr>
          <w:rFonts w:ascii="Times New Roman" w:hAnsi="Times New Roman"/>
          <w:noProof/>
          <w:sz w:val="24"/>
          <w:szCs w:val="24"/>
        </w:rPr>
      </w:pPr>
      <w:r>
        <w:rPr>
          <w:rFonts w:ascii="Times New Roman" w:hAnsi="Times New Roman"/>
          <w:noProof/>
          <w:sz w:val="24"/>
        </w:rPr>
        <w:t>En 2015, il n’y a pas eu d’opérations d’emprunt dans le cadre de l’Euratom.</w:t>
      </w:r>
    </w:p>
    <w:p>
      <w:pPr>
        <w:pStyle w:val="ManualHeading1"/>
        <w:spacing w:after="240"/>
        <w:ind w:left="851" w:hanging="851"/>
        <w:rPr>
          <w:noProof/>
        </w:rPr>
      </w:pPr>
      <w:bookmarkStart w:id="102" w:name="_Toc325641150"/>
      <w:bookmarkStart w:id="103" w:name="_Toc330157552"/>
      <w:bookmarkStart w:id="104" w:name="_Toc361393262"/>
      <w:bookmarkStart w:id="105" w:name="_Toc388883950"/>
      <w:bookmarkStart w:id="106" w:name="_Toc393808502"/>
      <w:bookmarkStart w:id="107" w:name="_Toc451257938"/>
      <w:bookmarkStart w:id="108" w:name="_Toc452129256"/>
      <w:r>
        <w:rPr>
          <w:noProof/>
        </w:rPr>
        <w:t>4.</w:t>
      </w:r>
      <w:r>
        <w:rPr>
          <w:noProof/>
        </w:rPr>
        <w:tab/>
        <w:t>Banque européenne d'investissement</w:t>
      </w:r>
      <w:bookmarkEnd w:id="102"/>
      <w:bookmarkEnd w:id="103"/>
      <w:bookmarkEnd w:id="104"/>
      <w:bookmarkEnd w:id="105"/>
      <w:bookmarkEnd w:id="106"/>
      <w:bookmarkEnd w:id="107"/>
      <w:bookmarkEnd w:id="108"/>
      <w:r>
        <w:rPr>
          <w:noProof/>
        </w:rPr>
        <w:t xml:space="preserve"> </w:t>
      </w:r>
    </w:p>
    <w:p>
      <w:pPr>
        <w:pStyle w:val="ManualHeading2"/>
        <w:spacing w:after="240"/>
        <w:ind w:left="851" w:hanging="851"/>
        <w:rPr>
          <w:noProof/>
        </w:rPr>
      </w:pPr>
      <w:bookmarkStart w:id="109" w:name="_Toc325641151"/>
      <w:bookmarkStart w:id="110" w:name="_Toc330157553"/>
      <w:bookmarkStart w:id="111" w:name="_Toc361393263"/>
      <w:bookmarkStart w:id="112" w:name="_Toc388883951"/>
      <w:bookmarkStart w:id="113" w:name="_Toc393808503"/>
      <w:bookmarkStart w:id="114" w:name="_Toc451257939"/>
      <w:bookmarkStart w:id="115" w:name="_Toc452129257"/>
      <w:r>
        <w:rPr>
          <w:noProof/>
        </w:rPr>
        <w:t>4.1.</w:t>
      </w:r>
      <w:r>
        <w:rPr>
          <w:noProof/>
        </w:rPr>
        <w:tab/>
        <w:t>Activités de prêt de la BEI</w:t>
      </w:r>
      <w:bookmarkEnd w:id="109"/>
      <w:bookmarkEnd w:id="110"/>
      <w:bookmarkEnd w:id="111"/>
      <w:bookmarkEnd w:id="112"/>
      <w:bookmarkEnd w:id="113"/>
      <w:bookmarkEnd w:id="114"/>
      <w:bookmarkEnd w:id="115"/>
    </w:p>
    <w:p>
      <w:pPr>
        <w:spacing w:after="120" w:line="240" w:lineRule="auto"/>
        <w:jc w:val="both"/>
        <w:rPr>
          <w:rFonts w:ascii="Times New Roman" w:hAnsi="Times New Roman"/>
          <w:noProof/>
          <w:sz w:val="24"/>
          <w:szCs w:val="24"/>
        </w:rPr>
      </w:pPr>
      <w:r>
        <w:rPr>
          <w:rFonts w:ascii="Times New Roman" w:hAnsi="Times New Roman"/>
          <w:noProof/>
          <w:sz w:val="24"/>
        </w:rPr>
        <w:t xml:space="preserve">La BEI finance des projets d'investissement </w:t>
      </w:r>
      <w:r>
        <w:rPr>
          <w:rFonts w:ascii="Times New Roman" w:hAnsi="Times New Roman"/>
          <w:i/>
          <w:noProof/>
          <w:sz w:val="24"/>
        </w:rPr>
        <w:t>directement</w:t>
      </w:r>
      <w:r>
        <w:rPr>
          <w:rFonts w:ascii="Times New Roman" w:hAnsi="Times New Roman"/>
          <w:noProof/>
          <w:sz w:val="24"/>
        </w:rPr>
        <w:t xml:space="preserve"> ou, pour les projets de moindre ampleur des PME, des autorités locales ou des municipalités, </w:t>
      </w:r>
      <w:r>
        <w:rPr>
          <w:rFonts w:ascii="Times New Roman" w:hAnsi="Times New Roman"/>
          <w:i/>
          <w:noProof/>
          <w:sz w:val="24"/>
        </w:rPr>
        <w:t>en passant par des intermédiaires financiers</w:t>
      </w:r>
      <w:r>
        <w:rPr>
          <w:rFonts w:ascii="Times New Roman" w:hAnsi="Times New Roman"/>
          <w:noProof/>
          <w:sz w:val="24"/>
        </w:rPr>
        <w:t>. Le groupe BEI, qui comprend le Fonds européen d’investissement (FEI), fournit également des garanties de prêt, une assistance technique et du capital-risque.</w:t>
      </w:r>
    </w:p>
    <w:p>
      <w:pPr>
        <w:spacing w:after="120" w:line="240" w:lineRule="auto"/>
        <w:jc w:val="both"/>
        <w:rPr>
          <w:rFonts w:ascii="Times New Roman" w:hAnsi="Times New Roman"/>
          <w:noProof/>
          <w:sz w:val="24"/>
          <w:szCs w:val="24"/>
        </w:rPr>
      </w:pPr>
      <w:r>
        <w:rPr>
          <w:rFonts w:ascii="Times New Roman" w:hAnsi="Times New Roman"/>
          <w:noProof/>
          <w:sz w:val="24"/>
        </w:rPr>
        <w:t>En 2015, la BEI a signé un volume de financement total de 77,5 milliards d’EUR (contre 77 milliards d’EUR en 2014). Le groupe BEI a financé des projets à hauteur de 84,5 milliards d’EUR, soit un soutien à 462 projets menés dans 68 pays dans le monde et une mobilisation de près de 230 milliards d’EUR d’investissement, si on compte l'activité du FEI.</w:t>
      </w:r>
    </w:p>
    <w:p>
      <w:pPr>
        <w:spacing w:after="120" w:line="240" w:lineRule="auto"/>
        <w:jc w:val="both"/>
        <w:rPr>
          <w:rFonts w:ascii="Times New Roman" w:hAnsi="Times New Roman"/>
          <w:noProof/>
          <w:sz w:val="24"/>
          <w:szCs w:val="24"/>
        </w:rPr>
      </w:pPr>
      <w:r>
        <w:rPr>
          <w:rFonts w:ascii="Times New Roman" w:hAnsi="Times New Roman"/>
          <w:noProof/>
          <w:sz w:val="24"/>
        </w:rPr>
        <w:t>En outre, à la fin 2015, le groupe BEI avait approuvé plus de 100 prêts et garanties à soumettre au titre du Fonds européen pour les investissements stratégiques (EFSI)</w:t>
      </w:r>
      <w:r>
        <w:rPr>
          <w:rStyle w:val="FootnoteReference"/>
          <w:rFonts w:ascii="Times New Roman" w:hAnsi="Times New Roman"/>
          <w:noProof/>
          <w:sz w:val="24"/>
        </w:rPr>
        <w:footnoteReference w:id="22"/>
      </w:r>
      <w:r>
        <w:rPr>
          <w:rFonts w:ascii="Times New Roman" w:hAnsi="Times New Roman"/>
          <w:noProof/>
          <w:sz w:val="24"/>
        </w:rPr>
        <w:t xml:space="preserve"> dans le cadre du plan d’investissement. Les opérations de financement et d’investissement de la BEI réalisées au titre de l’EFSI bénéficient d'une garantie au titre du budget de l'UE. Les ressources engagées s’élèvent à 7,5 milliards d’EUR, dont 5,7 milliards d’EUR proviennent de la BEI et 1,8 milliard d’EUR du FEI, et mobilisent des investissements d’un montant total maximal de 50 milliards d’EUR.</w:t>
      </w:r>
    </w:p>
    <w:p>
      <w:pPr>
        <w:spacing w:after="120" w:line="240" w:lineRule="auto"/>
        <w:jc w:val="both"/>
        <w:rPr>
          <w:rFonts w:ascii="Times New Roman" w:hAnsi="Times New Roman"/>
          <w:noProof/>
          <w:sz w:val="24"/>
          <w:szCs w:val="24"/>
        </w:rPr>
      </w:pPr>
      <w:r>
        <w:rPr>
          <w:rFonts w:ascii="Times New Roman" w:hAnsi="Times New Roman"/>
          <w:noProof/>
          <w:sz w:val="24"/>
        </w:rPr>
        <w:t>Les activités de financement de la BEI ont une incidence sur le budget de l'UE lorsqu'elles sont assorties d'une garantie de l'UE ou de fonds du budget de l'UE. Outre l’EFSI, c'est le cas aussi pour:</w:t>
      </w:r>
    </w:p>
    <w:p>
      <w:pPr>
        <w:numPr>
          <w:ilvl w:val="0"/>
          <w:numId w:val="25"/>
        </w:numPr>
        <w:spacing w:after="120" w:line="240" w:lineRule="auto"/>
        <w:ind w:left="284" w:hanging="284"/>
        <w:jc w:val="both"/>
        <w:rPr>
          <w:rFonts w:ascii="Times New Roman" w:hAnsi="Times New Roman"/>
          <w:noProof/>
          <w:sz w:val="24"/>
          <w:szCs w:val="24"/>
        </w:rPr>
      </w:pPr>
      <w:r>
        <w:rPr>
          <w:rFonts w:ascii="Times New Roman" w:hAnsi="Times New Roman"/>
          <w:noProof/>
          <w:sz w:val="24"/>
        </w:rPr>
        <w:t>les opérations de financement de la BEI réalisées au titre du «mandat extérieur» couvrant les pays en phase de préadhésion, les pays couverts par la politique de voisinage et de partenariat, les pays d’Amérique latine et d’Asie, l'Afrique du Sud. Ces financements bénéficient d’une garantie du budget de l’UE couvrant les risques de nature souveraine ou politique («garantie de l'UE pour les opérations extérieures»)</w:t>
      </w:r>
      <w:r>
        <w:rPr>
          <w:rStyle w:val="FootnoteReference"/>
          <w:rFonts w:ascii="Times New Roman" w:hAnsi="Times New Roman"/>
          <w:noProof/>
          <w:sz w:val="24"/>
        </w:rPr>
        <w:footnoteReference w:id="23"/>
      </w:r>
      <w:r>
        <w:rPr>
          <w:rFonts w:ascii="Times New Roman" w:hAnsi="Times New Roman"/>
          <w:noProof/>
          <w:sz w:val="24"/>
        </w:rPr>
        <w:t>. Au second semestre 2016, la Commission publiera un rapport distinct sur les activités de financement de la BEI au titre du mandat extérieur;</w:t>
      </w:r>
    </w:p>
    <w:p>
      <w:pPr>
        <w:numPr>
          <w:ilvl w:val="0"/>
          <w:numId w:val="25"/>
        </w:numPr>
        <w:spacing w:after="120" w:line="240" w:lineRule="auto"/>
        <w:ind w:left="284" w:hanging="284"/>
        <w:jc w:val="both"/>
        <w:rPr>
          <w:rFonts w:ascii="Times New Roman" w:hAnsi="Times New Roman"/>
          <w:noProof/>
          <w:sz w:val="24"/>
          <w:szCs w:val="24"/>
        </w:rPr>
      </w:pPr>
      <w:r>
        <w:rPr>
          <w:rFonts w:ascii="Times New Roman" w:hAnsi="Times New Roman"/>
          <w:noProof/>
          <w:sz w:val="24"/>
        </w:rPr>
        <w:t>les mécanismes de financement avec partage des risques utilisant le budget de l'UE pour soutenir des politiques de l'Union (par exemple, l’instrument de financement avec partage des risques pour les projets de recherche et développement et l'initiative relative aux emprunts obligataires pour le financement de projets).</w:t>
      </w:r>
    </w:p>
    <w:p>
      <w:pPr>
        <w:spacing w:after="120" w:line="240" w:lineRule="auto"/>
        <w:jc w:val="both"/>
        <w:rPr>
          <w:rFonts w:ascii="Times New Roman" w:hAnsi="Times New Roman"/>
          <w:noProof/>
          <w:sz w:val="24"/>
          <w:szCs w:val="24"/>
        </w:rPr>
      </w:pPr>
      <w:r>
        <w:rPr>
          <w:rFonts w:ascii="Times New Roman" w:hAnsi="Times New Roman"/>
          <w:noProof/>
          <w:sz w:val="24"/>
        </w:rPr>
        <w:t>En 2015, les financements accordés par la BEI dans les États membres de l’UE atteignaient 69,7 milliards d’EUR, soit 90 % du total des prêts de la BEI. Les opérations de prêts de la BEI en dehors de l’UE s'élevaient à 7,8 milliards d’EUR, dont 4,8 milliards d’EUR sont couverts par la garantie de l’UE pour les opérations extérieures.</w:t>
      </w:r>
    </w:p>
    <w:p>
      <w:pPr>
        <w:spacing w:after="120" w:line="240" w:lineRule="auto"/>
        <w:jc w:val="both"/>
        <w:rPr>
          <w:rFonts w:ascii="Times New Roman" w:hAnsi="Times New Roman"/>
          <w:noProof/>
          <w:sz w:val="24"/>
          <w:szCs w:val="24"/>
        </w:rPr>
      </w:pPr>
      <w:r>
        <w:rPr>
          <w:rFonts w:ascii="Times New Roman" w:hAnsi="Times New Roman"/>
          <w:noProof/>
          <w:sz w:val="24"/>
        </w:rPr>
        <w:t>Le mandat extérieur représente un montant total de 27 milliards d'EUR, plus un montant supplémentaire optionnel de 3 milliards d'EUR. La décision d'activer totalement ou partiellement ce montant supplémentaire optionnel sera prise par le Parlement et le Conseil conformément à la procédure législative ordinaire et sur la base des résultats d’un examen à mi-parcours du mandat extérieur.</w:t>
      </w:r>
    </w:p>
    <w:p>
      <w:pPr>
        <w:pStyle w:val="ManualHeading2"/>
        <w:spacing w:before="240" w:after="240"/>
        <w:ind w:left="851" w:hanging="851"/>
        <w:rPr>
          <w:noProof/>
        </w:rPr>
      </w:pPr>
      <w:bookmarkStart w:id="116" w:name="_Toc325641152"/>
      <w:bookmarkStart w:id="117" w:name="_Toc330157554"/>
      <w:bookmarkStart w:id="118" w:name="_Toc361393264"/>
      <w:bookmarkStart w:id="119" w:name="_Toc388883952"/>
      <w:bookmarkStart w:id="120" w:name="_Toc393808504"/>
      <w:bookmarkStart w:id="121" w:name="_Toc451257940"/>
      <w:bookmarkStart w:id="122" w:name="_Toc452129258"/>
      <w:r>
        <w:rPr>
          <w:noProof/>
        </w:rPr>
        <w:t>4.2.</w:t>
      </w:r>
      <w:r>
        <w:rPr>
          <w:noProof/>
        </w:rPr>
        <w:tab/>
        <w:t>Activités d’emprunt de la BEI</w:t>
      </w:r>
      <w:bookmarkEnd w:id="116"/>
      <w:bookmarkEnd w:id="117"/>
      <w:bookmarkEnd w:id="118"/>
      <w:bookmarkEnd w:id="119"/>
      <w:bookmarkEnd w:id="120"/>
      <w:bookmarkEnd w:id="121"/>
      <w:bookmarkEnd w:id="122"/>
    </w:p>
    <w:p>
      <w:pPr>
        <w:spacing w:after="120" w:line="240" w:lineRule="auto"/>
        <w:jc w:val="both"/>
        <w:rPr>
          <w:rFonts w:ascii="Times New Roman" w:hAnsi="Times New Roman"/>
          <w:noProof/>
          <w:sz w:val="24"/>
          <w:szCs w:val="24"/>
        </w:rPr>
      </w:pPr>
      <w:bookmarkStart w:id="123" w:name="_CopyToNewDocument_"/>
      <w:bookmarkStart w:id="124" w:name="_Toc330157555"/>
      <w:bookmarkStart w:id="125" w:name="_Toc361393265"/>
      <w:bookmarkEnd w:id="123"/>
      <w:r>
        <w:rPr>
          <w:rFonts w:ascii="Times New Roman" w:hAnsi="Times New Roman"/>
          <w:noProof/>
          <w:sz w:val="24"/>
        </w:rPr>
        <w:t>Les activités de prêt de la BEI sont financées essentiellement par l’émission d’obligations sur les marchés des capitaux internationaux. L’objectif global de la stratégie de financement de la BEI est d’optimiser les coûts de financement sur une base durable. La stratégie de financement de la BEI combine l’émission d'obligations liquides et de grande valeur dans les principales monnaies et l'émission d'obligations ciblées et spécifiques dans un certain nombre d’autres monnaies.</w:t>
      </w:r>
    </w:p>
    <w:p>
      <w:pPr>
        <w:spacing w:after="120" w:line="240" w:lineRule="auto"/>
        <w:jc w:val="both"/>
        <w:rPr>
          <w:rFonts w:ascii="Times New Roman" w:hAnsi="Times New Roman"/>
          <w:noProof/>
          <w:sz w:val="24"/>
          <w:szCs w:val="24"/>
        </w:rPr>
      </w:pPr>
      <w:r>
        <w:rPr>
          <w:rFonts w:ascii="Times New Roman" w:hAnsi="Times New Roman"/>
          <w:noProof/>
          <w:sz w:val="24"/>
        </w:rPr>
        <w:t>En 2015, les activités d'emprunt de la BEI</w:t>
      </w:r>
      <w:r>
        <w:rPr>
          <w:rStyle w:val="FootnoteReference"/>
          <w:noProof/>
        </w:rPr>
        <w:t xml:space="preserve"> </w:t>
      </w:r>
      <w:r>
        <w:rPr>
          <w:rFonts w:ascii="Times New Roman" w:hAnsi="Times New Roman"/>
          <w:noProof/>
          <w:sz w:val="24"/>
        </w:rPr>
        <w:t>ont atteint 62,4 milliards d'EUR, avec une maturité moyenne de 6,4 ans.</w:t>
      </w:r>
      <w:bookmarkEnd w:id="124"/>
      <w:bookmarkEnd w:id="125"/>
    </w:p>
    <w:sectPr>
      <w:headerReference w:type="even" r:id="rId22"/>
      <w:headerReference w:type="default" r:id="rId23"/>
      <w:footerReference w:type="even" r:id="rId24"/>
      <w:footerReference w:type="default" r:id="rId25"/>
      <w:headerReference w:type="first" r:id="rId26"/>
      <w:footerReference w:type="first" r:id="rId27"/>
      <w:pgSz w:w="11907" w:h="16839"/>
      <w:pgMar w:top="1134" w:right="1417" w:bottom="1134" w:left="1417" w:header="709" w:footer="7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535"/>
        <w:tab w:val="left" w:pos="127"/>
        <w:tab w:val="center" w:pos="4536"/>
      </w:tabs>
    </w:pPr>
    <w:r>
      <w:tab/>
    </w:r>
    <w:r>
      <w:tab/>
    </w:r>
    <w:r>
      <w:fldChar w:fldCharType="begin"/>
    </w:r>
    <w:r>
      <w:instrText xml:space="preserve"> PAGE   \* MERGEFORMAT </w:instrText>
    </w:r>
    <w:r>
      <w:fldChar w:fldCharType="separate"/>
    </w:r>
    <w:r>
      <w:rPr>
        <w:noProof/>
      </w:rPr>
      <w:t>14</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Les activités de prêt et d'emprunt de la Commission sont présentées en détail à l'adresse suivante: http://ec.europa.eu/economy_finance/eu_borrower/index_fr.htm.</w:t>
      </w:r>
    </w:p>
  </w:footnote>
  <w:footnote w:id="2">
    <w:p>
      <w:pPr>
        <w:pStyle w:val="FootnoteText"/>
        <w:ind w:left="709" w:hanging="709"/>
      </w:pPr>
      <w:r>
        <w:rPr>
          <w:rStyle w:val="FootnoteReference"/>
        </w:rPr>
        <w:footnoteRef/>
      </w:r>
      <w:r>
        <w:tab/>
        <w:t>JO L 53 du 23.2.2002, p. 1.</w:t>
      </w:r>
    </w:p>
  </w:footnote>
  <w:footnote w:id="3">
    <w:p>
      <w:pPr>
        <w:pStyle w:val="FootnoteText"/>
      </w:pPr>
      <w:r>
        <w:rPr>
          <w:rStyle w:val="FootnoteReference"/>
        </w:rPr>
        <w:footnoteRef/>
      </w:r>
      <w:r>
        <w:tab/>
        <w:t>Décision 2013/531/UE du Conseil du 22 octobre 2013 fournissant à titre de précaution un soutien financier de l'Union à moyen terme à la Roumanie (JO L 286 du 29.10.2013, p. 1).</w:t>
      </w:r>
    </w:p>
  </w:footnote>
  <w:footnote w:id="4">
    <w:p>
      <w:pPr>
        <w:spacing w:after="240" w:line="240" w:lineRule="auto"/>
        <w:ind w:left="709" w:hanging="709"/>
      </w:pPr>
      <w:r>
        <w:rPr>
          <w:rStyle w:val="FootnoteReference"/>
        </w:rPr>
        <w:footnoteRef/>
      </w:r>
      <w:r>
        <w:t xml:space="preserve"> </w:t>
      </w:r>
      <w:r>
        <w:tab/>
      </w:r>
      <w:r>
        <w:rPr>
          <w:rFonts w:ascii="Times New Roman" w:hAnsi="Times New Roman"/>
          <w:sz w:val="20"/>
        </w:rPr>
        <w:t>Des informations détaillées sur les opérations au titre du soutien des balances des paiements peuvent être obtenues à l'adresse suivante: http://ec.europa.eu/economy_finance/eu_borrower/balance_of_payments/index_en.htm</w:t>
      </w:r>
    </w:p>
  </w:footnote>
  <w:footnote w:id="5">
    <w:p>
      <w:pPr>
        <w:pStyle w:val="FootnoteText"/>
      </w:pPr>
      <w:r>
        <w:rPr>
          <w:rStyle w:val="FootnoteReference"/>
        </w:rPr>
        <w:footnoteRef/>
      </w:r>
      <w:r>
        <w:t xml:space="preserve"> </w:t>
      </w:r>
      <w:r>
        <w:tab/>
        <w:t>Modifié par le règlement (UE) 2015/1360 du Conseil du 4 août 2015 (JO L 210 du 7.8.2015, p. 1).</w:t>
      </w:r>
    </w:p>
  </w:footnote>
  <w:footnote w:id="6">
    <w:p>
      <w:pPr>
        <w:pStyle w:val="FootnoteText"/>
      </w:pPr>
      <w:r>
        <w:rPr>
          <w:rStyle w:val="FootnoteReference"/>
        </w:rPr>
        <w:footnoteRef/>
      </w:r>
      <w:r>
        <w:tab/>
        <w:t>L'article 122, paragraphe 2, du TFUE prévoit une assistance financière pour les États membres qui connaissent des difficultés en raison d’événements exceptionnels échappant à leur contrôle.</w:t>
      </w:r>
    </w:p>
  </w:footnote>
  <w:footnote w:id="7">
    <w:p>
      <w:pPr>
        <w:pStyle w:val="FootnoteText"/>
        <w:jc w:val="left"/>
      </w:pPr>
      <w:r>
        <w:rPr>
          <w:rStyle w:val="FootnoteReference"/>
        </w:rPr>
        <w:footnoteRef/>
      </w:r>
      <w:r>
        <w:t xml:space="preserve"> </w:t>
      </w:r>
      <w:r>
        <w:tab/>
        <w:t>Des informations détaillées sur les opérations du MESF peuvent être consultées à l'adresse suivante: http://ec.europa.eu/economy_finance/eu_borrower/efsm/index_en.htm.</w:t>
      </w:r>
    </w:p>
  </w:footnote>
  <w:footnote w:id="8">
    <w:p>
      <w:pPr>
        <w:pStyle w:val="FootnoteText"/>
      </w:pPr>
      <w:r>
        <w:rPr>
          <w:rStyle w:val="FootnoteReference"/>
        </w:rPr>
        <w:footnoteRef/>
      </w:r>
      <w:r>
        <w:tab/>
        <w:t>Décision d'exécution 2011/77/UE du Conseil du 7 décembre 2010 sur l'octroi d'une assistance financière de l'Union à l'Irlande (JO L 30 du 4.2.2011, p. 34).</w:t>
      </w:r>
    </w:p>
  </w:footnote>
  <w:footnote w:id="9">
    <w:p>
      <w:pPr>
        <w:pStyle w:val="FootnoteText"/>
      </w:pPr>
      <w:r>
        <w:rPr>
          <w:rStyle w:val="FootnoteReference"/>
        </w:rPr>
        <w:footnoteRef/>
      </w:r>
      <w:r>
        <w:tab/>
        <w:t>Décision d'exécution 2011/344/UE du Conseil du 30 mai 2011 sur l'octroi d'une assistance financière de l'Union au Portugal (JO L 159 du 17.6.2011, p. 88).</w:t>
      </w:r>
    </w:p>
  </w:footnote>
  <w:footnote w:id="10">
    <w:p>
      <w:pPr>
        <w:pStyle w:val="FootnoteText"/>
      </w:pPr>
      <w:r>
        <w:rPr>
          <w:rStyle w:val="FootnoteReference"/>
        </w:rPr>
        <w:footnoteRef/>
      </w:r>
      <w:r>
        <w:t xml:space="preserve"> </w:t>
      </w:r>
      <w:r>
        <w:tab/>
        <w:t>Décision d'exécution 2015/1181/UE du Conseil du 17 juillet 2015 sur l'octroi d'une assistance financière à court terme de l'Union à la Grèce (JO L 192 du 18.7.2015, p. 15).</w:t>
      </w:r>
    </w:p>
  </w:footnote>
  <w:footnote w:id="11">
    <w:p>
      <w:pPr>
        <w:pStyle w:val="FootnoteText"/>
      </w:pPr>
      <w:r>
        <w:rPr>
          <w:rStyle w:val="FootnoteReference"/>
        </w:rPr>
        <w:footnoteRef/>
      </w:r>
      <w:r>
        <w:t xml:space="preserve"> </w:t>
      </w:r>
      <w:r>
        <w:tab/>
        <w:t>Pour des informations détaillées sur l’AMF, voir: http://ec.europa.eu/economy_finance/eu_borrower/macro-financial_assistance/index_en.htm</w:t>
      </w:r>
    </w:p>
  </w:footnote>
  <w:footnote w:id="12">
    <w:p>
      <w:pPr>
        <w:pStyle w:val="FootnoteText"/>
      </w:pPr>
      <w:r>
        <w:rPr>
          <w:rStyle w:val="FootnoteReference"/>
        </w:rPr>
        <w:footnoteRef/>
      </w:r>
      <w:r>
        <w:tab/>
        <w:t>Voir Règlement (CE, Euratom) nº 480/2009 du Conseil du 25 mai 2009 instituant un Fonds de garantie relatif aux actions extérieures (version codifiée) (JO L 145 du 10.6.2009, p. 10). Aucune défaillance n’a été enregistrée à ce jour pour les prêts d’AMF.</w:t>
      </w:r>
    </w:p>
  </w:footnote>
  <w:footnote w:id="13">
    <w:p>
      <w:pPr>
        <w:pStyle w:val="FootnoteText"/>
      </w:pPr>
      <w:r>
        <w:rPr>
          <w:rStyle w:val="FootnoteReference"/>
        </w:rPr>
        <w:footnoteRef/>
      </w:r>
      <w:r>
        <w:tab/>
        <w:t xml:space="preserve">Bien que le remboursement de l’emprunt soit assuré </w:t>
      </w:r>
      <w:r>
        <w:rPr>
          <w:i/>
        </w:rPr>
        <w:t>in fine</w:t>
      </w:r>
      <w:r>
        <w:t xml:space="preserve"> par le budget de l'Union, le Fonds de garantie sert de réserve de liquidités protégeant le budget de l'UE contre le risque d'un appel en garantie consécutif à un défaut de paiement. Pour un rapport complet sur le fonctionnement du Fonds, voir le document COM(2014) 214 et le document de travail SEC(2014) 129 qui l'accompagne. </w:t>
      </w:r>
    </w:p>
  </w:footnote>
  <w:footnote w:id="14">
    <w:p>
      <w:pPr>
        <w:pStyle w:val="FootnoteText"/>
      </w:pPr>
      <w:r>
        <w:rPr>
          <w:rStyle w:val="FootnoteReference"/>
        </w:rPr>
        <w:footnoteRef/>
      </w:r>
      <w:r>
        <w:tab/>
        <w:t>Décision (UE) 2015/601 du Parlement européen et du Conseil du 15 avril 2015 portant attribution d'une assistance macrofinancière à l'Ukraine (JO L 100 du 17.4.2015, p. 1).</w:t>
      </w:r>
    </w:p>
  </w:footnote>
  <w:footnote w:id="15">
    <w:p>
      <w:pPr>
        <w:pStyle w:val="FootnoteText"/>
      </w:pPr>
      <w:r>
        <w:rPr>
          <w:rStyle w:val="FootnoteReference"/>
        </w:rPr>
        <w:footnoteRef/>
      </w:r>
      <w:r>
        <w:t xml:space="preserve"> </w:t>
      </w:r>
      <w:r>
        <w:tab/>
        <w:t>Décision 2002/639/UE du Conseil du 12 juillet 2002 concernant l'attribution d'une assistance macrofinancière à l'Ukraine (JO L 209 du 6.8.2002, p. 23).</w:t>
      </w:r>
    </w:p>
  </w:footnote>
  <w:footnote w:id="16">
    <w:p>
      <w:pPr>
        <w:pStyle w:val="FootnoteText"/>
        <w:rPr>
          <w:sz w:val="18"/>
          <w:szCs w:val="18"/>
        </w:rPr>
      </w:pPr>
      <w:r>
        <w:rPr>
          <w:rStyle w:val="FootnoteReference"/>
        </w:rPr>
        <w:footnoteRef/>
      </w:r>
      <w:r>
        <w:rPr>
          <w:rStyle w:val="FootnoteReference"/>
        </w:rPr>
        <w:t xml:space="preserve"> </w:t>
      </w:r>
      <w:r>
        <w:tab/>
        <w:t>Décision n° 388/2010/UE du Parlement européen et du Conseil du 7 juillet 2010 accordant une assistance macrofinancière à l'Ukraine (JO L 179 du 14.7.2010, p. 1).</w:t>
      </w:r>
    </w:p>
  </w:footnote>
  <w:footnote w:id="17">
    <w:p>
      <w:pPr>
        <w:pStyle w:val="FootnoteText"/>
      </w:pPr>
      <w:r>
        <w:rPr>
          <w:rStyle w:val="FootnoteReference"/>
        </w:rPr>
        <w:footnoteRef/>
      </w:r>
      <w:r>
        <w:tab/>
        <w:t>Décision n° 534/2014/UE du Parlement européen et du Conseil du 15 mai 2014 accordant une assistance macrofinancière à la République tunisienne (JO L 151 du 21.5.2014, p. 9).</w:t>
      </w:r>
    </w:p>
  </w:footnote>
  <w:footnote w:id="18">
    <w:p>
      <w:pPr>
        <w:pStyle w:val="FootnoteText"/>
      </w:pPr>
      <w:r>
        <w:rPr>
          <w:rStyle w:val="FootnoteReference"/>
        </w:rPr>
        <w:footnoteRef/>
      </w:r>
      <w:r>
        <w:tab/>
        <w:t>Décision n° 1351/2013/UE du Parlement européen et du Conseil du 11 décembre 2013 portant attribution d’une assistance macrofinancière au Royaume hachémite de Jordanie (JO L 341 du 18.12.2013, p. 4).</w:t>
      </w:r>
    </w:p>
  </w:footnote>
  <w:footnote w:id="19">
    <w:p>
      <w:pPr>
        <w:pStyle w:val="FootnoteText"/>
      </w:pPr>
      <w:r>
        <w:rPr>
          <w:rStyle w:val="FootnoteReference"/>
        </w:rPr>
        <w:footnoteRef/>
      </w:r>
      <w:r>
        <w:tab/>
        <w:t>Décision nº 778/2013/UE du Parlement européen et du Conseil du 12 août 2013 accordant une assistance macrofinancière supplémentaire à la Géorgie (JO L 218 du 14.8.2013, p. 15).</w:t>
      </w:r>
    </w:p>
  </w:footnote>
  <w:footnote w:id="20">
    <w:p>
      <w:pPr>
        <w:pStyle w:val="FootnoteText"/>
      </w:pPr>
      <w:r>
        <w:rPr>
          <w:rStyle w:val="FootnoteReference"/>
        </w:rPr>
        <w:footnoteRef/>
      </w:r>
      <w:r>
        <w:tab/>
        <w:t>Décision n° 1025/2013/UE du Parlement européen et du Conseil du 22 octobre 2013 accordant une assistance macrofinancière à la République kirghize (JO L 283 du 25.10.2013, p. 1).</w:t>
      </w:r>
    </w:p>
  </w:footnote>
  <w:footnote w:id="21">
    <w:p>
      <w:pPr>
        <w:pStyle w:val="FootnoteText"/>
      </w:pPr>
      <w:r>
        <w:rPr>
          <w:rStyle w:val="FootnoteReference"/>
        </w:rPr>
        <w:footnoteRef/>
      </w:r>
      <w:r>
        <w:tab/>
      </w:r>
      <w:r>
        <w:rPr>
          <w:color w:val="000000"/>
        </w:rPr>
        <w:t xml:space="preserve">Le </w:t>
      </w:r>
      <w:hyperlink r:id="rId1">
        <w:r>
          <w:rPr>
            <w:rStyle w:val="Hyperlink"/>
            <w:color w:val="000000"/>
            <w:u w:val="none"/>
          </w:rPr>
          <w:t>règlement établissant le MESF</w:t>
        </w:r>
      </w:hyperlink>
      <w:r>
        <w:rPr>
          <w:color w:val="000000"/>
        </w:rPr>
        <w:t xml:space="preserve"> permet le recours au préfinancement dans la mesure où il autorise la Commission «</w:t>
      </w:r>
      <w:r>
        <w:rPr>
          <w:i/>
          <w:color w:val="000000"/>
        </w:rPr>
        <w:t xml:space="preserve">à emprunter sur les marchés des capitaux ou auprès d'institutions financières au moment le plus opportun entre les décaissements prévus </w:t>
      </w:r>
      <w:r>
        <w:rPr>
          <w:i/>
        </w:rPr>
        <w:t>de manière à optimiser le coût des financements et à préserver sa réputation en tant qu'émetteur de l'Union sur ces marchés</w:t>
      </w:r>
      <w:r>
        <w:t>.» Cependant, tout coût de détention des capitaux qui en résulte est supporté par l'emprunteur.</w:t>
      </w:r>
    </w:p>
  </w:footnote>
  <w:footnote w:id="22">
    <w:p>
      <w:pPr>
        <w:pStyle w:val="FootnoteText"/>
      </w:pPr>
      <w:r>
        <w:rPr>
          <w:rStyle w:val="FootnoteReference"/>
        </w:rPr>
        <w:footnoteRef/>
      </w:r>
      <w:r>
        <w:t xml:space="preserve"> </w:t>
      </w:r>
      <w:r>
        <w:tab/>
        <w:t>Règlement (UE) 2015/1017 du Parlement européen et du Conseil du 25 juin 2015 sur le Fonds européen pour les investissements stratégiques, la plateforme européenne de conseil en investissement et le portail européen de projets d’investissement et modifiant les règlements (UE) n° 1291/2013 et (UE) n° 1316/2013- le Fonds européen pour les investissements stratégiques (JO L 169 du 1.7.2015, p. 1).</w:t>
      </w:r>
    </w:p>
  </w:footnote>
  <w:footnote w:id="23">
    <w:p>
      <w:pPr>
        <w:pStyle w:val="FootnoteText"/>
      </w:pPr>
      <w:r>
        <w:rPr>
          <w:rStyle w:val="FootnoteReference"/>
        </w:rPr>
        <w:footnoteRef/>
      </w:r>
      <w:r>
        <w:t xml:space="preserve"> </w:t>
      </w:r>
      <w:r>
        <w:tab/>
        <w:t>Décision n° 466/2014/UE du Parlement européen et du Conseil du 16 avril 2014 accordant une garantie de l'Union européenne à la Banque européenne d'investissement en cas de pertes résultant d'opérations de financement en faveur de projets menés hors de l'Union (JO L 135 du 8.5.2014,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BEC5532"/>
    <w:lvl w:ilvl="0">
      <w:start w:val="1"/>
      <w:numFmt w:val="decimal"/>
      <w:pStyle w:val="ListNumber4"/>
      <w:lvlText w:val="%1."/>
      <w:lvlJc w:val="left"/>
      <w:pPr>
        <w:tabs>
          <w:tab w:val="num" w:pos="1209"/>
        </w:tabs>
        <w:ind w:left="1209" w:hanging="360"/>
      </w:pPr>
      <w:rPr>
        <w:rFonts w:cs="Times New Roman"/>
      </w:rPr>
    </w:lvl>
  </w:abstractNum>
  <w:abstractNum w:abstractNumId="1">
    <w:nsid w:val="FFFFFF7F"/>
    <w:multiLevelType w:val="singleLevel"/>
    <w:tmpl w:val="5224AC40"/>
    <w:lvl w:ilvl="0">
      <w:start w:val="1"/>
      <w:numFmt w:val="decimal"/>
      <w:pStyle w:val="ListNumber2"/>
      <w:lvlText w:val="%1."/>
      <w:lvlJc w:val="left"/>
      <w:pPr>
        <w:tabs>
          <w:tab w:val="num" w:pos="643"/>
        </w:tabs>
        <w:ind w:left="643" w:hanging="360"/>
      </w:pPr>
      <w:rPr>
        <w:rFonts w:cs="Times New Roman"/>
      </w:rPr>
    </w:lvl>
  </w:abstractNum>
  <w:abstractNum w:abstractNumId="2">
    <w:nsid w:val="FFFFFF81"/>
    <w:multiLevelType w:val="singleLevel"/>
    <w:tmpl w:val="1F4E5312"/>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A536889E"/>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9"/>
    <w:multiLevelType w:val="singleLevel"/>
    <w:tmpl w:val="7462546E"/>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14D308E8"/>
    <w:multiLevelType w:val="hybridMultilevel"/>
    <w:tmpl w:val="B980E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7">
    <w:nsid w:val="3A5459E8"/>
    <w:multiLevelType w:val="singleLevel"/>
    <w:tmpl w:val="2188C922"/>
    <w:name w:val="LegalNumbering"/>
    <w:lvl w:ilvl="0">
      <w:start w:val="1"/>
      <w:numFmt w:val="bullet"/>
      <w:lvlRestart w:val="0"/>
      <w:pStyle w:val="Tiret1"/>
      <w:lvlText w:val="–"/>
      <w:lvlJc w:val="left"/>
      <w:pPr>
        <w:tabs>
          <w:tab w:val="num" w:pos="1417"/>
        </w:tabs>
        <w:ind w:left="1417" w:hanging="567"/>
      </w:pPr>
    </w:lvl>
  </w:abstractNum>
  <w:abstractNum w:abstractNumId="8">
    <w:nsid w:val="3BA736C9"/>
    <w:multiLevelType w:val="singleLevel"/>
    <w:tmpl w:val="F00A6C0C"/>
    <w:name w:val="Bullet 1"/>
    <w:lvl w:ilvl="0">
      <w:start w:val="1"/>
      <w:numFmt w:val="bullet"/>
      <w:lvlRestart w:val="0"/>
      <w:pStyle w:val="Tiret0"/>
      <w:lvlText w:val="–"/>
      <w:lvlJc w:val="left"/>
      <w:pPr>
        <w:tabs>
          <w:tab w:val="num" w:pos="850"/>
        </w:tabs>
        <w:ind w:left="850" w:hanging="850"/>
      </w:pPr>
    </w:lvl>
  </w:abstractNum>
  <w:abstractNum w:abstractNumId="9">
    <w:nsid w:val="3C90278F"/>
    <w:multiLevelType w:val="singleLevel"/>
    <w:tmpl w:val="0FE08974"/>
    <w:name w:val="Tiret 1"/>
    <w:lvl w:ilvl="0">
      <w:start w:val="1"/>
      <w:numFmt w:val="bullet"/>
      <w:lvlRestart w:val="0"/>
      <w:pStyle w:val="Tiret3"/>
      <w:lvlText w:val="–"/>
      <w:lvlJc w:val="left"/>
      <w:pPr>
        <w:tabs>
          <w:tab w:val="num" w:pos="2551"/>
        </w:tabs>
        <w:ind w:left="2551" w:hanging="567"/>
      </w:pPr>
    </w:lvl>
  </w:abstractNum>
  <w:abstractNum w:abstractNumId="10">
    <w:nsid w:val="40315490"/>
    <w:multiLevelType w:val="singleLevel"/>
    <w:tmpl w:val="1F86C700"/>
    <w:name w:val="Tiret 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1">
    <w:nsid w:val="45883E8B"/>
    <w:multiLevelType w:val="hybridMultilevel"/>
    <w:tmpl w:val="3ED255F4"/>
    <w:lvl w:ilvl="0" w:tplc="B5506BB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8842C30"/>
    <w:multiLevelType w:val="singleLevel"/>
    <w:tmpl w:val="4FA60B90"/>
    <w:name w:val="Tiret 3"/>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nsid w:val="54593082"/>
    <w:multiLevelType w:val="singleLevel"/>
    <w:tmpl w:val="EDE069AC"/>
    <w:name w:val="Bullet 4"/>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568864DC"/>
    <w:multiLevelType w:val="singleLevel"/>
    <w:tmpl w:val="485EBDAC"/>
    <w:name w:val="Default"/>
    <w:lvl w:ilvl="0">
      <w:start w:val="1"/>
      <w:numFmt w:val="bullet"/>
      <w:lvlRestart w:val="0"/>
      <w:pStyle w:val="Tiret4"/>
      <w:lvlText w:val="–"/>
      <w:lvlJc w:val="left"/>
      <w:pPr>
        <w:tabs>
          <w:tab w:val="num" w:pos="3118"/>
        </w:tabs>
        <w:ind w:left="3118" w:hanging="567"/>
      </w:pPr>
    </w:lvl>
  </w:abstractNum>
  <w:abstractNum w:abstractNumId="15">
    <w:nsid w:val="59CC3BD0"/>
    <w:multiLevelType w:val="multilevel"/>
    <w:tmpl w:val="132A782E"/>
    <w:name w:val="Heading__3"/>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F342530"/>
    <w:multiLevelType w:val="singleLevel"/>
    <w:tmpl w:val="D5444702"/>
    <w:name w:val="Bullet 0"/>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7">
    <w:nsid w:val="5F8C3B69"/>
    <w:multiLevelType w:val="multilevel"/>
    <w:tmpl w:val="9B14DAA8"/>
    <w:name w:val="Tiret 4"/>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5F9C40AA"/>
    <w:multiLevelType w:val="singleLevel"/>
    <w:tmpl w:val="B89CB5A2"/>
    <w:name w:val="Bullet 3"/>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62970F71"/>
    <w:multiLevelType w:val="singleLevel"/>
    <w:tmpl w:val="5AFA8C72"/>
    <w:name w:val="List Number"/>
    <w:lvl w:ilvl="0">
      <w:start w:val="1"/>
      <w:numFmt w:val="bullet"/>
      <w:lvlRestart w:val="0"/>
      <w:pStyle w:val="Tiret2"/>
      <w:lvlText w:val="–"/>
      <w:lvlJc w:val="left"/>
      <w:pPr>
        <w:tabs>
          <w:tab w:val="num" w:pos="1984"/>
        </w:tabs>
        <w:ind w:left="1984" w:hanging="567"/>
      </w:pPr>
    </w:lvl>
  </w:abstractNum>
  <w:abstractNum w:abstractNumId="20">
    <w:nsid w:val="6507794E"/>
    <w:multiLevelType w:val="singleLevel"/>
    <w:tmpl w:val="FD3464B4"/>
    <w:name w:val="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21">
    <w:nsid w:val="69995580"/>
    <w:multiLevelType w:val="singleLevel"/>
    <w:tmpl w:val="75CC7CBA"/>
    <w:name w:val="Tiret 2"/>
    <w:lvl w:ilvl="0">
      <w:start w:val="1"/>
      <w:numFmt w:val="decimal"/>
      <w:lvlRestart w:val="0"/>
      <w:pStyle w:val="Considrant"/>
      <w:lvlText w:val="(%1)"/>
      <w:lvlJc w:val="left"/>
      <w:pPr>
        <w:tabs>
          <w:tab w:val="num" w:pos="709"/>
        </w:tabs>
        <w:ind w:left="709" w:hanging="709"/>
      </w:pPr>
      <w:rPr>
        <w:rFonts w:cs="Times New Roman"/>
      </w:rPr>
    </w:lvl>
  </w:abstractNum>
  <w:abstractNum w:abstractNumId="22">
    <w:nsid w:val="6C5D7131"/>
    <w:multiLevelType w:val="multilevel"/>
    <w:tmpl w:val="65ACEFCE"/>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3">
    <w:nsid w:val="709E37A3"/>
    <w:multiLevelType w:val="multilevel"/>
    <w:tmpl w:val="2E5612E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711167E2"/>
    <w:multiLevelType w:val="multilevel"/>
    <w:tmpl w:val="C3843A7A"/>
    <w:name w:val="Heading__2"/>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8"/>
  </w:num>
  <w:num w:numId="2">
    <w:abstractNumId w:val="7"/>
  </w:num>
  <w:num w:numId="3">
    <w:abstractNumId w:val="19"/>
  </w:num>
  <w:num w:numId="4">
    <w:abstractNumId w:val="9"/>
  </w:num>
  <w:num w:numId="5">
    <w:abstractNumId w:val="14"/>
  </w:num>
  <w:num w:numId="6">
    <w:abstractNumId w:val="24"/>
  </w:num>
  <w:num w:numId="7">
    <w:abstractNumId w:val="13"/>
  </w:num>
  <w:num w:numId="8">
    <w:abstractNumId w:val="6"/>
  </w:num>
  <w:num w:numId="9">
    <w:abstractNumId w:val="18"/>
  </w:num>
  <w:num w:numId="10">
    <w:abstractNumId w:val="16"/>
  </w:num>
  <w:num w:numId="11">
    <w:abstractNumId w:val="12"/>
  </w:num>
  <w:num w:numId="12">
    <w:abstractNumId w:val="21"/>
  </w:num>
  <w:num w:numId="13">
    <w:abstractNumId w:val="23"/>
  </w:num>
  <w:num w:numId="14">
    <w:abstractNumId w:val="20"/>
  </w:num>
  <w:num w:numId="15">
    <w:abstractNumId w:val="1"/>
  </w:num>
  <w:num w:numId="16">
    <w:abstractNumId w:val="0"/>
  </w:num>
  <w:num w:numId="17">
    <w:abstractNumId w:val="4"/>
  </w:num>
  <w:num w:numId="18">
    <w:abstractNumId w:val="3"/>
  </w:num>
  <w:num w:numId="19">
    <w:abstractNumId w:val="2"/>
  </w:num>
  <w:num w:numId="20">
    <w:abstractNumId w:val="17"/>
  </w:num>
  <w:num w:numId="21">
    <w:abstractNumId w:val="10"/>
  </w:num>
  <w:num w:numId="22">
    <w:abstractNumId w:val="15"/>
  </w:num>
  <w:num w:numId="23">
    <w:abstractNumId w:val="22"/>
  </w:num>
  <w:num w:numId="24">
    <w:abstractNumId w:val="5"/>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Moves/>
  <w:defaultTabStop w:val="720"/>
  <w:hyphenationZone w:val="425"/>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44C725A28ADC4017A89C53188E50CCC0"/>
    <w:docVar w:name="LW_CROSSREFERENCE" w:val="&lt;UNUSED&gt;"/>
    <w:docVar w:name="LW_DocType" w:val="NORMAL"/>
    <w:docVar w:name="LW_EMISSION" w:val="15.6.2016"/>
    <w:docVar w:name="LW_EMISSION_ISODATE" w:val="2016-06-15"/>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387"/>
    <w:docVar w:name="LW_REF.INTERNE" w:val="&lt;UNUSED&gt;"/>
    <w:docVar w:name="LW_SOUS.TITRE.OBJ.CP" w:val="&lt;UNUSED&gt;"/>
    <w:docVar w:name="LW_SUPERTITRE" w:val="&lt;UNUSED&gt;"/>
    <w:docVar w:name="LW_TITRE.OBJ.CP" w:val="SUR LES ACTIVITÉS D'EMPRUNT ET DE PRÊT DE L'UNION EUROPÉENNE EN 2015"/>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semiHidden="0" w:uiPriority="0" w:unhideWhenUsed="0" w:qFormat="1"/>
    <w:lsdException w:name="table of figures" w:uiPriority="0"/>
    <w:lsdException w:name="footnote reference"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qFormat/>
    <w:pPr>
      <w:keepNext/>
      <w:numPr>
        <w:numId w:val="22"/>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qFormat/>
    <w:pPr>
      <w:keepNext/>
      <w:numPr>
        <w:ilvl w:val="1"/>
        <w:numId w:val="22"/>
      </w:numPr>
      <w:spacing w:after="240" w:line="240" w:lineRule="auto"/>
      <w:jc w:val="both"/>
      <w:outlineLvl w:val="1"/>
    </w:pPr>
    <w:rPr>
      <w:rFonts w:ascii="Times New Roman" w:eastAsia="Times New Roman" w:hAnsi="Times New Roman"/>
      <w:b/>
      <w:bCs/>
      <w:iCs/>
      <w:noProof/>
      <w:sz w:val="24"/>
      <w:szCs w:val="24"/>
    </w:rPr>
  </w:style>
  <w:style w:type="paragraph" w:styleId="Heading3">
    <w:name w:val="heading 3"/>
    <w:basedOn w:val="Normal"/>
    <w:next w:val="Text1"/>
    <w:link w:val="Heading3Char"/>
    <w:qFormat/>
    <w:pPr>
      <w:keepNext/>
      <w:numPr>
        <w:ilvl w:val="2"/>
        <w:numId w:val="22"/>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qFormat/>
    <w:pPr>
      <w:keepNext/>
      <w:numPr>
        <w:ilvl w:val="3"/>
        <w:numId w:val="22"/>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bCs/>
      <w:smallCaps/>
      <w:sz w:val="24"/>
      <w:szCs w:val="32"/>
      <w:lang w:eastAsia="fr-FR"/>
    </w:rPr>
  </w:style>
  <w:style w:type="character" w:customStyle="1" w:styleId="Heading2Char">
    <w:name w:val="Heading 2 Char"/>
    <w:link w:val="Heading2"/>
    <w:rPr>
      <w:rFonts w:ascii="Times New Roman" w:eastAsia="Times New Roman" w:hAnsi="Times New Roman"/>
      <w:b/>
      <w:bCs/>
      <w:iCs/>
      <w:noProof/>
      <w:sz w:val="24"/>
      <w:szCs w:val="24"/>
      <w:lang w:eastAsia="fr-FR"/>
    </w:rPr>
  </w:style>
  <w:style w:type="character" w:customStyle="1" w:styleId="Heading3Char">
    <w:name w:val="Heading 3 Char"/>
    <w:link w:val="Heading3"/>
    <w:rPr>
      <w:rFonts w:ascii="Times New Roman" w:eastAsia="Times New Roman" w:hAnsi="Times New Roman"/>
      <w:bCs/>
      <w:i/>
      <w:sz w:val="24"/>
      <w:szCs w:val="26"/>
      <w:lang w:eastAsia="fr-FR"/>
    </w:rPr>
  </w:style>
  <w:style w:type="character" w:customStyle="1" w:styleId="Heading4Char">
    <w:name w:val="Heading 4 Char"/>
    <w:link w:val="Heading4"/>
    <w:rPr>
      <w:rFonts w:ascii="Times New Roman" w:eastAsia="Times New Roman" w:hAnsi="Times New Roman"/>
      <w:bCs/>
      <w:sz w:val="24"/>
      <w:szCs w:val="28"/>
      <w:lang w:eastAsia="fr-FR"/>
    </w:rPr>
  </w:style>
  <w:style w:type="paragraph" w:styleId="Header">
    <w:name w:val="header"/>
    <w:basedOn w:val="Normal"/>
    <w:link w:val="HeaderChar"/>
    <w:uiPriority w:val="99"/>
    <w:pPr>
      <w:tabs>
        <w:tab w:val="center" w:pos="4535"/>
        <w:tab w:val="right" w:pos="9071"/>
      </w:tabs>
      <w:spacing w:before="120" w:after="120" w:line="240" w:lineRule="auto"/>
      <w:jc w:val="both"/>
    </w:pPr>
    <w:rPr>
      <w:rFonts w:ascii="Times New Roman" w:eastAsia="Times New Roman" w:hAnsi="Times New Roman"/>
      <w:sz w:val="24"/>
      <w:szCs w:val="24"/>
    </w:rPr>
  </w:style>
  <w:style w:type="character" w:customStyle="1" w:styleId="HeaderChar">
    <w:name w:val="Header Char"/>
    <w:link w:val="Header"/>
    <w:uiPriority w:val="99"/>
    <w:rPr>
      <w:rFonts w:ascii="Times New Roman" w:eastAsia="Times New Roman" w:hAnsi="Times New Roman"/>
      <w:sz w:val="24"/>
      <w:szCs w:val="24"/>
      <w:lang w:eastAsia="fr-FR"/>
    </w:rPr>
  </w:style>
  <w:style w:type="paragraph" w:styleId="Footer">
    <w:name w:val="footer"/>
    <w:basedOn w:val="Normal"/>
    <w:link w:val="FooterChar"/>
    <w:uiPriority w:val="99"/>
    <w:pPr>
      <w:tabs>
        <w:tab w:val="center" w:pos="4535"/>
        <w:tab w:val="right" w:pos="9071"/>
        <w:tab w:val="right" w:pos="9921"/>
      </w:tabs>
      <w:spacing w:before="360" w:after="0" w:line="240" w:lineRule="auto"/>
      <w:ind w:left="-850" w:right="-850"/>
    </w:pPr>
    <w:rPr>
      <w:rFonts w:ascii="Times New Roman" w:eastAsia="Times New Roman" w:hAnsi="Times New Roman"/>
      <w:sz w:val="24"/>
      <w:szCs w:val="24"/>
    </w:rPr>
  </w:style>
  <w:style w:type="character" w:customStyle="1" w:styleId="FooterChar">
    <w:name w:val="Footer Char"/>
    <w:link w:val="Footer"/>
    <w:uiPriority w:val="99"/>
    <w:rPr>
      <w:rFonts w:ascii="Times New Roman" w:eastAsia="Times New Roman" w:hAnsi="Times New Roman"/>
      <w:sz w:val="24"/>
      <w:szCs w:val="24"/>
      <w:lang w:eastAsia="fr-FR"/>
    </w:r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
    <w:basedOn w:val="Normal"/>
    <w:link w:val="FootnoteTextChar"/>
    <w:uiPriority w:val="99"/>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
    <w:link w:val="FootnoteText"/>
    <w:uiPriority w:val="99"/>
    <w:rPr>
      <w:rFonts w:ascii="Times New Roman" w:eastAsia="Times New Roman" w:hAnsi="Times New Roman"/>
      <w:lang w:eastAsia="fr-FR"/>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spacing w:before="120" w:after="120" w:line="240" w:lineRule="auto"/>
      <w:jc w:val="both"/>
    </w:pPr>
    <w:rPr>
      <w:rFonts w:ascii="Times New Roman" w:eastAsia="Times New Roman" w:hAnsi="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sz w:val="24"/>
      <w:szCs w:val="24"/>
    </w:rPr>
  </w:style>
  <w:style w:type="character" w:styleId="FootnoteReference">
    <w:name w:val="footnote reference"/>
    <w:aliases w:val="BVI fnr"/>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character" w:customStyle="1" w:styleId="Marker">
    <w:name w:val="Marker"/>
    <w:rPr>
      <w:rFonts w:cs="Times New Roman"/>
      <w:color w:val="0000FF"/>
      <w:shd w:val="clear" w:color="auto" w:fill="auto"/>
    </w:rPr>
  </w:style>
  <w:style w:type="character" w:customStyle="1" w:styleId="Marker1">
    <w:name w:val="Marker1"/>
    <w:rPr>
      <w:rFonts w:cs="Times New Roman"/>
      <w:color w:val="008000"/>
      <w:shd w:val="clear" w:color="auto" w:fill="auto"/>
    </w:rPr>
  </w:style>
  <w:style w:type="character" w:customStyle="1" w:styleId="Marker2">
    <w:name w:val="Marker2"/>
    <w:rPr>
      <w:rFonts w:cs="Times New Roman"/>
      <w:color w:val="FF0000"/>
      <w:shd w:val="clear" w:color="auto" w:fill="auto"/>
    </w:rPr>
  </w:style>
  <w:style w:type="paragraph" w:styleId="TOCHeading">
    <w:name w:val="TOC Heading"/>
    <w:basedOn w:val="Normal"/>
    <w:next w:val="Normal"/>
    <w:link w:val="TOCHeadingChar"/>
    <w:uiPriority w:val="39"/>
    <w:qFormat/>
    <w:pPr>
      <w:spacing w:before="120" w:after="240" w:line="240" w:lineRule="auto"/>
      <w:jc w:val="center"/>
    </w:pPr>
    <w:rPr>
      <w:rFonts w:ascii="Times New Roman" w:eastAsia="Times New Roman" w:hAnsi="Times New Roman"/>
      <w:b/>
      <w:sz w:val="28"/>
      <w:szCs w:val="24"/>
    </w:rPr>
  </w:style>
  <w:style w:type="paragraph" w:customStyle="1" w:styleId="Point0number">
    <w:name w:val="Point 0 (number)"/>
    <w:basedOn w:val="Normal"/>
    <w:pPr>
      <w:numPr>
        <w:numId w:val="23"/>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23"/>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23"/>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23"/>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23"/>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23"/>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23"/>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23"/>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23"/>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7"/>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8"/>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9"/>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10"/>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11"/>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i/>
      <w:sz w:val="32"/>
      <w:szCs w:val="24"/>
    </w:rPr>
  </w:style>
  <w:style w:type="paragraph" w:customStyle="1" w:styleId="Considrant">
    <w:name w:val="Considérant"/>
    <w:basedOn w:val="Normal"/>
    <w:pPr>
      <w:numPr>
        <w:numId w:val="12"/>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character" w:customStyle="1" w:styleId="Added">
    <w:name w:val="Added"/>
    <w:rPr>
      <w:rFonts w:cs="Times New Roman"/>
      <w:b/>
      <w:u w:val="single"/>
      <w:shd w:val="clear" w:color="auto" w:fill="auto"/>
    </w:rPr>
  </w:style>
  <w:style w:type="character" w:customStyle="1" w:styleId="Deleted">
    <w:name w:val="Deleted"/>
    <w:rPr>
      <w:rFonts w:cs="Times New Roman"/>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Pagedecouverture">
    <w:name w:val="Page de couverture"/>
    <w:basedOn w:val="Normal"/>
    <w:next w:val="Normal"/>
    <w:pPr>
      <w:spacing w:before="120" w:after="120" w:line="240" w:lineRule="auto"/>
      <w:jc w:val="both"/>
    </w:pPr>
    <w:rPr>
      <w:rFonts w:ascii="Times New Roman" w:eastAsia="Times New Roman" w:hAnsi="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paragraph" w:styleId="ListBullet2">
    <w:name w:val="List Bullet 2"/>
    <w:basedOn w:val="Normal"/>
    <w:pPr>
      <w:numPr>
        <w:numId w:val="14"/>
      </w:numPr>
      <w:spacing w:before="120" w:after="120" w:line="240" w:lineRule="auto"/>
      <w:jc w:val="both"/>
    </w:pPr>
    <w:rPr>
      <w:rFonts w:ascii="Times New Roman" w:eastAsia="Times New Roman" w:hAnsi="Times New Roman"/>
      <w:sz w:val="24"/>
      <w:szCs w:val="24"/>
    </w:rPr>
  </w:style>
  <w:style w:type="paragraph" w:styleId="ListNumber3">
    <w:name w:val="List Number 3"/>
    <w:basedOn w:val="Normal"/>
    <w:pPr>
      <w:numPr>
        <w:numId w:val="13"/>
      </w:numPr>
      <w:spacing w:before="120" w:after="120" w:line="240" w:lineRule="auto"/>
      <w:jc w:val="both"/>
    </w:pPr>
    <w:rPr>
      <w:rFonts w:ascii="Times New Roman" w:eastAsia="Times New Roman" w:hAnsi="Times New Roman"/>
      <w:sz w:val="24"/>
      <w:szCs w:val="24"/>
    </w:rPr>
  </w:style>
  <w:style w:type="paragraph" w:customStyle="1" w:styleId="ListNumber3Level2">
    <w:name w:val="List Number 3 (Level 2)"/>
    <w:basedOn w:val="Text3"/>
    <w:pPr>
      <w:numPr>
        <w:ilvl w:val="1"/>
        <w:numId w:val="13"/>
      </w:numPr>
    </w:pPr>
  </w:style>
  <w:style w:type="paragraph" w:customStyle="1" w:styleId="ListNumber3Level3">
    <w:name w:val="List Number 3 (Level 3)"/>
    <w:basedOn w:val="Text3"/>
    <w:pPr>
      <w:numPr>
        <w:ilvl w:val="2"/>
        <w:numId w:val="13"/>
      </w:numPr>
    </w:pPr>
  </w:style>
  <w:style w:type="paragraph" w:customStyle="1" w:styleId="ListNumber3Level4">
    <w:name w:val="List Number 3 (Level 4)"/>
    <w:basedOn w:val="Text3"/>
    <w:pPr>
      <w:numPr>
        <w:ilvl w:val="3"/>
        <w:numId w:val="13"/>
      </w:numPr>
    </w:p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rPr>
  </w:style>
  <w:style w:type="character" w:customStyle="1" w:styleId="BalloonTextChar">
    <w:name w:val="Balloon Text Char"/>
    <w:link w:val="BalloonText"/>
    <w:semiHidden/>
    <w:rPr>
      <w:rFonts w:ascii="Tahoma" w:eastAsia="Times New Roman" w:hAnsi="Tahoma" w:cs="Tahoma"/>
      <w:sz w:val="16"/>
      <w:szCs w:val="16"/>
      <w:lang w:eastAsia="fr-FR"/>
    </w:rPr>
  </w:style>
  <w:style w:type="character" w:styleId="Hyperlink">
    <w:name w:val="Hyperlink"/>
    <w:uiPriority w:val="99"/>
    <w:rPr>
      <w:rFonts w:cs="Times New Roman"/>
      <w:color w:val="0000FF"/>
      <w:u w:val="single"/>
      <w:shd w:val="clear" w:color="auto" w:fill="auto"/>
    </w:rPr>
  </w:style>
  <w:style w:type="paragraph" w:styleId="DocumentMap">
    <w:name w:val="Document Map"/>
    <w:basedOn w:val="Normal"/>
    <w:link w:val="DocumentMapChar"/>
    <w:semiHidden/>
    <w:pPr>
      <w:shd w:val="clear" w:color="auto" w:fill="000080"/>
      <w:spacing w:before="120" w:after="120" w:line="240" w:lineRule="auto"/>
      <w:jc w:val="both"/>
    </w:pPr>
    <w:rPr>
      <w:rFonts w:ascii="Tahoma" w:eastAsia="Times New Roman" w:hAnsi="Tahoma" w:cs="Tahoma"/>
      <w:sz w:val="20"/>
      <w:szCs w:val="20"/>
    </w:rPr>
  </w:style>
  <w:style w:type="character" w:customStyle="1" w:styleId="DocumentMapChar">
    <w:name w:val="Document Map Char"/>
    <w:link w:val="DocumentMap"/>
    <w:semiHidden/>
    <w:rPr>
      <w:rFonts w:ascii="Tahoma" w:eastAsia="Times New Roman" w:hAnsi="Tahoma" w:cs="Tahoma"/>
      <w:shd w:val="clear" w:color="auto" w:fill="000080"/>
      <w:lang w:eastAsia="fr-FR"/>
    </w:rPr>
  </w:style>
  <w:style w:type="table" w:styleId="TableGrid">
    <w:name w:val="Table Grid"/>
    <w:basedOn w:val="TableNormal"/>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
    <w:name w:val="List Number"/>
    <w:basedOn w:val="Normal"/>
    <w:pPr>
      <w:numPr>
        <w:numId w:val="20"/>
      </w:numPr>
      <w:spacing w:before="120" w:after="120" w:line="240" w:lineRule="auto"/>
      <w:jc w:val="both"/>
    </w:pPr>
    <w:rPr>
      <w:rFonts w:ascii="Times New Roman" w:eastAsia="Times New Roman" w:hAnsi="Times New Roman"/>
      <w:sz w:val="24"/>
      <w:szCs w:val="24"/>
    </w:rPr>
  </w:style>
  <w:style w:type="paragraph" w:styleId="ListNumber2">
    <w:name w:val="List Number 2"/>
    <w:basedOn w:val="Normal"/>
    <w:pPr>
      <w:numPr>
        <w:numId w:val="15"/>
      </w:numPr>
      <w:spacing w:before="120" w:after="120" w:line="240" w:lineRule="auto"/>
      <w:jc w:val="both"/>
    </w:pPr>
    <w:rPr>
      <w:rFonts w:ascii="Times New Roman" w:eastAsia="Times New Roman" w:hAnsi="Times New Roman"/>
      <w:sz w:val="24"/>
      <w:szCs w:val="24"/>
    </w:rPr>
  </w:style>
  <w:style w:type="paragraph" w:styleId="ListNumber4">
    <w:name w:val="List Number 4"/>
    <w:basedOn w:val="Normal"/>
    <w:pPr>
      <w:numPr>
        <w:numId w:val="16"/>
      </w:numPr>
      <w:spacing w:before="120" w:after="120" w:line="240" w:lineRule="auto"/>
      <w:jc w:val="both"/>
    </w:pPr>
    <w:rPr>
      <w:rFonts w:ascii="Times New Roman" w:eastAsia="Times New Roman" w:hAnsi="Times New Roman"/>
      <w:sz w:val="24"/>
      <w:szCs w:val="24"/>
    </w:rPr>
  </w:style>
  <w:style w:type="paragraph" w:styleId="ListBullet">
    <w:name w:val="List Bullet"/>
    <w:basedOn w:val="Normal"/>
    <w:pPr>
      <w:numPr>
        <w:numId w:val="17"/>
      </w:numPr>
      <w:spacing w:before="120" w:after="120" w:line="240" w:lineRule="auto"/>
      <w:jc w:val="both"/>
    </w:pPr>
    <w:rPr>
      <w:rFonts w:ascii="Times New Roman" w:eastAsia="Times New Roman" w:hAnsi="Times New Roman"/>
      <w:sz w:val="24"/>
      <w:szCs w:val="24"/>
    </w:rPr>
  </w:style>
  <w:style w:type="paragraph" w:styleId="ListBullet3">
    <w:name w:val="List Bullet 3"/>
    <w:basedOn w:val="Normal"/>
    <w:pPr>
      <w:numPr>
        <w:numId w:val="18"/>
      </w:numPr>
      <w:spacing w:before="120" w:after="120" w:line="240" w:lineRule="auto"/>
      <w:jc w:val="both"/>
    </w:pPr>
    <w:rPr>
      <w:rFonts w:ascii="Times New Roman" w:eastAsia="Times New Roman" w:hAnsi="Times New Roman"/>
      <w:sz w:val="24"/>
      <w:szCs w:val="24"/>
    </w:rPr>
  </w:style>
  <w:style w:type="paragraph" w:styleId="ListBullet4">
    <w:name w:val="List Bullet 4"/>
    <w:basedOn w:val="Normal"/>
    <w:pPr>
      <w:numPr>
        <w:numId w:val="19"/>
      </w:numPr>
      <w:spacing w:before="120" w:after="120" w:line="240" w:lineRule="auto"/>
      <w:jc w:val="both"/>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rPr>
      <w:rFonts w:ascii="Times New Roman" w:eastAsia="Times New Roman" w:hAnsi="Times New Roman"/>
      <w:lang w:eastAsia="fr-FR"/>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rPr>
      <w:rFonts w:ascii="Times New Roman" w:eastAsia="Times New Roman" w:hAnsi="Times New Roman"/>
      <w:b/>
      <w:bCs/>
      <w:lang w:eastAsia="fr-FR"/>
    </w:rPr>
  </w:style>
  <w:style w:type="paragraph" w:styleId="Caption">
    <w:name w:val="caption"/>
    <w:basedOn w:val="Normal"/>
    <w:next w:val="Normal"/>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sz w:val="24"/>
      <w:szCs w:val="24"/>
    </w:rPr>
  </w:style>
  <w:style w:type="paragraph" w:customStyle="1" w:styleId="a3520normal">
    <w:name w:val="a___35__20_normal"/>
    <w:basedOn w:val="Normal"/>
    <w:pPr>
      <w:spacing w:after="120" w:line="240" w:lineRule="auto"/>
      <w:jc w:val="both"/>
    </w:pPr>
    <w:rPr>
      <w:rFonts w:ascii="Times New Roman" w:eastAsia="Times New Roman" w:hAnsi="Times New Roman"/>
      <w:sz w:val="24"/>
      <w:szCs w:val="24"/>
    </w:rPr>
  </w:style>
  <w:style w:type="paragraph" w:customStyle="1" w:styleId="ListNumberLevel2">
    <w:name w:val="List Number (Level 2)"/>
    <w:basedOn w:val="Normal"/>
    <w:pPr>
      <w:numPr>
        <w:ilvl w:val="1"/>
        <w:numId w:val="20"/>
      </w:numPr>
      <w:spacing w:before="120" w:after="120" w:line="240" w:lineRule="auto"/>
      <w:jc w:val="both"/>
    </w:pPr>
    <w:rPr>
      <w:rFonts w:ascii="Times New Roman" w:eastAsia="Times New Roman" w:hAnsi="Times New Roman"/>
      <w:sz w:val="24"/>
      <w:szCs w:val="24"/>
    </w:rPr>
  </w:style>
  <w:style w:type="paragraph" w:customStyle="1" w:styleId="ListDash">
    <w:name w:val="List Dash"/>
    <w:basedOn w:val="Normal"/>
    <w:pPr>
      <w:numPr>
        <w:numId w:val="21"/>
      </w:numPr>
      <w:spacing w:before="120" w:after="120" w:line="240" w:lineRule="auto"/>
      <w:jc w:val="both"/>
    </w:pPr>
    <w:rPr>
      <w:rFonts w:ascii="Times New Roman" w:eastAsia="Times New Roman" w:hAnsi="Times New Roman"/>
      <w:sz w:val="24"/>
      <w:szCs w:val="24"/>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paragraph" w:customStyle="1" w:styleId="Text">
    <w:name w:val="Text"/>
    <w:basedOn w:val="Normal"/>
    <w:pPr>
      <w:spacing w:after="240" w:line="240" w:lineRule="auto"/>
      <w:jc w:val="both"/>
    </w:pPr>
    <w:rPr>
      <w:rFonts w:ascii="Times New Roman" w:eastAsia="Times New Roman" w:hAnsi="Times New Roman"/>
      <w:sz w:val="24"/>
      <w:szCs w:val="24"/>
    </w:rPr>
  </w:style>
  <w:style w:type="paragraph" w:customStyle="1" w:styleId="H3">
    <w:name w:val="H3"/>
    <w:basedOn w:val="Normal"/>
    <w:next w:val="Normal"/>
    <w:pPr>
      <w:keepNext/>
      <w:autoSpaceDE w:val="0"/>
      <w:autoSpaceDN w:val="0"/>
      <w:adjustRightInd w:val="0"/>
      <w:spacing w:before="100" w:after="100" w:line="240" w:lineRule="auto"/>
      <w:outlineLvl w:val="3"/>
    </w:pPr>
    <w:rPr>
      <w:rFonts w:ascii="Times New Roman" w:eastAsia="Times New Roman" w:hAnsi="Times New Roman"/>
      <w:b/>
      <w:bCs/>
      <w:sz w:val="28"/>
      <w:szCs w:val="28"/>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qFormat/>
    <w:rPr>
      <w:i/>
      <w:iC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OCHeadingChar">
    <w:name w:val="TOC Heading Char"/>
    <w:link w:val="TOCHeading"/>
    <w:rPr>
      <w:rFonts w:ascii="Times New Roman" w:eastAsia="Times New Roman" w:hAnsi="Times New Roman"/>
      <w:b/>
      <w:sz w:val="28"/>
      <w:szCs w:val="24"/>
      <w:lang w:eastAsia="fr-FR"/>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Revision">
    <w:name w:val="Revision"/>
    <w:hidden/>
    <w:uiPriority w:val="99"/>
    <w:semiHidden/>
    <w:rPr>
      <w:sz w:val="22"/>
      <w:szCs w:val="22"/>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lang w:eastAsia="fr-FR"/>
    </w:rPr>
  </w:style>
  <w:style w:type="character" w:styleId="EndnoteReference">
    <w:name w:val="endnote reference"/>
    <w:uiPriority w:val="99"/>
    <w:semiHidden/>
    <w:unhideWhenUsed/>
    <w:rPr>
      <w:vertAlign w:val="superscript"/>
    </w:rPr>
  </w:style>
  <w:style w:type="character" w:styleId="Strong">
    <w:name w:val="Strong"/>
    <w:uiPriority w:val="22"/>
    <w:qFormat/>
    <w:rPr>
      <w:b/>
      <w:bCs/>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36747">
      <w:bodyDiv w:val="1"/>
      <w:marLeft w:val="0"/>
      <w:marRight w:val="0"/>
      <w:marTop w:val="0"/>
      <w:marBottom w:val="0"/>
      <w:divBdr>
        <w:top w:val="none" w:sz="0" w:space="0" w:color="auto"/>
        <w:left w:val="none" w:sz="0" w:space="0" w:color="auto"/>
        <w:bottom w:val="none" w:sz="0" w:space="0" w:color="auto"/>
        <w:right w:val="none" w:sz="0" w:space="0" w:color="auto"/>
      </w:divBdr>
    </w:div>
    <w:div w:id="159778159">
      <w:bodyDiv w:val="1"/>
      <w:marLeft w:val="0"/>
      <w:marRight w:val="0"/>
      <w:marTop w:val="0"/>
      <w:marBottom w:val="0"/>
      <w:divBdr>
        <w:top w:val="none" w:sz="0" w:space="0" w:color="auto"/>
        <w:left w:val="none" w:sz="0" w:space="0" w:color="auto"/>
        <w:bottom w:val="none" w:sz="0" w:space="0" w:color="auto"/>
        <w:right w:val="none" w:sz="0" w:space="0" w:color="auto"/>
      </w:divBdr>
      <w:divsChild>
        <w:div w:id="1407992964">
          <w:marLeft w:val="0"/>
          <w:marRight w:val="0"/>
          <w:marTop w:val="0"/>
          <w:marBottom w:val="0"/>
          <w:divBdr>
            <w:top w:val="none" w:sz="0" w:space="0" w:color="auto"/>
            <w:left w:val="none" w:sz="0" w:space="0" w:color="auto"/>
            <w:bottom w:val="none" w:sz="0" w:space="0" w:color="auto"/>
            <w:right w:val="none" w:sz="0" w:space="0" w:color="auto"/>
          </w:divBdr>
          <w:divsChild>
            <w:div w:id="833452650">
              <w:marLeft w:val="0"/>
              <w:marRight w:val="0"/>
              <w:marTop w:val="0"/>
              <w:marBottom w:val="0"/>
              <w:divBdr>
                <w:top w:val="none" w:sz="0" w:space="0" w:color="auto"/>
                <w:left w:val="none" w:sz="0" w:space="0" w:color="auto"/>
                <w:bottom w:val="none" w:sz="0" w:space="0" w:color="auto"/>
                <w:right w:val="none" w:sz="0" w:space="0" w:color="auto"/>
              </w:divBdr>
              <w:divsChild>
                <w:div w:id="40680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785188">
      <w:bodyDiv w:val="1"/>
      <w:marLeft w:val="0"/>
      <w:marRight w:val="0"/>
      <w:marTop w:val="0"/>
      <w:marBottom w:val="0"/>
      <w:divBdr>
        <w:top w:val="none" w:sz="0" w:space="0" w:color="auto"/>
        <w:left w:val="none" w:sz="0" w:space="0" w:color="auto"/>
        <w:bottom w:val="none" w:sz="0" w:space="0" w:color="auto"/>
        <w:right w:val="none" w:sz="0" w:space="0" w:color="auto"/>
      </w:divBdr>
    </w:div>
    <w:div w:id="343946674">
      <w:bodyDiv w:val="1"/>
      <w:marLeft w:val="0"/>
      <w:marRight w:val="0"/>
      <w:marTop w:val="0"/>
      <w:marBottom w:val="0"/>
      <w:divBdr>
        <w:top w:val="none" w:sz="0" w:space="0" w:color="auto"/>
        <w:left w:val="none" w:sz="0" w:space="0" w:color="auto"/>
        <w:bottom w:val="none" w:sz="0" w:space="0" w:color="auto"/>
        <w:right w:val="none" w:sz="0" w:space="0" w:color="auto"/>
      </w:divBdr>
      <w:divsChild>
        <w:div w:id="911500446">
          <w:marLeft w:val="0"/>
          <w:marRight w:val="0"/>
          <w:marTop w:val="0"/>
          <w:marBottom w:val="0"/>
          <w:divBdr>
            <w:top w:val="none" w:sz="0" w:space="0" w:color="auto"/>
            <w:left w:val="none" w:sz="0" w:space="0" w:color="auto"/>
            <w:bottom w:val="none" w:sz="0" w:space="0" w:color="auto"/>
            <w:right w:val="none" w:sz="0" w:space="0" w:color="auto"/>
          </w:divBdr>
          <w:divsChild>
            <w:div w:id="2054226702">
              <w:marLeft w:val="0"/>
              <w:marRight w:val="0"/>
              <w:marTop w:val="0"/>
              <w:marBottom w:val="0"/>
              <w:divBdr>
                <w:top w:val="none" w:sz="0" w:space="0" w:color="auto"/>
                <w:left w:val="none" w:sz="0" w:space="0" w:color="auto"/>
                <w:bottom w:val="none" w:sz="0" w:space="0" w:color="auto"/>
                <w:right w:val="none" w:sz="0" w:space="0" w:color="auto"/>
              </w:divBdr>
              <w:divsChild>
                <w:div w:id="938484438">
                  <w:marLeft w:val="0"/>
                  <w:marRight w:val="0"/>
                  <w:marTop w:val="0"/>
                  <w:marBottom w:val="0"/>
                  <w:divBdr>
                    <w:top w:val="none" w:sz="0" w:space="0" w:color="auto"/>
                    <w:left w:val="none" w:sz="0" w:space="0" w:color="auto"/>
                    <w:bottom w:val="none" w:sz="0" w:space="0" w:color="auto"/>
                    <w:right w:val="none" w:sz="0" w:space="0" w:color="auto"/>
                  </w:divBdr>
                  <w:divsChild>
                    <w:div w:id="7730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63042">
      <w:bodyDiv w:val="1"/>
      <w:marLeft w:val="0"/>
      <w:marRight w:val="0"/>
      <w:marTop w:val="0"/>
      <w:marBottom w:val="0"/>
      <w:divBdr>
        <w:top w:val="none" w:sz="0" w:space="0" w:color="auto"/>
        <w:left w:val="none" w:sz="0" w:space="0" w:color="auto"/>
        <w:bottom w:val="none" w:sz="0" w:space="0" w:color="auto"/>
        <w:right w:val="none" w:sz="0" w:space="0" w:color="auto"/>
      </w:divBdr>
      <w:divsChild>
        <w:div w:id="894968088">
          <w:marLeft w:val="0"/>
          <w:marRight w:val="0"/>
          <w:marTop w:val="0"/>
          <w:marBottom w:val="0"/>
          <w:divBdr>
            <w:top w:val="none" w:sz="0" w:space="0" w:color="auto"/>
            <w:left w:val="none" w:sz="0" w:space="0" w:color="auto"/>
            <w:bottom w:val="none" w:sz="0" w:space="0" w:color="auto"/>
            <w:right w:val="none" w:sz="0" w:space="0" w:color="auto"/>
          </w:divBdr>
          <w:divsChild>
            <w:div w:id="1879857697">
              <w:marLeft w:val="0"/>
              <w:marRight w:val="0"/>
              <w:marTop w:val="0"/>
              <w:marBottom w:val="0"/>
              <w:divBdr>
                <w:top w:val="none" w:sz="0" w:space="0" w:color="auto"/>
                <w:left w:val="none" w:sz="0" w:space="0" w:color="auto"/>
                <w:bottom w:val="none" w:sz="0" w:space="0" w:color="auto"/>
                <w:right w:val="none" w:sz="0" w:space="0" w:color="auto"/>
              </w:divBdr>
              <w:divsChild>
                <w:div w:id="65883928">
                  <w:marLeft w:val="0"/>
                  <w:marRight w:val="0"/>
                  <w:marTop w:val="0"/>
                  <w:marBottom w:val="0"/>
                  <w:divBdr>
                    <w:top w:val="none" w:sz="0" w:space="0" w:color="auto"/>
                    <w:left w:val="none" w:sz="0" w:space="0" w:color="auto"/>
                    <w:bottom w:val="none" w:sz="0" w:space="0" w:color="auto"/>
                    <w:right w:val="none" w:sz="0" w:space="0" w:color="auto"/>
                  </w:divBdr>
                  <w:divsChild>
                    <w:div w:id="15887851">
                      <w:marLeft w:val="0"/>
                      <w:marRight w:val="0"/>
                      <w:marTop w:val="0"/>
                      <w:marBottom w:val="0"/>
                      <w:divBdr>
                        <w:top w:val="none" w:sz="0" w:space="0" w:color="auto"/>
                        <w:left w:val="none" w:sz="0" w:space="0" w:color="auto"/>
                        <w:bottom w:val="none" w:sz="0" w:space="0" w:color="auto"/>
                        <w:right w:val="none" w:sz="0" w:space="0" w:color="auto"/>
                      </w:divBdr>
                      <w:divsChild>
                        <w:div w:id="246496303">
                          <w:marLeft w:val="0"/>
                          <w:marRight w:val="0"/>
                          <w:marTop w:val="0"/>
                          <w:marBottom w:val="0"/>
                          <w:divBdr>
                            <w:top w:val="none" w:sz="0" w:space="0" w:color="auto"/>
                            <w:left w:val="none" w:sz="0" w:space="0" w:color="auto"/>
                            <w:bottom w:val="none" w:sz="0" w:space="0" w:color="auto"/>
                            <w:right w:val="none" w:sz="0" w:space="0" w:color="auto"/>
                          </w:divBdr>
                          <w:divsChild>
                            <w:div w:id="483156492">
                              <w:marLeft w:val="0"/>
                              <w:marRight w:val="0"/>
                              <w:marTop w:val="0"/>
                              <w:marBottom w:val="0"/>
                              <w:divBdr>
                                <w:top w:val="none" w:sz="0" w:space="0" w:color="auto"/>
                                <w:left w:val="none" w:sz="0" w:space="0" w:color="auto"/>
                                <w:bottom w:val="none" w:sz="0" w:space="0" w:color="auto"/>
                                <w:right w:val="none" w:sz="0" w:space="0" w:color="auto"/>
                              </w:divBdr>
                              <w:divsChild>
                                <w:div w:id="101915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266993">
      <w:bodyDiv w:val="1"/>
      <w:marLeft w:val="0"/>
      <w:marRight w:val="0"/>
      <w:marTop w:val="0"/>
      <w:marBottom w:val="0"/>
      <w:divBdr>
        <w:top w:val="none" w:sz="0" w:space="0" w:color="auto"/>
        <w:left w:val="none" w:sz="0" w:space="0" w:color="auto"/>
        <w:bottom w:val="none" w:sz="0" w:space="0" w:color="auto"/>
        <w:right w:val="none" w:sz="0" w:space="0" w:color="auto"/>
      </w:divBdr>
      <w:divsChild>
        <w:div w:id="1120605767">
          <w:marLeft w:val="0"/>
          <w:marRight w:val="0"/>
          <w:marTop w:val="0"/>
          <w:marBottom w:val="0"/>
          <w:divBdr>
            <w:top w:val="none" w:sz="0" w:space="0" w:color="auto"/>
            <w:left w:val="none" w:sz="0" w:space="0" w:color="auto"/>
            <w:bottom w:val="none" w:sz="0" w:space="0" w:color="auto"/>
            <w:right w:val="none" w:sz="0" w:space="0" w:color="auto"/>
          </w:divBdr>
          <w:divsChild>
            <w:div w:id="255485984">
              <w:marLeft w:val="-300"/>
              <w:marRight w:val="0"/>
              <w:marTop w:val="0"/>
              <w:marBottom w:val="270"/>
              <w:divBdr>
                <w:top w:val="none" w:sz="0" w:space="0" w:color="auto"/>
                <w:left w:val="none" w:sz="0" w:space="0" w:color="auto"/>
                <w:bottom w:val="none" w:sz="0" w:space="0" w:color="auto"/>
                <w:right w:val="none" w:sz="0" w:space="0" w:color="auto"/>
              </w:divBdr>
              <w:divsChild>
                <w:div w:id="527179358">
                  <w:marLeft w:val="0"/>
                  <w:marRight w:val="0"/>
                  <w:marTop w:val="0"/>
                  <w:marBottom w:val="0"/>
                  <w:divBdr>
                    <w:top w:val="none" w:sz="0" w:space="0" w:color="auto"/>
                    <w:left w:val="none" w:sz="0" w:space="0" w:color="auto"/>
                    <w:bottom w:val="none" w:sz="0" w:space="0" w:color="auto"/>
                    <w:right w:val="none" w:sz="0" w:space="0" w:color="auto"/>
                  </w:divBdr>
                  <w:divsChild>
                    <w:div w:id="156875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563990">
      <w:bodyDiv w:val="1"/>
      <w:marLeft w:val="0"/>
      <w:marRight w:val="0"/>
      <w:marTop w:val="0"/>
      <w:marBottom w:val="0"/>
      <w:divBdr>
        <w:top w:val="none" w:sz="0" w:space="0" w:color="auto"/>
        <w:left w:val="none" w:sz="0" w:space="0" w:color="auto"/>
        <w:bottom w:val="none" w:sz="0" w:space="0" w:color="auto"/>
        <w:right w:val="none" w:sz="0" w:space="0" w:color="auto"/>
      </w:divBdr>
      <w:divsChild>
        <w:div w:id="256133283">
          <w:marLeft w:val="0"/>
          <w:marRight w:val="0"/>
          <w:marTop w:val="0"/>
          <w:marBottom w:val="0"/>
          <w:divBdr>
            <w:top w:val="none" w:sz="0" w:space="0" w:color="auto"/>
            <w:left w:val="none" w:sz="0" w:space="0" w:color="auto"/>
            <w:bottom w:val="none" w:sz="0" w:space="0" w:color="auto"/>
            <w:right w:val="none" w:sz="0" w:space="0" w:color="auto"/>
          </w:divBdr>
          <w:divsChild>
            <w:div w:id="264459831">
              <w:marLeft w:val="-300"/>
              <w:marRight w:val="0"/>
              <w:marTop w:val="0"/>
              <w:marBottom w:val="270"/>
              <w:divBdr>
                <w:top w:val="none" w:sz="0" w:space="0" w:color="auto"/>
                <w:left w:val="none" w:sz="0" w:space="0" w:color="auto"/>
                <w:bottom w:val="none" w:sz="0" w:space="0" w:color="auto"/>
                <w:right w:val="none" w:sz="0" w:space="0" w:color="auto"/>
              </w:divBdr>
              <w:divsChild>
                <w:div w:id="309792165">
                  <w:marLeft w:val="0"/>
                  <w:marRight w:val="0"/>
                  <w:marTop w:val="0"/>
                  <w:marBottom w:val="0"/>
                  <w:divBdr>
                    <w:top w:val="none" w:sz="0" w:space="0" w:color="auto"/>
                    <w:left w:val="none" w:sz="0" w:space="0" w:color="auto"/>
                    <w:bottom w:val="none" w:sz="0" w:space="0" w:color="auto"/>
                    <w:right w:val="none" w:sz="0" w:space="0" w:color="auto"/>
                  </w:divBdr>
                  <w:divsChild>
                    <w:div w:id="1472477976">
                      <w:marLeft w:val="0"/>
                      <w:marRight w:val="0"/>
                      <w:marTop w:val="0"/>
                      <w:marBottom w:val="270"/>
                      <w:divBdr>
                        <w:top w:val="none" w:sz="0" w:space="0" w:color="auto"/>
                        <w:left w:val="none" w:sz="0" w:space="0" w:color="auto"/>
                        <w:bottom w:val="none" w:sz="0" w:space="0" w:color="auto"/>
                        <w:right w:val="none" w:sz="0" w:space="0" w:color="auto"/>
                      </w:divBdr>
                      <w:divsChild>
                        <w:div w:id="2064792853">
                          <w:marLeft w:val="0"/>
                          <w:marRight w:val="0"/>
                          <w:marTop w:val="0"/>
                          <w:marBottom w:val="0"/>
                          <w:divBdr>
                            <w:top w:val="none" w:sz="0" w:space="0" w:color="auto"/>
                            <w:left w:val="none" w:sz="0" w:space="0" w:color="auto"/>
                            <w:bottom w:val="none" w:sz="0" w:space="0" w:color="auto"/>
                            <w:right w:val="none" w:sz="0" w:space="0" w:color="auto"/>
                          </w:divBdr>
                          <w:divsChild>
                            <w:div w:id="284849914">
                              <w:marLeft w:val="0"/>
                              <w:marRight w:val="0"/>
                              <w:marTop w:val="0"/>
                              <w:marBottom w:val="0"/>
                              <w:divBdr>
                                <w:top w:val="none" w:sz="0" w:space="0" w:color="auto"/>
                                <w:left w:val="none" w:sz="0" w:space="0" w:color="auto"/>
                                <w:bottom w:val="none" w:sz="0" w:space="0" w:color="auto"/>
                                <w:right w:val="none" w:sz="0" w:space="0" w:color="auto"/>
                              </w:divBdr>
                              <w:divsChild>
                                <w:div w:id="1260063708">
                                  <w:marLeft w:val="0"/>
                                  <w:marRight w:val="0"/>
                                  <w:marTop w:val="0"/>
                                  <w:marBottom w:val="0"/>
                                  <w:divBdr>
                                    <w:top w:val="none" w:sz="0" w:space="0" w:color="auto"/>
                                    <w:left w:val="none" w:sz="0" w:space="0" w:color="auto"/>
                                    <w:bottom w:val="none" w:sz="0" w:space="0" w:color="auto"/>
                                    <w:right w:val="none" w:sz="0" w:space="0" w:color="auto"/>
                                  </w:divBdr>
                                  <w:divsChild>
                                    <w:div w:id="3140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8691531">
      <w:bodyDiv w:val="1"/>
      <w:marLeft w:val="0"/>
      <w:marRight w:val="0"/>
      <w:marTop w:val="0"/>
      <w:marBottom w:val="0"/>
      <w:divBdr>
        <w:top w:val="none" w:sz="0" w:space="0" w:color="auto"/>
        <w:left w:val="none" w:sz="0" w:space="0" w:color="auto"/>
        <w:bottom w:val="none" w:sz="0" w:space="0" w:color="auto"/>
        <w:right w:val="none" w:sz="0" w:space="0" w:color="auto"/>
      </w:divBdr>
    </w:div>
    <w:div w:id="818109871">
      <w:bodyDiv w:val="1"/>
      <w:marLeft w:val="0"/>
      <w:marRight w:val="0"/>
      <w:marTop w:val="0"/>
      <w:marBottom w:val="0"/>
      <w:divBdr>
        <w:top w:val="none" w:sz="0" w:space="0" w:color="auto"/>
        <w:left w:val="none" w:sz="0" w:space="0" w:color="auto"/>
        <w:bottom w:val="none" w:sz="0" w:space="0" w:color="auto"/>
        <w:right w:val="none" w:sz="0" w:space="0" w:color="auto"/>
      </w:divBdr>
    </w:div>
    <w:div w:id="1721710539">
      <w:bodyDiv w:val="1"/>
      <w:marLeft w:val="0"/>
      <w:marRight w:val="0"/>
      <w:marTop w:val="0"/>
      <w:marBottom w:val="0"/>
      <w:divBdr>
        <w:top w:val="none" w:sz="0" w:space="0" w:color="auto"/>
        <w:left w:val="none" w:sz="0" w:space="0" w:color="auto"/>
        <w:bottom w:val="none" w:sz="0" w:space="0" w:color="auto"/>
        <w:right w:val="none" w:sz="0" w:space="0" w:color="auto"/>
      </w:divBdr>
    </w:div>
    <w:div w:id="1739664756">
      <w:bodyDiv w:val="1"/>
      <w:marLeft w:val="0"/>
      <w:marRight w:val="0"/>
      <w:marTop w:val="0"/>
      <w:marBottom w:val="0"/>
      <w:divBdr>
        <w:top w:val="none" w:sz="0" w:space="0" w:color="auto"/>
        <w:left w:val="none" w:sz="0" w:space="0" w:color="auto"/>
        <w:bottom w:val="none" w:sz="0" w:space="0" w:color="auto"/>
        <w:right w:val="none" w:sz="0" w:space="0" w:color="auto"/>
      </w:divBdr>
      <w:divsChild>
        <w:div w:id="1647855003">
          <w:marLeft w:val="0"/>
          <w:marRight w:val="0"/>
          <w:marTop w:val="0"/>
          <w:marBottom w:val="0"/>
          <w:divBdr>
            <w:top w:val="none" w:sz="0" w:space="0" w:color="auto"/>
            <w:left w:val="none" w:sz="0" w:space="0" w:color="auto"/>
            <w:bottom w:val="none" w:sz="0" w:space="0" w:color="auto"/>
            <w:right w:val="none" w:sz="0" w:space="0" w:color="auto"/>
          </w:divBdr>
          <w:divsChild>
            <w:div w:id="1875457681">
              <w:marLeft w:val="0"/>
              <w:marRight w:val="0"/>
              <w:marTop w:val="0"/>
              <w:marBottom w:val="0"/>
              <w:divBdr>
                <w:top w:val="none" w:sz="0" w:space="0" w:color="auto"/>
                <w:left w:val="none" w:sz="0" w:space="0" w:color="auto"/>
                <w:bottom w:val="none" w:sz="0" w:space="0" w:color="auto"/>
                <w:right w:val="none" w:sz="0" w:space="0" w:color="auto"/>
              </w:divBdr>
              <w:divsChild>
                <w:div w:id="1752237273">
                  <w:marLeft w:val="0"/>
                  <w:marRight w:val="0"/>
                  <w:marTop w:val="0"/>
                  <w:marBottom w:val="0"/>
                  <w:divBdr>
                    <w:top w:val="none" w:sz="0" w:space="0" w:color="auto"/>
                    <w:left w:val="none" w:sz="0" w:space="0" w:color="auto"/>
                    <w:bottom w:val="none" w:sz="0" w:space="0" w:color="auto"/>
                    <w:right w:val="none" w:sz="0" w:space="0" w:color="auto"/>
                  </w:divBdr>
                  <w:divsChild>
                    <w:div w:id="1131555235">
                      <w:marLeft w:val="0"/>
                      <w:marRight w:val="0"/>
                      <w:marTop w:val="0"/>
                      <w:marBottom w:val="0"/>
                      <w:divBdr>
                        <w:top w:val="none" w:sz="0" w:space="0" w:color="auto"/>
                        <w:left w:val="none" w:sz="0" w:space="0" w:color="auto"/>
                        <w:bottom w:val="none" w:sz="0" w:space="0" w:color="auto"/>
                        <w:right w:val="none" w:sz="0" w:space="0" w:color="auto"/>
                      </w:divBdr>
                      <w:divsChild>
                        <w:div w:id="1507552105">
                          <w:marLeft w:val="0"/>
                          <w:marRight w:val="0"/>
                          <w:marTop w:val="0"/>
                          <w:marBottom w:val="0"/>
                          <w:divBdr>
                            <w:top w:val="none" w:sz="0" w:space="0" w:color="auto"/>
                            <w:left w:val="none" w:sz="0" w:space="0" w:color="auto"/>
                            <w:bottom w:val="none" w:sz="0" w:space="0" w:color="auto"/>
                            <w:right w:val="none" w:sz="0" w:space="0" w:color="auto"/>
                          </w:divBdr>
                          <w:divsChild>
                            <w:div w:id="1307587937">
                              <w:marLeft w:val="0"/>
                              <w:marRight w:val="0"/>
                              <w:marTop w:val="0"/>
                              <w:marBottom w:val="0"/>
                              <w:divBdr>
                                <w:top w:val="none" w:sz="0" w:space="0" w:color="auto"/>
                                <w:left w:val="none" w:sz="0" w:space="0" w:color="auto"/>
                                <w:bottom w:val="none" w:sz="0" w:space="0" w:color="auto"/>
                                <w:right w:val="none" w:sz="0" w:space="0" w:color="auto"/>
                              </w:divBdr>
                              <w:divsChild>
                                <w:div w:id="12172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74585">
      <w:bodyDiv w:val="1"/>
      <w:marLeft w:val="0"/>
      <w:marRight w:val="0"/>
      <w:marTop w:val="0"/>
      <w:marBottom w:val="0"/>
      <w:divBdr>
        <w:top w:val="none" w:sz="0" w:space="0" w:color="auto"/>
        <w:left w:val="none" w:sz="0" w:space="0" w:color="auto"/>
        <w:bottom w:val="none" w:sz="0" w:space="0" w:color="auto"/>
        <w:right w:val="none" w:sz="0" w:space="0" w:color="auto"/>
      </w:divBdr>
    </w:div>
    <w:div w:id="205141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_rels/footnotes.xml.rels><?xml version="1.0" encoding="UTF-8" standalone="yes"?>
<Relationships xmlns="http://schemas.openxmlformats.org/package/2006/relationships"><Relationship Id="rId1" Type="http://schemas.openxmlformats.org/officeDocument/2006/relationships/hyperlink" Target="file:///\\net1.cec.eu.int\homes\032\valtosa\AppData\Local\Microsoft\Windows\Temporary%20Internet%20Files\AppData\Local\Microsoft\Documents%20and%20Settings\skrynna\Local%20Settings\Temporary%20Internet%20Files\Documents%20and%20Settings\sippool\Local%20Settings\Temporary%20Internet%20Files\OLK3\Reg%20407%2020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579D9-0C49-46A8-BF6C-726261E44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3651</Words>
  <Characters>18699</Characters>
  <Application>Microsoft Office Word</Application>
  <DocSecurity>0</DocSecurity>
  <Lines>644</Lines>
  <Paragraphs>421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21929</CharactersWithSpaces>
  <SharedDoc>false</SharedDoc>
  <HLinks>
    <vt:vector size="90" baseType="variant">
      <vt:variant>
        <vt:i4>1245241</vt:i4>
      </vt:variant>
      <vt:variant>
        <vt:i4>80</vt:i4>
      </vt:variant>
      <vt:variant>
        <vt:i4>0</vt:i4>
      </vt:variant>
      <vt:variant>
        <vt:i4>5</vt:i4>
      </vt:variant>
      <vt:variant>
        <vt:lpwstr/>
      </vt:variant>
      <vt:variant>
        <vt:lpwstr>_Toc451257940</vt:lpwstr>
      </vt:variant>
      <vt:variant>
        <vt:i4>1310777</vt:i4>
      </vt:variant>
      <vt:variant>
        <vt:i4>74</vt:i4>
      </vt:variant>
      <vt:variant>
        <vt:i4>0</vt:i4>
      </vt:variant>
      <vt:variant>
        <vt:i4>5</vt:i4>
      </vt:variant>
      <vt:variant>
        <vt:lpwstr/>
      </vt:variant>
      <vt:variant>
        <vt:lpwstr>_Toc451257939</vt:lpwstr>
      </vt:variant>
      <vt:variant>
        <vt:i4>1310777</vt:i4>
      </vt:variant>
      <vt:variant>
        <vt:i4>68</vt:i4>
      </vt:variant>
      <vt:variant>
        <vt:i4>0</vt:i4>
      </vt:variant>
      <vt:variant>
        <vt:i4>5</vt:i4>
      </vt:variant>
      <vt:variant>
        <vt:lpwstr/>
      </vt:variant>
      <vt:variant>
        <vt:lpwstr>_Toc451257938</vt:lpwstr>
      </vt:variant>
      <vt:variant>
        <vt:i4>1310777</vt:i4>
      </vt:variant>
      <vt:variant>
        <vt:i4>62</vt:i4>
      </vt:variant>
      <vt:variant>
        <vt:i4>0</vt:i4>
      </vt:variant>
      <vt:variant>
        <vt:i4>5</vt:i4>
      </vt:variant>
      <vt:variant>
        <vt:lpwstr/>
      </vt:variant>
      <vt:variant>
        <vt:lpwstr>_Toc451257937</vt:lpwstr>
      </vt:variant>
      <vt:variant>
        <vt:i4>1310777</vt:i4>
      </vt:variant>
      <vt:variant>
        <vt:i4>56</vt:i4>
      </vt:variant>
      <vt:variant>
        <vt:i4>0</vt:i4>
      </vt:variant>
      <vt:variant>
        <vt:i4>5</vt:i4>
      </vt:variant>
      <vt:variant>
        <vt:lpwstr/>
      </vt:variant>
      <vt:variant>
        <vt:lpwstr>_Toc451257936</vt:lpwstr>
      </vt:variant>
      <vt:variant>
        <vt:i4>1310777</vt:i4>
      </vt:variant>
      <vt:variant>
        <vt:i4>50</vt:i4>
      </vt:variant>
      <vt:variant>
        <vt:i4>0</vt:i4>
      </vt:variant>
      <vt:variant>
        <vt:i4>5</vt:i4>
      </vt:variant>
      <vt:variant>
        <vt:lpwstr/>
      </vt:variant>
      <vt:variant>
        <vt:lpwstr>_Toc451257935</vt:lpwstr>
      </vt:variant>
      <vt:variant>
        <vt:i4>1310777</vt:i4>
      </vt:variant>
      <vt:variant>
        <vt:i4>44</vt:i4>
      </vt:variant>
      <vt:variant>
        <vt:i4>0</vt:i4>
      </vt:variant>
      <vt:variant>
        <vt:i4>5</vt:i4>
      </vt:variant>
      <vt:variant>
        <vt:lpwstr/>
      </vt:variant>
      <vt:variant>
        <vt:lpwstr>_Toc451257934</vt:lpwstr>
      </vt:variant>
      <vt:variant>
        <vt:i4>1310777</vt:i4>
      </vt:variant>
      <vt:variant>
        <vt:i4>38</vt:i4>
      </vt:variant>
      <vt:variant>
        <vt:i4>0</vt:i4>
      </vt:variant>
      <vt:variant>
        <vt:i4>5</vt:i4>
      </vt:variant>
      <vt:variant>
        <vt:lpwstr/>
      </vt:variant>
      <vt:variant>
        <vt:lpwstr>_Toc451257933</vt:lpwstr>
      </vt:variant>
      <vt:variant>
        <vt:i4>1310777</vt:i4>
      </vt:variant>
      <vt:variant>
        <vt:i4>32</vt:i4>
      </vt:variant>
      <vt:variant>
        <vt:i4>0</vt:i4>
      </vt:variant>
      <vt:variant>
        <vt:i4>5</vt:i4>
      </vt:variant>
      <vt:variant>
        <vt:lpwstr/>
      </vt:variant>
      <vt:variant>
        <vt:lpwstr>_Toc451257932</vt:lpwstr>
      </vt:variant>
      <vt:variant>
        <vt:i4>1310777</vt:i4>
      </vt:variant>
      <vt:variant>
        <vt:i4>26</vt:i4>
      </vt:variant>
      <vt:variant>
        <vt:i4>0</vt:i4>
      </vt:variant>
      <vt:variant>
        <vt:i4>5</vt:i4>
      </vt:variant>
      <vt:variant>
        <vt:lpwstr/>
      </vt:variant>
      <vt:variant>
        <vt:lpwstr>_Toc451257931</vt:lpwstr>
      </vt:variant>
      <vt:variant>
        <vt:i4>1310777</vt:i4>
      </vt:variant>
      <vt:variant>
        <vt:i4>20</vt:i4>
      </vt:variant>
      <vt:variant>
        <vt:i4>0</vt:i4>
      </vt:variant>
      <vt:variant>
        <vt:i4>5</vt:i4>
      </vt:variant>
      <vt:variant>
        <vt:lpwstr/>
      </vt:variant>
      <vt:variant>
        <vt:lpwstr>_Toc451257930</vt:lpwstr>
      </vt:variant>
      <vt:variant>
        <vt:i4>1376313</vt:i4>
      </vt:variant>
      <vt:variant>
        <vt:i4>14</vt:i4>
      </vt:variant>
      <vt:variant>
        <vt:i4>0</vt:i4>
      </vt:variant>
      <vt:variant>
        <vt:i4>5</vt:i4>
      </vt:variant>
      <vt:variant>
        <vt:lpwstr/>
      </vt:variant>
      <vt:variant>
        <vt:lpwstr>_Toc451257929</vt:lpwstr>
      </vt:variant>
      <vt:variant>
        <vt:i4>1376313</vt:i4>
      </vt:variant>
      <vt:variant>
        <vt:i4>8</vt:i4>
      </vt:variant>
      <vt:variant>
        <vt:i4>0</vt:i4>
      </vt:variant>
      <vt:variant>
        <vt:i4>5</vt:i4>
      </vt:variant>
      <vt:variant>
        <vt:lpwstr/>
      </vt:variant>
      <vt:variant>
        <vt:lpwstr>_Toc451257928</vt:lpwstr>
      </vt:variant>
      <vt:variant>
        <vt:i4>1376313</vt:i4>
      </vt:variant>
      <vt:variant>
        <vt:i4>2</vt:i4>
      </vt:variant>
      <vt:variant>
        <vt:i4>0</vt:i4>
      </vt:variant>
      <vt:variant>
        <vt:i4>5</vt:i4>
      </vt:variant>
      <vt:variant>
        <vt:lpwstr/>
      </vt:variant>
      <vt:variant>
        <vt:lpwstr>_Toc451257927</vt:lpwstr>
      </vt:variant>
      <vt:variant>
        <vt:i4>8192023</vt:i4>
      </vt:variant>
      <vt:variant>
        <vt:i4>0</vt:i4>
      </vt:variant>
      <vt:variant>
        <vt:i4>0</vt:i4>
      </vt:variant>
      <vt:variant>
        <vt:i4>5</vt:i4>
      </vt:variant>
      <vt:variant>
        <vt:lpwstr>file://\\net1.cec.eu.int\homes\032\valtosa\AppData\Local\Microsoft\Windows\Temporary Internet Files\AppData\Local\Microsoft\Documents and Settings\skrynna\Local Settings\Temporary Internet Files\Documents and Settings\sippool\Local Settings\Temporary Internet Files\OLK3\Reg 407 2010.pdf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19</cp:revision>
  <cp:lastPrinted>2016-05-23T08:55:00Z</cp:lastPrinted>
  <dcterms:created xsi:type="dcterms:W3CDTF">2016-05-23T10:08:00Z</dcterms:created>
  <dcterms:modified xsi:type="dcterms:W3CDTF">2016-06-14T14:11:00Z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