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E7CDB0C0024C3F91A81D32501B0CB4"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52723861"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_Toc452723861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2"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Операции на Европейския съюз по отпускане на заеми</w:t>
        </w:r>
        <w:r>
          <w:rPr>
            <w:noProof/>
            <w:webHidden/>
          </w:rPr>
          <w:tab/>
        </w:r>
        <w:r>
          <w:rPr>
            <w:noProof/>
            <w:webHidden/>
          </w:rPr>
          <w:fldChar w:fldCharType="begin"/>
        </w:r>
        <w:r>
          <w:rPr>
            <w:noProof/>
            <w:webHidden/>
          </w:rPr>
          <w:instrText xml:space="preserve"> PAGEREF _Toc452723862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3"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Механизъм за подкрепа на платежния баланс</w:t>
        </w:r>
        <w:r>
          <w:rPr>
            <w:noProof/>
            <w:webHidden/>
          </w:rPr>
          <w:tab/>
        </w:r>
        <w:r>
          <w:rPr>
            <w:noProof/>
            <w:webHidden/>
          </w:rPr>
          <w:fldChar w:fldCharType="begin"/>
        </w:r>
        <w:r>
          <w:rPr>
            <w:noProof/>
            <w:webHidden/>
          </w:rPr>
          <w:instrText xml:space="preserve"> PAGEREF _Toc452723863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4"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Европейски механизъм за финансово стабилизиране</w:t>
        </w:r>
        <w:r>
          <w:rPr>
            <w:noProof/>
            <w:webHidden/>
          </w:rPr>
          <w:tab/>
        </w:r>
        <w:r>
          <w:rPr>
            <w:noProof/>
            <w:webHidden/>
          </w:rPr>
          <w:fldChar w:fldCharType="begin"/>
        </w:r>
        <w:r>
          <w:rPr>
            <w:noProof/>
            <w:webHidden/>
          </w:rPr>
          <w:instrText xml:space="preserve"> PAGEREF _Toc452723864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723865"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Макрофинансова помощ</w:t>
        </w:r>
        <w:r>
          <w:rPr>
            <w:noProof/>
            <w:webHidden/>
          </w:rPr>
          <w:tab/>
        </w:r>
        <w:r>
          <w:rPr>
            <w:noProof/>
            <w:webHidden/>
          </w:rPr>
          <w:fldChar w:fldCharType="begin"/>
        </w:r>
        <w:r>
          <w:rPr>
            <w:noProof/>
            <w:webHidden/>
          </w:rPr>
          <w:instrText xml:space="preserve"> PAGEREF _Toc452723865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723866"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Механизъм за отпускане на заеми от Евратом</w:t>
        </w:r>
        <w:r>
          <w:rPr>
            <w:noProof/>
            <w:webHidden/>
          </w:rPr>
          <w:tab/>
        </w:r>
        <w:r>
          <w:rPr>
            <w:noProof/>
            <w:webHidden/>
          </w:rPr>
          <w:fldChar w:fldCharType="begin"/>
        </w:r>
        <w:r>
          <w:rPr>
            <w:noProof/>
            <w:webHidden/>
          </w:rPr>
          <w:instrText xml:space="preserve"> PAGEREF _Toc452723866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7"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Операции на Европейския съюз по вземане на заеми</w:t>
        </w:r>
        <w:r>
          <w:rPr>
            <w:noProof/>
            <w:webHidden/>
          </w:rPr>
          <w:tab/>
        </w:r>
        <w:r>
          <w:rPr>
            <w:noProof/>
            <w:webHidden/>
          </w:rPr>
          <w:fldChar w:fldCharType="begin"/>
        </w:r>
        <w:r>
          <w:rPr>
            <w:noProof/>
            <w:webHidden/>
          </w:rPr>
          <w:instrText xml:space="preserve"> PAGEREF _Toc452723867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8"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Механизъм за подкрепа на платежния баланс</w:t>
        </w:r>
        <w:r>
          <w:rPr>
            <w:noProof/>
            <w:webHidden/>
          </w:rPr>
          <w:tab/>
        </w:r>
        <w:r>
          <w:rPr>
            <w:noProof/>
            <w:webHidden/>
          </w:rPr>
          <w:fldChar w:fldCharType="begin"/>
        </w:r>
        <w:r>
          <w:rPr>
            <w:noProof/>
            <w:webHidden/>
          </w:rPr>
          <w:instrText xml:space="preserve"> PAGEREF _Toc452723868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69"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Европейски механизъм за финансово стабилизиране</w:t>
        </w:r>
        <w:r>
          <w:rPr>
            <w:noProof/>
            <w:webHidden/>
          </w:rPr>
          <w:tab/>
        </w:r>
        <w:r>
          <w:rPr>
            <w:noProof/>
            <w:webHidden/>
          </w:rPr>
          <w:fldChar w:fldCharType="begin"/>
        </w:r>
        <w:r>
          <w:rPr>
            <w:noProof/>
            <w:webHidden/>
          </w:rPr>
          <w:instrText xml:space="preserve"> PAGEREF _Toc452723869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70"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Макрофинансова помощ</w:t>
        </w:r>
        <w:r>
          <w:rPr>
            <w:noProof/>
            <w:webHidden/>
          </w:rPr>
          <w:tab/>
        </w:r>
        <w:r>
          <w:rPr>
            <w:noProof/>
            <w:webHidden/>
          </w:rPr>
          <w:fldChar w:fldCharType="begin"/>
        </w:r>
        <w:r>
          <w:rPr>
            <w:noProof/>
            <w:webHidden/>
          </w:rPr>
          <w:instrText xml:space="preserve"> PAGEREF _Toc452723870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71"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Механизъм за отпускане на заеми от Евратом</w:t>
        </w:r>
        <w:r>
          <w:rPr>
            <w:noProof/>
            <w:webHidden/>
          </w:rPr>
          <w:tab/>
        </w:r>
        <w:r>
          <w:rPr>
            <w:noProof/>
            <w:webHidden/>
          </w:rPr>
          <w:fldChar w:fldCharType="begin"/>
        </w:r>
        <w:r>
          <w:rPr>
            <w:noProof/>
            <w:webHidden/>
          </w:rPr>
          <w:instrText xml:space="preserve"> PAGEREF _Toc452723871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723872"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Европейска инвестиционна банка</w:t>
        </w:r>
        <w:r>
          <w:rPr>
            <w:noProof/>
            <w:webHidden/>
          </w:rPr>
          <w:tab/>
        </w:r>
        <w:r>
          <w:rPr>
            <w:noProof/>
            <w:webHidden/>
          </w:rPr>
          <w:fldChar w:fldCharType="begin"/>
        </w:r>
        <w:r>
          <w:rPr>
            <w:noProof/>
            <w:webHidden/>
          </w:rPr>
          <w:instrText xml:space="preserve"> PAGEREF _Toc452723872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723873"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Операции на ЕИБ по отпускане на заеми</w:t>
        </w:r>
        <w:r>
          <w:rPr>
            <w:noProof/>
            <w:webHidden/>
          </w:rPr>
          <w:tab/>
        </w:r>
        <w:r>
          <w:rPr>
            <w:noProof/>
            <w:webHidden/>
          </w:rPr>
          <w:fldChar w:fldCharType="begin"/>
        </w:r>
        <w:r>
          <w:rPr>
            <w:noProof/>
            <w:webHidden/>
          </w:rPr>
          <w:instrText xml:space="preserve"> PAGEREF _Toc452723873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723874"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Операции на ЕИБ по вземане на заеми</w:t>
        </w:r>
        <w:r>
          <w:rPr>
            <w:noProof/>
            <w:webHidden/>
          </w:rPr>
          <w:tab/>
        </w:r>
        <w:r>
          <w:rPr>
            <w:noProof/>
            <w:webHidden/>
          </w:rPr>
          <w:fldChar w:fldCharType="begin"/>
        </w:r>
        <w:r>
          <w:rPr>
            <w:noProof/>
            <w:webHidden/>
          </w:rPr>
          <w:instrText xml:space="preserve"> PAGEREF _Toc452723874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Calibri" w:hAnsi="Calibri"/>
          <w:noProof/>
          <w:sz w:val="22"/>
          <w:szCs w:val="22"/>
        </w:rPr>
      </w:pPr>
      <w:r>
        <w:rPr>
          <w:noProof/>
        </w:rPr>
        <w:fldChar w:fldCharType="end"/>
      </w: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spacing w:before="240" w:after="240"/>
        <w:ind w:left="851" w:hanging="851"/>
        <w:rPr>
          <w:noProof/>
        </w:rPr>
      </w:pPr>
      <w:bookmarkStart w:id="2" w:name="_Toc328407832"/>
      <w:bookmarkStart w:id="3" w:name="_Toc328407833"/>
      <w:bookmarkStart w:id="4" w:name="_Toc328407834"/>
      <w:bookmarkStart w:id="5" w:name="_Toc328407835"/>
      <w:bookmarkStart w:id="6" w:name="_Toc328407836"/>
      <w:bookmarkStart w:id="7" w:name="_Toc328407837"/>
      <w:bookmarkStart w:id="8" w:name="_Toc328407838"/>
      <w:bookmarkStart w:id="9" w:name="_Toc328407839"/>
      <w:bookmarkStart w:id="10" w:name="_Toc328407840"/>
      <w:bookmarkStart w:id="11" w:name="_Toc328407841"/>
      <w:bookmarkStart w:id="12" w:name="_Toc328407842"/>
      <w:bookmarkStart w:id="13" w:name="_Toc328407843"/>
      <w:bookmarkStart w:id="14" w:name="_Toc328407844"/>
      <w:bookmarkStart w:id="15" w:name="_Toc328407845"/>
      <w:bookmarkStart w:id="16" w:name="_Toc328407846"/>
      <w:bookmarkStart w:id="17" w:name="_Toc328407847"/>
      <w:bookmarkStart w:id="18" w:name="_Toc328407848"/>
      <w:bookmarkStart w:id="19" w:name="_Toc328407849"/>
      <w:bookmarkStart w:id="20" w:name="_Toc328407850"/>
      <w:bookmarkStart w:id="21" w:name="_Toc328407851"/>
      <w:bookmarkStart w:id="22" w:name="_Toc328407852"/>
      <w:bookmarkStart w:id="23" w:name="_Toc328407853"/>
      <w:bookmarkStart w:id="24" w:name="_Toc328407854"/>
      <w:bookmarkStart w:id="25" w:name="_Toc325641135"/>
      <w:bookmarkStart w:id="26" w:name="_Toc330157537"/>
      <w:bookmarkStart w:id="27" w:name="_Toc361393251"/>
      <w:bookmarkStart w:id="28" w:name="_Toc388883939"/>
      <w:bookmarkStart w:id="29" w:name="_Toc393808491"/>
      <w:bookmarkStart w:id="30" w:name="_Toc451257927"/>
      <w:bookmarkStart w:id="31" w:name="_Toc45272386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lastRenderedPageBreak/>
        <w:t>1.</w:t>
      </w:r>
      <w:r>
        <w:rPr>
          <w:noProof/>
        </w:rPr>
        <w:tab/>
        <w:t>Въведение</w:t>
      </w:r>
      <w:bookmarkEnd w:id="25"/>
      <w:bookmarkEnd w:id="26"/>
      <w:bookmarkEnd w:id="27"/>
      <w:bookmarkEnd w:id="28"/>
      <w:bookmarkEnd w:id="29"/>
      <w:bookmarkEnd w:id="30"/>
      <w:bookmarkEnd w:id="31"/>
    </w:p>
    <w:p>
      <w:pPr>
        <w:spacing w:after="120" w:line="240" w:lineRule="auto"/>
        <w:jc w:val="both"/>
        <w:rPr>
          <w:rFonts w:ascii="Times New Roman" w:hAnsi="Times New Roman"/>
          <w:noProof/>
          <w:sz w:val="24"/>
          <w:szCs w:val="24"/>
        </w:rPr>
      </w:pPr>
      <w:r>
        <w:rPr>
          <w:rFonts w:ascii="Times New Roman" w:hAnsi="Times New Roman"/>
          <w:noProof/>
          <w:sz w:val="24"/>
        </w:rPr>
        <w:t xml:space="preserve">В решенията на Съвета, с които се създават различните механизми на Европейския съюз (ЕС) за отпускане на заеми, се изисква Комисията да информира всяка година Европейския парламент и Съвета за използването на тези инструменти. С цел да се отговори на тези изисквания за предоставяне на информация, в настоящия доклад се описват операциите по отпускане на заеми за всеки отделен инструмент, както и съответните дейности по вземане на заеми. </w:t>
      </w:r>
    </w:p>
    <w:p>
      <w:pPr>
        <w:spacing w:after="120" w:line="240" w:lineRule="auto"/>
        <w:jc w:val="both"/>
        <w:rPr>
          <w:rFonts w:ascii="Times New Roman" w:hAnsi="Times New Roman"/>
          <w:noProof/>
          <w:sz w:val="24"/>
          <w:szCs w:val="24"/>
        </w:rPr>
      </w:pPr>
      <w:r>
        <w:rPr>
          <w:rFonts w:ascii="Times New Roman" w:hAnsi="Times New Roman"/>
          <w:noProof/>
          <w:sz w:val="24"/>
        </w:rPr>
        <w:t>За да се допълни картината на дейностите на ЕС, в последния раздел на настоящия доклад се включва обобщен преглед на дейностите по отпускане и вземане на заеми през 2015 г. на Европейската инвестиционна банка (ЕИБ).</w:t>
      </w:r>
    </w:p>
    <w:p>
      <w:pPr>
        <w:spacing w:after="120" w:line="240" w:lineRule="auto"/>
        <w:jc w:val="both"/>
        <w:rPr>
          <w:rFonts w:ascii="Times New Roman" w:hAnsi="Times New Roman"/>
          <w:noProof/>
          <w:sz w:val="24"/>
          <w:szCs w:val="24"/>
        </w:rPr>
      </w:pPr>
      <w:r>
        <w:rPr>
          <w:rFonts w:ascii="Times New Roman" w:hAnsi="Times New Roman"/>
          <w:noProof/>
          <w:sz w:val="24"/>
        </w:rPr>
        <w:t>Таблицата по-долу съдържа информация за развитието на операциите на ЕС през последните 5 години.</w:t>
      </w:r>
    </w:p>
    <w:p>
      <w:pPr>
        <w:rPr>
          <w:rFonts w:ascii="Times New Roman" w:hAnsi="Times New Roman"/>
          <w:noProof/>
          <w:sz w:val="24"/>
          <w:szCs w:val="24"/>
        </w:rPr>
      </w:pPr>
      <w:r>
        <w:rPr>
          <w:rFonts w:ascii="Times New Roman" w:hAnsi="Times New Roman"/>
          <w:noProof/>
          <w:sz w:val="24"/>
          <w:u w:val="single"/>
        </w:rPr>
        <w:t>Таблица 1: Общ размер (по години) на операциите на ЕС — непогасени суми по главниците (в млн. евро)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1220"/>
        <w:gridCol w:w="1220"/>
        <w:gridCol w:w="1342"/>
        <w:gridCol w:w="1342"/>
        <w:gridCol w:w="1342"/>
        <w:gridCol w:w="1489"/>
      </w:tblGrid>
      <w:tr>
        <w:trPr>
          <w:trHeight w:val="798"/>
        </w:trPr>
        <w:tc>
          <w:tcPr>
            <w:tcW w:w="976" w:type="dxa"/>
            <w:shd w:val="clear" w:color="auto" w:fill="auto"/>
          </w:tcPr>
          <w:p>
            <w:pPr>
              <w:spacing w:after="240" w:line="240" w:lineRule="auto"/>
              <w:jc w:val="center"/>
              <w:rPr>
                <w:rFonts w:ascii="Times New Roman" w:hAnsi="Times New Roman"/>
                <w:noProof/>
                <w:sz w:val="24"/>
                <w:szCs w:val="24"/>
              </w:rPr>
            </w:pPr>
          </w:p>
        </w:tc>
        <w:tc>
          <w:tcPr>
            <w:tcW w:w="1220"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ЕОВС в ликвидация(1) (2)</w:t>
            </w:r>
          </w:p>
        </w:tc>
        <w:tc>
          <w:tcPr>
            <w:tcW w:w="1220"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Евратом (1)</w:t>
            </w:r>
          </w:p>
        </w:tc>
        <w:tc>
          <w:tcPr>
            <w:tcW w:w="1342" w:type="dxa"/>
          </w:tcPr>
          <w:p>
            <w:pPr>
              <w:spacing w:after="240" w:line="240" w:lineRule="auto"/>
              <w:jc w:val="center"/>
              <w:rPr>
                <w:rFonts w:ascii="Times New Roman" w:hAnsi="Times New Roman"/>
                <w:noProof/>
                <w:sz w:val="24"/>
                <w:szCs w:val="24"/>
              </w:rPr>
            </w:pPr>
            <w:r>
              <w:rPr>
                <w:rFonts w:ascii="Times New Roman" w:hAnsi="Times New Roman"/>
                <w:noProof/>
                <w:sz w:val="24"/>
              </w:rPr>
              <w:t>ПБ</w:t>
            </w:r>
          </w:p>
        </w:tc>
        <w:tc>
          <w:tcPr>
            <w:tcW w:w="1342" w:type="dxa"/>
          </w:tcPr>
          <w:p>
            <w:pPr>
              <w:spacing w:after="240" w:line="240" w:lineRule="auto"/>
              <w:jc w:val="center"/>
              <w:rPr>
                <w:rFonts w:ascii="Times New Roman" w:hAnsi="Times New Roman"/>
                <w:noProof/>
                <w:sz w:val="24"/>
                <w:szCs w:val="24"/>
              </w:rPr>
            </w:pPr>
            <w:r>
              <w:rPr>
                <w:rFonts w:ascii="Times New Roman" w:hAnsi="Times New Roman"/>
                <w:noProof/>
                <w:sz w:val="24"/>
              </w:rPr>
              <w:t>МФП</w:t>
            </w:r>
          </w:p>
        </w:tc>
        <w:tc>
          <w:tcPr>
            <w:tcW w:w="1342"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ЕМФС</w:t>
            </w:r>
          </w:p>
        </w:tc>
        <w:tc>
          <w:tcPr>
            <w:tcW w:w="1489"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Общо</w:t>
            </w:r>
          </w:p>
        </w:tc>
      </w:tr>
      <w:tr>
        <w:trPr>
          <w:trHeight w:val="2664"/>
        </w:trPr>
        <w:tc>
          <w:tcPr>
            <w:tcW w:w="976" w:type="dxa"/>
            <w:tcBorders>
              <w:top w:val="nil"/>
            </w:tcBorders>
            <w:shd w:val="clear" w:color="auto" w:fill="auto"/>
          </w:tcPr>
          <w:p>
            <w:pPr>
              <w:spacing w:after="240" w:line="240" w:lineRule="auto"/>
              <w:jc w:val="both"/>
              <w:rPr>
                <w:rFonts w:ascii="Times New Roman" w:hAnsi="Times New Roman"/>
                <w:bCs/>
                <w:noProof/>
                <w:sz w:val="24"/>
                <w:szCs w:val="24"/>
              </w:rPr>
            </w:pPr>
            <w:r>
              <w:rPr>
                <w:rFonts w:ascii="Times New Roman" w:hAnsi="Times New Roman"/>
                <w:noProof/>
                <w:sz w:val="24"/>
              </w:rPr>
              <w:t>2011</w:t>
            </w:r>
          </w:p>
          <w:p>
            <w:pPr>
              <w:spacing w:after="240" w:line="240" w:lineRule="auto"/>
              <w:jc w:val="both"/>
              <w:rPr>
                <w:rFonts w:ascii="Times New Roman" w:hAnsi="Times New Roman"/>
                <w:bCs/>
                <w:noProof/>
                <w:sz w:val="24"/>
                <w:szCs w:val="24"/>
              </w:rPr>
            </w:pPr>
            <w:r>
              <w:rPr>
                <w:rFonts w:ascii="Times New Roman" w:hAnsi="Times New Roman"/>
                <w:noProof/>
                <w:sz w:val="24"/>
              </w:rPr>
              <w:t>2012</w:t>
            </w:r>
          </w:p>
          <w:p>
            <w:pPr>
              <w:spacing w:after="240" w:line="240" w:lineRule="auto"/>
              <w:jc w:val="both"/>
              <w:rPr>
                <w:rFonts w:ascii="Times New Roman" w:hAnsi="Times New Roman"/>
                <w:bCs/>
                <w:noProof/>
                <w:sz w:val="24"/>
                <w:szCs w:val="24"/>
              </w:rPr>
            </w:pPr>
            <w:r>
              <w:rPr>
                <w:rFonts w:ascii="Times New Roman" w:hAnsi="Times New Roman"/>
                <w:noProof/>
                <w:sz w:val="24"/>
              </w:rPr>
              <w:t>2013</w:t>
            </w:r>
          </w:p>
          <w:p>
            <w:pPr>
              <w:spacing w:after="240" w:line="240" w:lineRule="auto"/>
              <w:jc w:val="both"/>
              <w:rPr>
                <w:rFonts w:ascii="Times New Roman" w:hAnsi="Times New Roman"/>
                <w:bCs/>
                <w:noProof/>
                <w:sz w:val="24"/>
                <w:szCs w:val="24"/>
              </w:rPr>
            </w:pPr>
            <w:r>
              <w:rPr>
                <w:rFonts w:ascii="Times New Roman" w:hAnsi="Times New Roman"/>
                <w:noProof/>
                <w:sz w:val="24"/>
              </w:rPr>
              <w:t>2014</w:t>
            </w:r>
          </w:p>
          <w:p>
            <w:pPr>
              <w:spacing w:after="240" w:line="240" w:lineRule="auto"/>
              <w:jc w:val="both"/>
              <w:rPr>
                <w:rFonts w:ascii="Times New Roman" w:hAnsi="Times New Roman"/>
                <w:bCs/>
                <w:noProof/>
                <w:sz w:val="24"/>
                <w:szCs w:val="24"/>
              </w:rPr>
            </w:pPr>
            <w:r>
              <w:rPr>
                <w:rFonts w:ascii="Times New Roman" w:hAnsi="Times New Roman"/>
                <w:noProof/>
                <w:sz w:val="24"/>
              </w:rPr>
              <w:t>2015</w:t>
            </w:r>
          </w:p>
        </w:tc>
        <w:tc>
          <w:tcPr>
            <w:tcW w:w="1220"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225</w:t>
            </w:r>
          </w:p>
          <w:p>
            <w:pPr>
              <w:spacing w:after="240" w:line="240" w:lineRule="auto"/>
              <w:jc w:val="right"/>
              <w:rPr>
                <w:rFonts w:ascii="Times New Roman" w:hAnsi="Times New Roman"/>
                <w:bCs/>
                <w:noProof/>
                <w:sz w:val="24"/>
                <w:szCs w:val="24"/>
              </w:rPr>
            </w:pPr>
            <w:r>
              <w:rPr>
                <w:rFonts w:ascii="Times New Roman" w:hAnsi="Times New Roman"/>
                <w:noProof/>
                <w:sz w:val="24"/>
              </w:rPr>
              <w:t>183</w:t>
            </w:r>
          </w:p>
          <w:p>
            <w:pPr>
              <w:spacing w:after="240" w:line="240" w:lineRule="auto"/>
              <w:jc w:val="right"/>
              <w:rPr>
                <w:rFonts w:ascii="Times New Roman" w:hAnsi="Times New Roman"/>
                <w:bCs/>
                <w:noProof/>
                <w:sz w:val="24"/>
                <w:szCs w:val="24"/>
              </w:rPr>
            </w:pPr>
            <w:r>
              <w:rPr>
                <w:rFonts w:ascii="Times New Roman" w:hAnsi="Times New Roman"/>
                <w:noProof/>
                <w:sz w:val="24"/>
              </w:rPr>
              <w:t>179</w:t>
            </w:r>
          </w:p>
          <w:p>
            <w:pPr>
              <w:spacing w:after="240" w:line="240" w:lineRule="auto"/>
              <w:jc w:val="right"/>
              <w:rPr>
                <w:rFonts w:ascii="Times New Roman" w:hAnsi="Times New Roman"/>
                <w:bCs/>
                <w:noProof/>
                <w:sz w:val="24"/>
                <w:szCs w:val="24"/>
              </w:rPr>
            </w:pPr>
            <w:r>
              <w:rPr>
                <w:rFonts w:ascii="Times New Roman" w:hAnsi="Times New Roman"/>
                <w:noProof/>
                <w:sz w:val="24"/>
              </w:rPr>
              <w:t>192</w:t>
            </w:r>
          </w:p>
          <w:p>
            <w:pPr>
              <w:spacing w:after="240" w:line="240" w:lineRule="auto"/>
              <w:jc w:val="right"/>
              <w:rPr>
                <w:rFonts w:ascii="Times New Roman" w:hAnsi="Times New Roman"/>
                <w:bCs/>
                <w:noProof/>
                <w:sz w:val="24"/>
                <w:szCs w:val="24"/>
              </w:rPr>
            </w:pPr>
            <w:r>
              <w:rPr>
                <w:rFonts w:ascii="Times New Roman" w:hAnsi="Times New Roman"/>
                <w:noProof/>
                <w:sz w:val="24"/>
              </w:rPr>
              <w:t>204</w:t>
            </w:r>
          </w:p>
        </w:tc>
        <w:tc>
          <w:tcPr>
            <w:tcW w:w="1220"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447</w:t>
            </w:r>
          </w:p>
          <w:p>
            <w:pPr>
              <w:spacing w:after="240" w:line="240" w:lineRule="auto"/>
              <w:jc w:val="right"/>
              <w:rPr>
                <w:rFonts w:ascii="Times New Roman" w:hAnsi="Times New Roman"/>
                <w:bCs/>
                <w:noProof/>
                <w:sz w:val="24"/>
                <w:szCs w:val="24"/>
              </w:rPr>
            </w:pPr>
            <w:r>
              <w:rPr>
                <w:rFonts w:ascii="Times New Roman" w:hAnsi="Times New Roman"/>
                <w:noProof/>
                <w:sz w:val="24"/>
              </w:rPr>
              <w:t>423</w:t>
            </w:r>
          </w:p>
          <w:p>
            <w:pPr>
              <w:spacing w:after="240" w:line="240" w:lineRule="auto"/>
              <w:jc w:val="right"/>
              <w:rPr>
                <w:rFonts w:ascii="Times New Roman" w:hAnsi="Times New Roman"/>
                <w:bCs/>
                <w:noProof/>
                <w:sz w:val="24"/>
                <w:szCs w:val="24"/>
              </w:rPr>
            </w:pPr>
            <w:r>
              <w:rPr>
                <w:rFonts w:ascii="Times New Roman" w:hAnsi="Times New Roman"/>
                <w:noProof/>
                <w:sz w:val="24"/>
              </w:rPr>
              <w:t>386</w:t>
            </w:r>
          </w:p>
          <w:p>
            <w:pPr>
              <w:spacing w:after="240" w:line="240" w:lineRule="auto"/>
              <w:jc w:val="right"/>
              <w:rPr>
                <w:rFonts w:ascii="Times New Roman" w:hAnsi="Times New Roman"/>
                <w:bCs/>
                <w:noProof/>
                <w:sz w:val="24"/>
                <w:szCs w:val="24"/>
              </w:rPr>
            </w:pPr>
            <w:r>
              <w:rPr>
                <w:rFonts w:ascii="Times New Roman" w:hAnsi="Times New Roman"/>
                <w:noProof/>
                <w:sz w:val="24"/>
              </w:rPr>
              <w:t>348</w:t>
            </w:r>
          </w:p>
          <w:p>
            <w:pPr>
              <w:spacing w:after="240" w:line="240" w:lineRule="auto"/>
              <w:jc w:val="right"/>
              <w:rPr>
                <w:rFonts w:ascii="Times New Roman" w:hAnsi="Times New Roman"/>
                <w:bCs/>
                <w:noProof/>
                <w:sz w:val="24"/>
                <w:szCs w:val="24"/>
              </w:rPr>
            </w:pPr>
            <w:r>
              <w:rPr>
                <w:rFonts w:ascii="Times New Roman" w:hAnsi="Times New Roman"/>
                <w:noProof/>
                <w:sz w:val="24"/>
              </w:rPr>
              <w:t>300</w:t>
            </w:r>
          </w:p>
        </w:tc>
        <w:tc>
          <w:tcPr>
            <w:tcW w:w="1342" w:type="dxa"/>
            <w:tcBorders>
              <w:top w:val="nil"/>
            </w:tcBorders>
          </w:tcPr>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8</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5 700</w:t>
            </w:r>
          </w:p>
        </w:tc>
        <w:tc>
          <w:tcPr>
            <w:tcW w:w="1342" w:type="dxa"/>
            <w:tcBorders>
              <w:top w:val="nil"/>
            </w:tcBorders>
          </w:tcPr>
          <w:p>
            <w:pPr>
              <w:spacing w:after="240" w:line="240" w:lineRule="auto"/>
              <w:jc w:val="right"/>
              <w:rPr>
                <w:rFonts w:ascii="Times New Roman" w:hAnsi="Times New Roman"/>
                <w:bCs/>
                <w:noProof/>
                <w:sz w:val="24"/>
                <w:szCs w:val="24"/>
              </w:rPr>
            </w:pPr>
            <w:r>
              <w:rPr>
                <w:rFonts w:ascii="Times New Roman" w:hAnsi="Times New Roman"/>
                <w:noProof/>
                <w:sz w:val="24"/>
              </w:rPr>
              <w:t>590</w:t>
            </w:r>
          </w:p>
          <w:p>
            <w:pPr>
              <w:spacing w:after="240" w:line="240" w:lineRule="auto"/>
              <w:jc w:val="right"/>
              <w:rPr>
                <w:rFonts w:ascii="Times New Roman" w:hAnsi="Times New Roman"/>
                <w:bCs/>
                <w:noProof/>
                <w:sz w:val="24"/>
                <w:szCs w:val="24"/>
              </w:rPr>
            </w:pPr>
            <w:r>
              <w:rPr>
                <w:rFonts w:ascii="Times New Roman" w:hAnsi="Times New Roman"/>
                <w:noProof/>
                <w:sz w:val="24"/>
              </w:rPr>
              <w:t>545</w:t>
            </w:r>
          </w:p>
          <w:p>
            <w:pPr>
              <w:spacing w:after="240" w:line="240" w:lineRule="auto"/>
              <w:jc w:val="right"/>
              <w:rPr>
                <w:rFonts w:ascii="Times New Roman" w:hAnsi="Times New Roman"/>
                <w:bCs/>
                <w:noProof/>
                <w:sz w:val="24"/>
                <w:szCs w:val="24"/>
              </w:rPr>
            </w:pPr>
            <w:r>
              <w:rPr>
                <w:rFonts w:ascii="Times New Roman" w:hAnsi="Times New Roman"/>
                <w:noProof/>
                <w:sz w:val="24"/>
              </w:rPr>
              <w:t>565</w:t>
            </w:r>
          </w:p>
          <w:p>
            <w:pPr>
              <w:spacing w:after="240" w:line="240" w:lineRule="auto"/>
              <w:jc w:val="right"/>
              <w:rPr>
                <w:rFonts w:ascii="Times New Roman" w:hAnsi="Times New Roman"/>
                <w:bCs/>
                <w:noProof/>
                <w:sz w:val="24"/>
                <w:szCs w:val="24"/>
              </w:rPr>
            </w:pPr>
            <w:r>
              <w:rPr>
                <w:rFonts w:ascii="Times New Roman" w:hAnsi="Times New Roman"/>
                <w:noProof/>
                <w:sz w:val="24"/>
              </w:rPr>
              <w:t>1</w:t>
            </w:r>
            <w:r>
              <w:rPr>
                <w:noProof/>
              </w:rPr>
              <w:t> </w:t>
            </w:r>
            <w:r>
              <w:rPr>
                <w:rFonts w:ascii="Times New Roman" w:hAnsi="Times New Roman"/>
                <w:noProof/>
                <w:sz w:val="24"/>
              </w:rPr>
              <w:t>829</w:t>
            </w:r>
          </w:p>
          <w:p>
            <w:pPr>
              <w:spacing w:after="240" w:line="240" w:lineRule="auto"/>
              <w:jc w:val="right"/>
              <w:rPr>
                <w:rFonts w:ascii="Times New Roman" w:hAnsi="Times New Roman"/>
                <w:bCs/>
                <w:noProof/>
                <w:sz w:val="24"/>
                <w:szCs w:val="24"/>
              </w:rPr>
            </w:pPr>
            <w:r>
              <w:rPr>
                <w:rFonts w:ascii="Times New Roman" w:hAnsi="Times New Roman"/>
                <w:noProof/>
                <w:sz w:val="24"/>
              </w:rPr>
              <w:t>3 007</w:t>
            </w:r>
          </w:p>
        </w:tc>
        <w:tc>
          <w:tcPr>
            <w:tcW w:w="1342"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28</w:t>
            </w:r>
            <w:r>
              <w:rPr>
                <w:noProof/>
              </w:rPr>
              <w:t> </w:t>
            </w:r>
            <w:r>
              <w:rPr>
                <w:rFonts w:ascii="Times New Roman" w:hAnsi="Times New Roman"/>
                <w:noProof/>
                <w:sz w:val="24"/>
              </w:rPr>
              <w:t>000</w:t>
            </w:r>
          </w:p>
          <w:p>
            <w:pPr>
              <w:spacing w:after="240" w:line="240" w:lineRule="auto"/>
              <w:jc w:val="right"/>
              <w:rPr>
                <w:rFonts w:ascii="Times New Roman" w:hAnsi="Times New Roman"/>
                <w:bCs/>
                <w:noProof/>
                <w:sz w:val="24"/>
                <w:szCs w:val="24"/>
              </w:rPr>
            </w:pPr>
            <w:r>
              <w:rPr>
                <w:rFonts w:ascii="Times New Roman" w:hAnsi="Times New Roman"/>
                <w:noProof/>
                <w:sz w:val="24"/>
              </w:rPr>
              <w:t>43</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43</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46</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46</w:t>
            </w:r>
            <w:r>
              <w:rPr>
                <w:noProof/>
              </w:rPr>
              <w:t> </w:t>
            </w:r>
            <w:r>
              <w:rPr>
                <w:rFonts w:ascii="Times New Roman" w:hAnsi="Times New Roman"/>
                <w:noProof/>
                <w:sz w:val="24"/>
              </w:rPr>
              <w:t>800</w:t>
            </w:r>
          </w:p>
        </w:tc>
        <w:tc>
          <w:tcPr>
            <w:tcW w:w="1489"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40</w:t>
            </w:r>
            <w:r>
              <w:rPr>
                <w:noProof/>
              </w:rPr>
              <w:t> </w:t>
            </w:r>
            <w:r>
              <w:rPr>
                <w:rFonts w:ascii="Times New Roman" w:hAnsi="Times New Roman"/>
                <w:noProof/>
                <w:sz w:val="24"/>
              </w:rPr>
              <w:t>662</w:t>
            </w:r>
          </w:p>
          <w:p>
            <w:pPr>
              <w:spacing w:after="240" w:line="240" w:lineRule="auto"/>
              <w:jc w:val="right"/>
              <w:rPr>
                <w:rFonts w:ascii="Times New Roman" w:hAnsi="Times New Roman"/>
                <w:bCs/>
                <w:noProof/>
                <w:sz w:val="24"/>
                <w:szCs w:val="24"/>
              </w:rPr>
            </w:pPr>
            <w:r>
              <w:rPr>
                <w:rFonts w:ascii="Times New Roman" w:hAnsi="Times New Roman"/>
                <w:noProof/>
                <w:sz w:val="24"/>
              </w:rPr>
              <w:t>56</w:t>
            </w:r>
            <w:r>
              <w:rPr>
                <w:noProof/>
              </w:rPr>
              <w:t> </w:t>
            </w:r>
            <w:r>
              <w:rPr>
                <w:rFonts w:ascii="Times New Roman" w:hAnsi="Times New Roman"/>
                <w:noProof/>
                <w:sz w:val="24"/>
              </w:rPr>
              <w:t>351</w:t>
            </w:r>
          </w:p>
          <w:p>
            <w:pPr>
              <w:spacing w:after="240" w:line="240" w:lineRule="auto"/>
              <w:jc w:val="right"/>
              <w:rPr>
                <w:rFonts w:ascii="Times New Roman" w:hAnsi="Times New Roman"/>
                <w:bCs/>
                <w:noProof/>
                <w:sz w:val="24"/>
                <w:szCs w:val="24"/>
              </w:rPr>
            </w:pPr>
            <w:r>
              <w:rPr>
                <w:rFonts w:ascii="Times New Roman" w:hAnsi="Times New Roman"/>
                <w:noProof/>
                <w:sz w:val="24"/>
              </w:rPr>
              <w:t>56</w:t>
            </w:r>
            <w:r>
              <w:rPr>
                <w:noProof/>
              </w:rPr>
              <w:t> </w:t>
            </w:r>
            <w:r>
              <w:rPr>
                <w:rFonts w:ascii="Times New Roman" w:hAnsi="Times New Roman"/>
                <w:noProof/>
                <w:sz w:val="24"/>
              </w:rPr>
              <w:t>330</w:t>
            </w:r>
          </w:p>
          <w:p>
            <w:pPr>
              <w:spacing w:after="240" w:line="240" w:lineRule="auto"/>
              <w:jc w:val="right"/>
              <w:rPr>
                <w:rFonts w:ascii="Times New Roman" w:hAnsi="Times New Roman"/>
                <w:bCs/>
                <w:noProof/>
                <w:sz w:val="24"/>
                <w:szCs w:val="24"/>
              </w:rPr>
            </w:pPr>
            <w:r>
              <w:rPr>
                <w:rFonts w:ascii="Times New Roman" w:hAnsi="Times New Roman"/>
                <w:noProof/>
                <w:sz w:val="24"/>
              </w:rPr>
              <w:t>57</w:t>
            </w:r>
            <w:r>
              <w:rPr>
                <w:noProof/>
              </w:rPr>
              <w:t> </w:t>
            </w:r>
            <w:r>
              <w:rPr>
                <w:rFonts w:ascii="Times New Roman" w:hAnsi="Times New Roman"/>
                <w:noProof/>
                <w:sz w:val="24"/>
              </w:rPr>
              <w:t>569</w:t>
            </w:r>
          </w:p>
          <w:p>
            <w:pPr>
              <w:spacing w:after="240" w:line="240" w:lineRule="auto"/>
              <w:jc w:val="right"/>
              <w:rPr>
                <w:rFonts w:ascii="Times New Roman" w:hAnsi="Times New Roman"/>
                <w:bCs/>
                <w:noProof/>
                <w:sz w:val="24"/>
                <w:szCs w:val="24"/>
              </w:rPr>
            </w:pPr>
            <w:r>
              <w:rPr>
                <w:rFonts w:ascii="Times New Roman" w:hAnsi="Times New Roman"/>
                <w:noProof/>
                <w:sz w:val="24"/>
              </w:rPr>
              <w:t>56 011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6"/>
        </w:trPr>
        <w:tc>
          <w:tcPr>
            <w:tcW w:w="8931" w:type="dxa"/>
            <w:gridSpan w:val="7"/>
          </w:tcPr>
          <w:p>
            <w:pPr>
              <w:tabs>
                <w:tab w:val="left" w:pos="397"/>
              </w:tabs>
              <w:spacing w:after="0" w:line="240" w:lineRule="auto"/>
              <w:ind w:left="-108" w:right="-108"/>
              <w:jc w:val="both"/>
              <w:rPr>
                <w:rFonts w:ascii="Times New Roman" w:hAnsi="Times New Roman"/>
                <w:noProof/>
                <w:sz w:val="20"/>
                <w:szCs w:val="20"/>
              </w:rPr>
            </w:pPr>
            <w:r>
              <w:rPr>
                <w:rFonts w:ascii="Times New Roman" w:hAnsi="Times New Roman"/>
                <w:noProof/>
                <w:snapToGrid w:val="0"/>
                <w:sz w:val="20"/>
              </w:rPr>
              <w:t>(1)</w:t>
            </w:r>
            <w:r>
              <w:rPr>
                <w:rFonts w:ascii="Times New Roman" w:hAnsi="Times New Roman"/>
                <w:noProof/>
                <w:sz w:val="20"/>
              </w:rPr>
              <w:t xml:space="preserve">Използвани са валутните курсове към 31 декември всяка година. </w:t>
            </w:r>
          </w:p>
          <w:p>
            <w:pPr>
              <w:tabs>
                <w:tab w:val="left" w:pos="397"/>
              </w:tabs>
              <w:spacing w:after="240" w:line="240" w:lineRule="auto"/>
              <w:ind w:left="-108" w:right="-108"/>
              <w:jc w:val="both"/>
              <w:rPr>
                <w:rFonts w:ascii="Times New Roman" w:hAnsi="Times New Roman"/>
                <w:noProof/>
                <w:sz w:val="20"/>
                <w:szCs w:val="20"/>
              </w:rPr>
            </w:pPr>
            <w:r>
              <w:rPr>
                <w:rFonts w:ascii="Times New Roman" w:hAnsi="Times New Roman"/>
                <w:noProof/>
                <w:snapToGrid w:val="0"/>
                <w:sz w:val="20"/>
              </w:rPr>
              <w:t>(2)Европейската общност за въглища и стомана (ЕОВС) е в ликвидация от 2002 г. Падежът на последната облигация, емитирана от ЕОВС, е през 2019 г. Увеличението на неизплатената сума се дължи на промени във валутните курсове.</w:t>
            </w:r>
          </w:p>
        </w:tc>
      </w:tr>
    </w:tbl>
    <w:p>
      <w:pPr>
        <w:pStyle w:val="ManualHeading1"/>
        <w:spacing w:after="240"/>
        <w:ind w:left="851" w:hanging="851"/>
        <w:rPr>
          <w:noProof/>
        </w:rPr>
      </w:pPr>
      <w:bookmarkStart w:id="32" w:name="_Toc325641136"/>
      <w:bookmarkStart w:id="33" w:name="_Toc330157538"/>
      <w:bookmarkStart w:id="34" w:name="_Toc361393252"/>
      <w:bookmarkStart w:id="35" w:name="_Toc388883940"/>
      <w:bookmarkStart w:id="36" w:name="_Toc393808492"/>
      <w:bookmarkStart w:id="37" w:name="_Toc451257928"/>
      <w:bookmarkStart w:id="38" w:name="_Toc452723862"/>
      <w:r>
        <w:rPr>
          <w:noProof/>
        </w:rPr>
        <w:t>2.</w:t>
      </w:r>
      <w:r>
        <w:rPr>
          <w:noProof/>
        </w:rPr>
        <w:tab/>
        <w:t>Операции на Европейския съюз по отпускане на заеми</w:t>
      </w:r>
      <w:bookmarkEnd w:id="32"/>
      <w:bookmarkEnd w:id="33"/>
      <w:bookmarkEnd w:id="34"/>
      <w:bookmarkEnd w:id="35"/>
      <w:bookmarkEnd w:id="36"/>
      <w:bookmarkEnd w:id="37"/>
      <w:bookmarkEnd w:id="38"/>
    </w:p>
    <w:p>
      <w:pPr>
        <w:spacing w:line="240" w:lineRule="auto"/>
        <w:jc w:val="both"/>
        <w:rPr>
          <w:rFonts w:ascii="Times New Roman" w:hAnsi="Times New Roman"/>
          <w:noProof/>
        </w:rPr>
      </w:pPr>
      <w:r>
        <w:rPr>
          <w:rFonts w:ascii="Times New Roman" w:hAnsi="Times New Roman"/>
          <w:noProof/>
          <w:sz w:val="24"/>
        </w:rPr>
        <w:t>По силата на решения на Европейския парламент и на Съвета или само на Съвета, в зависимост от преследваните цели</w:t>
      </w:r>
      <w:r>
        <w:rPr>
          <w:rStyle w:val="FootnoteReference"/>
          <w:rFonts w:ascii="Times New Roman" w:hAnsi="Times New Roman"/>
          <w:noProof/>
          <w:sz w:val="24"/>
        </w:rPr>
        <w:footnoteReference w:id="1"/>
      </w:r>
      <w:r>
        <w:rPr>
          <w:rFonts w:ascii="Times New Roman" w:hAnsi="Times New Roman"/>
          <w:noProof/>
          <w:sz w:val="24"/>
        </w:rPr>
        <w:t>, Комисията предоставя финансова подкрепа на трети държави и на държавите членки под формата на двустранни заеми, финансирани от капиталовите пазари с обезпечение от бюджета на ЕС. Съответствието на финансовата подкрепа за трети държави с общите цели на външната дейност на ЕС се гарантира от Комисията и върховния представител на Съюза по въпросите на външните работи и политиката на сигурност, подпомаган от Европейската служба за външна дейност (ЕСВД).</w:t>
      </w:r>
    </w:p>
    <w:p>
      <w:pPr>
        <w:pStyle w:val="ManualHeading2"/>
        <w:spacing w:before="240" w:after="240"/>
        <w:ind w:left="851" w:hanging="851"/>
        <w:outlineLvl w:val="0"/>
        <w:rPr>
          <w:noProof/>
        </w:rPr>
      </w:pPr>
      <w:bookmarkStart w:id="39" w:name="_Toc325641137"/>
      <w:bookmarkStart w:id="40" w:name="_Toc330157539"/>
      <w:bookmarkStart w:id="41" w:name="_Toc361393253"/>
      <w:bookmarkStart w:id="42" w:name="_Toc388883941"/>
      <w:bookmarkStart w:id="43" w:name="_Toc393808493"/>
      <w:bookmarkStart w:id="44" w:name="_Toc451257929"/>
      <w:bookmarkStart w:id="45" w:name="_Toc452723863"/>
      <w:r>
        <w:rPr>
          <w:noProof/>
        </w:rPr>
        <w:t>2.1.</w:t>
      </w:r>
      <w:r>
        <w:rPr>
          <w:noProof/>
        </w:rPr>
        <w:tab/>
        <w:t>Механизъм за подкрепа на платежния баланс</w:t>
      </w:r>
      <w:bookmarkEnd w:id="39"/>
      <w:bookmarkEnd w:id="40"/>
      <w:bookmarkEnd w:id="41"/>
      <w:bookmarkEnd w:id="42"/>
      <w:bookmarkEnd w:id="43"/>
      <w:bookmarkEnd w:id="44"/>
      <w:bookmarkEnd w:id="45"/>
    </w:p>
    <w:p>
      <w:pPr>
        <w:spacing w:after="120" w:line="240" w:lineRule="auto"/>
        <w:jc w:val="both"/>
        <w:rPr>
          <w:rFonts w:ascii="Times New Roman" w:hAnsi="Times New Roman"/>
          <w:noProof/>
          <w:sz w:val="24"/>
          <w:szCs w:val="24"/>
        </w:rPr>
      </w:pPr>
      <w:r>
        <w:rPr>
          <w:rFonts w:ascii="Times New Roman" w:hAnsi="Times New Roman"/>
          <w:noProof/>
          <w:sz w:val="24"/>
        </w:rPr>
        <w:t>Съгласно член 143 от Договора за функционирането на Европейския съюз (ДФЕС) и 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w:t>
      </w:r>
      <w:r>
        <w:rPr>
          <w:rStyle w:val="FootnoteReference"/>
          <w:rFonts w:ascii="Times New Roman" w:hAnsi="Times New Roman"/>
          <w:noProof/>
          <w:sz w:val="24"/>
        </w:rPr>
        <w:footnoteReference w:id="2"/>
      </w:r>
      <w:r>
        <w:rPr>
          <w:rFonts w:ascii="Times New Roman" w:hAnsi="Times New Roman"/>
          <w:noProof/>
          <w:sz w:val="24"/>
        </w:rPr>
        <w:t xml:space="preserve"> (Регламент относно платежния баланс) подкрепата за платежния баланс (ПБ) се изразява в отпуснати от Съюза средносрочни заеми. Като цяло тя се предоставя заедно с финансиране от Международния валутен фонд (МВФ) и други международни кредитори, като Европейската инвестиционна банка (ЕИБ), Европейската банка за възстановяване и развитие (ЕБВР) или Световната банка.</w:t>
      </w:r>
    </w:p>
    <w:p>
      <w:pPr>
        <w:spacing w:after="120" w:line="240" w:lineRule="auto"/>
        <w:jc w:val="both"/>
        <w:rPr>
          <w:rFonts w:ascii="Times New Roman" w:hAnsi="Times New Roman"/>
          <w:noProof/>
          <w:sz w:val="24"/>
          <w:szCs w:val="24"/>
        </w:rPr>
      </w:pPr>
      <w:r>
        <w:rPr>
          <w:rFonts w:ascii="Times New Roman" w:hAnsi="Times New Roman"/>
          <w:noProof/>
          <w:sz w:val="24"/>
        </w:rPr>
        <w:t>Подкрепата за ПБ се отпуска след гласуване с квалифицирано мнозинство от Съвета, като се вземат предвид обстоятелствата при всеки отделен случай. Потенциални получатели на средства са държавите членки извън еврозоната, които изпитват сериозни затруднения с платежния си баланс. Подкрепата има за цел да облекчи ограниченията във връзка с външното финансиране на държавата членка получател и да възстанови доброто състояние на платежния ѝ баланс. Тя се изплаща при изпълнение на условията на икономическата политика, за които е взето решение от Съвета, след консултация с Икономическия и финансов комитет (ИФК), и които се договарят между Комисията и държавата членка получател в меморандум за разбирателство (МР) преди сключването на договора за заем. Правят се редовни прегледи на трайното спазване на мерките, както е посочено в МР, което се явява и условие за изплащането на следващите траншове. Комисията, от името на Европейския съюз, набира необходимите средства на капиталовите пазари.</w:t>
      </w:r>
    </w:p>
    <w:p>
      <w:pPr>
        <w:spacing w:after="120" w:line="240" w:lineRule="auto"/>
        <w:jc w:val="both"/>
        <w:rPr>
          <w:rFonts w:ascii="Times New Roman" w:hAnsi="Times New Roman"/>
          <w:noProof/>
          <w:sz w:val="24"/>
          <w:szCs w:val="24"/>
        </w:rPr>
      </w:pPr>
      <w:r>
        <w:rPr>
          <w:rFonts w:ascii="Times New Roman" w:hAnsi="Times New Roman"/>
          <w:noProof/>
          <w:sz w:val="24"/>
        </w:rPr>
        <w:t>В съответствие с Регламента относно ПБ на всеки три години Комисията докладва на ИФК и на Съвета за прилагането на механизма за подкрепа на платежния баланс.</w:t>
      </w:r>
    </w:p>
    <w:p>
      <w:pPr>
        <w:spacing w:after="120" w:line="240" w:lineRule="auto"/>
        <w:jc w:val="both"/>
        <w:rPr>
          <w:rFonts w:ascii="Times New Roman" w:hAnsi="Times New Roman"/>
          <w:noProof/>
          <w:sz w:val="24"/>
          <w:szCs w:val="24"/>
        </w:rPr>
      </w:pPr>
      <w:r>
        <w:rPr>
          <w:rFonts w:ascii="Times New Roman" w:hAnsi="Times New Roman"/>
          <w:noProof/>
          <w:sz w:val="24"/>
        </w:rPr>
        <w:t>През 2013 г. Съветът прие втора превантивна финансова помощ (ПФП) за Румъния</w:t>
      </w:r>
      <w:r>
        <w:rPr>
          <w:rStyle w:val="FootnoteReference"/>
          <w:rFonts w:ascii="Times New Roman" w:hAnsi="Times New Roman"/>
          <w:noProof/>
          <w:sz w:val="24"/>
        </w:rPr>
        <w:footnoteReference w:id="3"/>
      </w:r>
      <w:r>
        <w:rPr>
          <w:rFonts w:ascii="Times New Roman" w:hAnsi="Times New Roman"/>
          <w:noProof/>
          <w:sz w:val="24"/>
        </w:rPr>
        <w:t xml:space="preserve"> в размер до 2 млрд. евро, чийто срок изтече в края на септември 2015 г., без тя да бъде усвоена. Понастоящем не се предвижда нова програма.</w:t>
      </w:r>
    </w:p>
    <w:p>
      <w:pPr>
        <w:spacing w:after="120" w:line="240" w:lineRule="auto"/>
        <w:jc w:val="both"/>
        <w:rPr>
          <w:rFonts w:ascii="Times New Roman" w:hAnsi="Times New Roman"/>
          <w:noProof/>
          <w:sz w:val="24"/>
          <w:szCs w:val="24"/>
        </w:rPr>
      </w:pPr>
      <w:r>
        <w:rPr>
          <w:rFonts w:ascii="Times New Roman" w:hAnsi="Times New Roman"/>
          <w:noProof/>
          <w:sz w:val="24"/>
        </w:rPr>
        <w:t>През януари 2015 г. Латвия възстанови сума в размер на 1,2 млрд. евро, а Румъния — 1,5 млрд. евро. Към 31 декември 2015 г. общата непогасена сума по програмата за подкрепа на платежния баланс беше 5,7 млрд. евро</w:t>
      </w:r>
      <w:r>
        <w:rPr>
          <w:rStyle w:val="FootnoteReference"/>
          <w:rFonts w:ascii="Times New Roman" w:hAnsi="Times New Roman"/>
          <w:noProof/>
          <w:sz w:val="24"/>
        </w:rPr>
        <w:footnoteReference w:id="4"/>
      </w:r>
      <w:r>
        <w:rPr>
          <w:rFonts w:ascii="Times New Roman" w:hAnsi="Times New Roman"/>
          <w:noProof/>
          <w:sz w:val="24"/>
        </w:rPr>
        <w:t>.</w:t>
      </w:r>
    </w:p>
    <w:p>
      <w:pPr>
        <w:spacing w:after="240" w:line="240" w:lineRule="auto"/>
        <w:jc w:val="both"/>
        <w:rPr>
          <w:rFonts w:ascii="Times New Roman" w:hAnsi="Times New Roman"/>
          <w:noProof/>
          <w:sz w:val="24"/>
          <w:szCs w:val="24"/>
          <w:u w:val="single"/>
        </w:rPr>
      </w:pPr>
      <w:r>
        <w:rPr>
          <w:rFonts w:ascii="Times New Roman" w:hAnsi="Times New Roman"/>
          <w:noProof/>
          <w:sz w:val="24"/>
        </w:rPr>
        <w:t>Следната таблица предоставя информация за развитието на заемите, задействани по линия на подкрепата за платежния баланс, към 31 декември 2015 г.</w:t>
      </w:r>
    </w:p>
    <w:p>
      <w:pPr>
        <w:spacing w:after="240" w:line="240" w:lineRule="auto"/>
        <w:jc w:val="both"/>
        <w:rPr>
          <w:rFonts w:ascii="Times New Roman" w:hAnsi="Times New Roman"/>
          <w:noProof/>
          <w:sz w:val="24"/>
          <w:szCs w:val="24"/>
        </w:rPr>
      </w:pPr>
      <w:r>
        <w:rPr>
          <w:rFonts w:ascii="Times New Roman" w:hAnsi="Times New Roman"/>
          <w:noProof/>
          <w:sz w:val="24"/>
          <w:u w:val="single"/>
        </w:rPr>
        <w:t>Таблица 2: Подкрепа за платежния баланс до 31.12.2015 г. (размер на главниците в млрд. евро)</w:t>
      </w:r>
      <w:r>
        <w:rPr>
          <w:rFonts w:ascii="Times New Roman" w:hAnsi="Times New Roman"/>
          <w:noProof/>
          <w:sz w:val="24"/>
        </w:rPr>
        <w:t> </w:t>
      </w:r>
    </w:p>
    <w:tbl>
      <w:tblPr>
        <w:tblW w:w="9136" w:type="dxa"/>
        <w:jc w:val="center"/>
        <w:tblLook w:val="0000" w:firstRow="0" w:lastRow="0" w:firstColumn="0" w:lastColumn="0" w:noHBand="0" w:noVBand="0"/>
      </w:tblPr>
      <w:tblGrid>
        <w:gridCol w:w="1819"/>
        <w:gridCol w:w="1216"/>
        <w:gridCol w:w="1418"/>
        <w:gridCol w:w="1617"/>
        <w:gridCol w:w="1384"/>
        <w:gridCol w:w="1682"/>
      </w:tblGrid>
      <w:tr>
        <w:trPr>
          <w:trHeight w:val="948"/>
          <w:jc w:val="center"/>
        </w:trPr>
        <w:tc>
          <w:tcPr>
            <w:tcW w:w="1819" w:type="dxa"/>
            <w:tcBorders>
              <w:top w:val="single" w:sz="4" w:space="0" w:color="auto"/>
              <w:left w:val="single" w:sz="4" w:space="0" w:color="auto"/>
              <w:bottom w:val="nil"/>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Държава</w:t>
            </w:r>
          </w:p>
        </w:tc>
        <w:tc>
          <w:tcPr>
            <w:tcW w:w="1190" w:type="dxa"/>
            <w:tcBorders>
              <w:top w:val="single" w:sz="4" w:space="0" w:color="auto"/>
              <w:left w:val="nil"/>
              <w:bottom w:val="nil"/>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Одобрена сума</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Преведена сума</w:t>
            </w:r>
          </w:p>
        </w:tc>
        <w:tc>
          <w:tcPr>
            <w:tcW w:w="1220" w:type="dxa"/>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hAnsi="Times New Roman"/>
                <w:noProof/>
                <w:sz w:val="24"/>
                <w:szCs w:val="24"/>
              </w:rPr>
            </w:pPr>
            <w:r>
              <w:rPr>
                <w:rFonts w:ascii="Times New Roman" w:hAnsi="Times New Roman"/>
                <w:noProof/>
                <w:sz w:val="24"/>
              </w:rPr>
              <w:t>Възстановена сума</w:t>
            </w:r>
          </w:p>
        </w:tc>
        <w:tc>
          <w:tcPr>
            <w:tcW w:w="148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Непогасена сума</w:t>
            </w:r>
          </w:p>
        </w:tc>
        <w:tc>
          <w:tcPr>
            <w:tcW w:w="2000"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Средно претеглен матуритет (години)</w:t>
            </w:r>
          </w:p>
        </w:tc>
      </w:tr>
      <w:tr>
        <w:trPr>
          <w:trHeight w:val="309"/>
          <w:jc w:val="center"/>
        </w:trPr>
        <w:tc>
          <w:tcPr>
            <w:tcW w:w="1819" w:type="dxa"/>
            <w:tcBorders>
              <w:top w:val="single" w:sz="4" w:space="0" w:color="auto"/>
              <w:left w:val="single" w:sz="4" w:space="0" w:color="auto"/>
              <w:bottom w:val="nil"/>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Унгария</w:t>
            </w:r>
          </w:p>
        </w:tc>
        <w:tc>
          <w:tcPr>
            <w:tcW w:w="1190" w:type="dxa"/>
            <w:tcBorders>
              <w:top w:val="single" w:sz="4" w:space="0" w:color="auto"/>
              <w:left w:val="nil"/>
              <w:bottom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6.5</w:t>
            </w:r>
          </w:p>
        </w:tc>
        <w:tc>
          <w:tcPr>
            <w:tcW w:w="1418" w:type="dxa"/>
            <w:tcBorders>
              <w:top w:val="single" w:sz="4" w:space="0" w:color="auto"/>
              <w:left w:val="nil"/>
              <w:bottom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5.5</w:t>
            </w:r>
          </w:p>
        </w:tc>
        <w:tc>
          <w:tcPr>
            <w:tcW w:w="1220" w:type="dxa"/>
            <w:tcBorders>
              <w:top w:val="single" w:sz="4" w:space="0" w:color="auto"/>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4.0</w:t>
            </w:r>
          </w:p>
        </w:tc>
        <w:tc>
          <w:tcPr>
            <w:tcW w:w="1489" w:type="dxa"/>
            <w:tcBorders>
              <w:top w:val="single" w:sz="4" w:space="0" w:color="auto"/>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w:t>
            </w:r>
          </w:p>
        </w:tc>
        <w:tc>
          <w:tcPr>
            <w:tcW w:w="2000" w:type="dxa"/>
            <w:tcBorders>
              <w:top w:val="single" w:sz="4" w:space="0" w:color="auto"/>
              <w:left w:val="single" w:sz="4" w:space="0" w:color="auto"/>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0.3</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Латвия</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3.1</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2.9</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2.2</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0.7</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5.2</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Румъния</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5.0</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5.0</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3.5</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Румъния (ПФП)</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1.4</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68"/>
          <w:jc w:val="center"/>
        </w:trPr>
        <w:tc>
          <w:tcPr>
            <w:tcW w:w="1819"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Румъния (ПФП)</w:t>
            </w:r>
          </w:p>
        </w:tc>
        <w:tc>
          <w:tcPr>
            <w:tcW w:w="1190" w:type="dxa"/>
            <w:tcBorders>
              <w:top w:val="nil"/>
              <w:left w:val="nil"/>
              <w:bottom w:val="single" w:sz="4" w:space="0" w:color="auto"/>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2.0</w:t>
            </w:r>
          </w:p>
        </w:tc>
        <w:tc>
          <w:tcPr>
            <w:tcW w:w="1418"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220"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8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0.0</w:t>
            </w:r>
          </w:p>
        </w:tc>
        <w:tc>
          <w:tcPr>
            <w:tcW w:w="2000"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58"/>
          <w:jc w:val="center"/>
        </w:trPr>
        <w:tc>
          <w:tcPr>
            <w:tcW w:w="1819"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Общо</w:t>
            </w:r>
          </w:p>
        </w:tc>
        <w:tc>
          <w:tcPr>
            <w:tcW w:w="1190" w:type="dxa"/>
            <w:tcBorders>
              <w:top w:val="single" w:sz="4" w:space="0" w:color="auto"/>
              <w:left w:val="single" w:sz="4" w:space="0" w:color="auto"/>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18.0</w:t>
            </w:r>
          </w:p>
        </w:tc>
        <w:tc>
          <w:tcPr>
            <w:tcW w:w="1418"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13.4</w:t>
            </w:r>
          </w:p>
        </w:tc>
        <w:tc>
          <w:tcPr>
            <w:tcW w:w="1220"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7.7</w:t>
            </w:r>
          </w:p>
        </w:tc>
        <w:tc>
          <w:tcPr>
            <w:tcW w:w="148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5.7</w:t>
            </w:r>
          </w:p>
        </w:tc>
        <w:tc>
          <w:tcPr>
            <w:tcW w:w="2000"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2.2</w:t>
            </w:r>
          </w:p>
        </w:tc>
      </w:tr>
    </w:tbl>
    <w:p>
      <w:pPr>
        <w:pStyle w:val="ManualHeading2"/>
        <w:spacing w:before="240" w:after="240"/>
        <w:ind w:left="851" w:hanging="851"/>
        <w:outlineLvl w:val="0"/>
        <w:rPr>
          <w:noProof/>
          <w:sz w:val="2"/>
          <w:szCs w:val="2"/>
        </w:rPr>
      </w:pPr>
      <w:bookmarkStart w:id="46" w:name="_Toc325641139"/>
      <w:bookmarkStart w:id="47" w:name="_Toc330157541"/>
      <w:bookmarkStart w:id="48" w:name="_Toc361393254"/>
      <w:bookmarkStart w:id="49" w:name="_Toc388883942"/>
      <w:bookmarkStart w:id="50" w:name="_Toc393808494"/>
    </w:p>
    <w:p>
      <w:pPr>
        <w:pStyle w:val="ManualHeading2"/>
        <w:spacing w:before="240" w:after="240"/>
        <w:ind w:left="851" w:hanging="851"/>
        <w:outlineLvl w:val="0"/>
        <w:rPr>
          <w:noProof/>
        </w:rPr>
      </w:pPr>
      <w:bookmarkStart w:id="51" w:name="_Toc451257930"/>
      <w:bookmarkStart w:id="52" w:name="_Toc452723864"/>
      <w:r>
        <w:rPr>
          <w:noProof/>
        </w:rPr>
        <w:t>2.2.</w:t>
      </w:r>
      <w:r>
        <w:rPr>
          <w:noProof/>
        </w:rPr>
        <w:tab/>
        <w:t>Европейски механизъм за финансово стабилизиране</w:t>
      </w:r>
      <w:bookmarkEnd w:id="46"/>
      <w:bookmarkEnd w:id="47"/>
      <w:bookmarkEnd w:id="48"/>
      <w:bookmarkEnd w:id="49"/>
      <w:bookmarkEnd w:id="50"/>
      <w:bookmarkEnd w:id="51"/>
      <w:bookmarkEnd w:id="52"/>
    </w:p>
    <w:p>
      <w:pPr>
        <w:spacing w:after="120" w:line="240" w:lineRule="auto"/>
        <w:jc w:val="both"/>
        <w:rPr>
          <w:rFonts w:ascii="Times New Roman" w:hAnsi="Times New Roman"/>
          <w:noProof/>
          <w:sz w:val="24"/>
          <w:szCs w:val="24"/>
        </w:rPr>
      </w:pPr>
      <w:r>
        <w:rPr>
          <w:rFonts w:ascii="Times New Roman" w:hAnsi="Times New Roman"/>
          <w:noProof/>
          <w:sz w:val="24"/>
        </w:rPr>
        <w:t>Европейският механизъм за финансово стабилизиране (ЕМФС) е създаден с Регламент (ЕС) № 407/2010 на Съвета от 11 май 2010 г.</w:t>
      </w:r>
      <w:r>
        <w:rPr>
          <w:rStyle w:val="FootnoteReference"/>
          <w:rFonts w:ascii="Times New Roman" w:hAnsi="Times New Roman"/>
          <w:noProof/>
          <w:sz w:val="24"/>
        </w:rPr>
        <w:footnoteReference w:id="5"/>
      </w:r>
      <w:r>
        <w:rPr>
          <w:rFonts w:ascii="Times New Roman" w:hAnsi="Times New Roman"/>
          <w:noProof/>
          <w:sz w:val="24"/>
        </w:rPr>
        <w:t xml:space="preserve"> на основание на член 122, параграф 2</w:t>
      </w:r>
      <w:r>
        <w:rPr>
          <w:rStyle w:val="FootnoteReference"/>
          <w:rFonts w:ascii="Times New Roman" w:hAnsi="Times New Roman"/>
          <w:noProof/>
          <w:sz w:val="24"/>
        </w:rPr>
        <w:footnoteReference w:id="6"/>
      </w:r>
      <w:r>
        <w:rPr>
          <w:rFonts w:ascii="Times New Roman" w:hAnsi="Times New Roman"/>
          <w:noProof/>
          <w:sz w:val="24"/>
        </w:rPr>
        <w:t xml:space="preserve"> от ДФЕС. ЕМФС е финансиран изцяло от бюджета на ЕС и има общ кредитен капацитет до 60 млрд. евро</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line="240" w:lineRule="auto"/>
        <w:jc w:val="both"/>
        <w:rPr>
          <w:rFonts w:ascii="Times New Roman" w:hAnsi="Times New Roman"/>
          <w:noProof/>
          <w:sz w:val="20"/>
          <w:szCs w:val="20"/>
        </w:rPr>
      </w:pPr>
      <w:r>
        <w:rPr>
          <w:rFonts w:ascii="Times New Roman" w:hAnsi="Times New Roman"/>
          <w:noProof/>
          <w:sz w:val="24"/>
        </w:rPr>
        <w:t>ЕМФС бе задействан през 2011 г. за Ирландия</w:t>
      </w:r>
      <w:r>
        <w:rPr>
          <w:rStyle w:val="FootnoteReference"/>
          <w:rFonts w:ascii="Times New Roman" w:hAnsi="Times New Roman"/>
          <w:noProof/>
          <w:sz w:val="24"/>
        </w:rPr>
        <w:footnoteReference w:id="8"/>
      </w:r>
      <w:r>
        <w:rPr>
          <w:rFonts w:ascii="Times New Roman" w:hAnsi="Times New Roman"/>
          <w:noProof/>
          <w:sz w:val="24"/>
        </w:rPr>
        <w:t xml:space="preserve"> и Португалия</w:t>
      </w:r>
      <w:r>
        <w:rPr>
          <w:rStyle w:val="FootnoteReference"/>
          <w:rFonts w:ascii="Times New Roman" w:hAnsi="Times New Roman"/>
          <w:noProof/>
          <w:sz w:val="24"/>
        </w:rPr>
        <w:footnoteReference w:id="9"/>
      </w:r>
      <w:r>
        <w:rPr>
          <w:rFonts w:ascii="Times New Roman" w:hAnsi="Times New Roman"/>
          <w:noProof/>
          <w:sz w:val="24"/>
        </w:rPr>
        <w:t xml:space="preserve"> с поемането на задължение за отпускане на заеми в размер съответно до 22,5 млрд. евро и 26 млрд. евро.</w:t>
      </w:r>
    </w:p>
    <w:p>
      <w:pPr>
        <w:spacing w:after="120" w:line="240" w:lineRule="auto"/>
        <w:jc w:val="both"/>
        <w:rPr>
          <w:rFonts w:ascii="Times New Roman" w:hAnsi="Times New Roman"/>
          <w:noProof/>
          <w:sz w:val="24"/>
          <w:szCs w:val="24"/>
        </w:rPr>
      </w:pPr>
      <w:r>
        <w:rPr>
          <w:rFonts w:ascii="Times New Roman" w:hAnsi="Times New Roman"/>
          <w:noProof/>
          <w:sz w:val="24"/>
        </w:rPr>
        <w:t>През 2013 г. беше взето решение за удължаване на максималния среден матуритет на отпуснатите заеми от 12,5 години на 19,5 години за двете държави членки. Бенефициерите на ЕМФС могат да поискат удължаване и рефинансиране на всички заеми чрез ЕМФС, ако средният матуритет на отпуснатите заеми (изчислен от първоначалното отпускане) не надвишава 19,5 години.</w:t>
      </w:r>
    </w:p>
    <w:p>
      <w:pPr>
        <w:spacing w:after="120" w:line="240" w:lineRule="auto"/>
        <w:jc w:val="both"/>
        <w:rPr>
          <w:rFonts w:ascii="Times New Roman" w:hAnsi="Times New Roman"/>
          <w:noProof/>
          <w:sz w:val="24"/>
          <w:szCs w:val="24"/>
        </w:rPr>
      </w:pPr>
      <w:r>
        <w:rPr>
          <w:rFonts w:ascii="Times New Roman" w:hAnsi="Times New Roman"/>
          <w:noProof/>
          <w:sz w:val="24"/>
        </w:rPr>
        <w:t>В този контекст през септември и октомври 2015 г. беше набрана обща сума в размер на 5 млрд. евро на три транша с падеж 8, 14 и 20 години, за да се удължи срокът на падеж на заема за Ирландия от 5 млрд. евро, дължим на 4 декември 2015 г. Към 31 декември 2015 г. настоящият среден матуритет на неизплатените заеми за Ирландия е 15,4 години.</w:t>
      </w:r>
    </w:p>
    <w:p>
      <w:pPr>
        <w:spacing w:after="120" w:line="240" w:lineRule="auto"/>
        <w:jc w:val="both"/>
        <w:rPr>
          <w:rFonts w:ascii="Times New Roman" w:hAnsi="Times New Roman"/>
          <w:noProof/>
          <w:sz w:val="24"/>
          <w:szCs w:val="24"/>
        </w:rPr>
      </w:pPr>
      <w:r>
        <w:rPr>
          <w:rFonts w:ascii="Times New Roman" w:hAnsi="Times New Roman"/>
          <w:noProof/>
          <w:sz w:val="24"/>
        </w:rPr>
        <w:t>Освен това на Гърция</w:t>
      </w:r>
      <w:r>
        <w:rPr>
          <w:rStyle w:val="FootnoteReference"/>
          <w:rFonts w:ascii="Times New Roman" w:hAnsi="Times New Roman"/>
          <w:noProof/>
          <w:sz w:val="24"/>
        </w:rPr>
        <w:footnoteReference w:id="10"/>
      </w:r>
      <w:r>
        <w:rPr>
          <w:rFonts w:ascii="Times New Roman" w:hAnsi="Times New Roman"/>
          <w:noProof/>
          <w:sz w:val="24"/>
        </w:rPr>
        <w:t xml:space="preserve"> беше финансиран и предоставен мостов заем в размер на 7,16 млрд. евро за срок от един месец от 20 юли до 20 август 2015 г. Този заем беше напълно изплатен.</w:t>
      </w:r>
    </w:p>
    <w:p>
      <w:pPr>
        <w:spacing w:after="120" w:line="240" w:lineRule="auto"/>
        <w:jc w:val="both"/>
        <w:rPr>
          <w:rFonts w:ascii="Times New Roman" w:hAnsi="Times New Roman"/>
          <w:noProof/>
          <w:sz w:val="24"/>
          <w:szCs w:val="24"/>
        </w:rPr>
      </w:pPr>
      <w:r>
        <w:rPr>
          <w:rFonts w:ascii="Times New Roman" w:hAnsi="Times New Roman"/>
          <w:noProof/>
          <w:sz w:val="24"/>
        </w:rPr>
        <w:t>В края на 2015 г. общият размер на непогасените суми по ЕМФС е 46,8 млрд. евро (Ирландия 22,5 млрд. евро, Португалия 24,3 млрд. евро).</w:t>
      </w:r>
    </w:p>
    <w:p>
      <w:pPr>
        <w:spacing w:after="240" w:line="240" w:lineRule="auto"/>
        <w:jc w:val="both"/>
        <w:rPr>
          <w:rFonts w:ascii="Times New Roman" w:eastAsia="Times New Roman" w:hAnsi="Times New Roman"/>
          <w:noProof/>
          <w:sz w:val="24"/>
          <w:szCs w:val="20"/>
        </w:rPr>
      </w:pPr>
      <w:r>
        <w:rPr>
          <w:rFonts w:ascii="Times New Roman" w:hAnsi="Times New Roman"/>
          <w:noProof/>
          <w:sz w:val="24"/>
        </w:rPr>
        <w:t xml:space="preserve">Следната таблица предоставя информация за развитието на заемите, задействани по линия на механизма ЕМФС, към 31 декември 2015 г. </w:t>
      </w:r>
    </w:p>
    <w:p>
      <w:pPr>
        <w:spacing w:after="240" w:line="240" w:lineRule="auto"/>
        <w:jc w:val="both"/>
        <w:rPr>
          <w:rFonts w:ascii="Times New Roman" w:hAnsi="Times New Roman"/>
          <w:noProof/>
          <w:sz w:val="24"/>
          <w:szCs w:val="24"/>
        </w:rPr>
      </w:pPr>
      <w:r>
        <w:rPr>
          <w:rFonts w:ascii="Times New Roman" w:hAnsi="Times New Roman"/>
          <w:noProof/>
          <w:sz w:val="24"/>
          <w:u w:val="single"/>
        </w:rPr>
        <w:t>Таблица 3: ЕМФС до 31.12.2015 г. (размер на главниците в млрд. евро)</w:t>
      </w:r>
      <w:r>
        <w:rPr>
          <w:rFonts w:ascii="Times New Roman" w:hAnsi="Times New Roman"/>
          <w:noProof/>
          <w:sz w:val="24"/>
        </w:rPr>
        <w:t> </w:t>
      </w:r>
    </w:p>
    <w:tbl>
      <w:tblPr>
        <w:tblW w:w="9136" w:type="dxa"/>
        <w:jc w:val="center"/>
        <w:tblLook w:val="0000" w:firstRow="0" w:lastRow="0" w:firstColumn="0" w:lastColumn="0" w:noHBand="0" w:noVBand="0"/>
      </w:tblPr>
      <w:tblGrid>
        <w:gridCol w:w="1819"/>
        <w:gridCol w:w="1216"/>
        <w:gridCol w:w="1418"/>
        <w:gridCol w:w="1617"/>
        <w:gridCol w:w="1383"/>
        <w:gridCol w:w="1683"/>
      </w:tblGrid>
      <w:tr>
        <w:trPr>
          <w:trHeight w:val="948"/>
          <w:jc w:val="center"/>
        </w:trPr>
        <w:tc>
          <w:tcPr>
            <w:tcW w:w="1819"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Държава</w:t>
            </w:r>
          </w:p>
        </w:tc>
        <w:tc>
          <w:tcPr>
            <w:tcW w:w="1190" w:type="dxa"/>
            <w:tcBorders>
              <w:top w:val="single" w:sz="4" w:space="0" w:color="auto"/>
              <w:left w:val="nil"/>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Одобрена сума</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Преведена сума</w:t>
            </w:r>
          </w:p>
        </w:tc>
        <w:tc>
          <w:tcPr>
            <w:tcW w:w="1296" w:type="dxa"/>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hAnsi="Times New Roman"/>
                <w:noProof/>
                <w:sz w:val="24"/>
                <w:szCs w:val="24"/>
              </w:rPr>
            </w:pPr>
            <w:r>
              <w:rPr>
                <w:rFonts w:ascii="Times New Roman" w:hAnsi="Times New Roman"/>
                <w:noProof/>
                <w:sz w:val="24"/>
              </w:rPr>
              <w:t>Възстановена сума</w:t>
            </w:r>
          </w:p>
        </w:tc>
        <w:tc>
          <w:tcPr>
            <w:tcW w:w="146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Непогасена сума</w:t>
            </w:r>
          </w:p>
        </w:tc>
        <w:tc>
          <w:tcPr>
            <w:tcW w:w="1944"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Средно претеглен матуритет (години)</w:t>
            </w:r>
          </w:p>
        </w:tc>
      </w:tr>
      <w:tr>
        <w:trPr>
          <w:trHeight w:val="309"/>
          <w:jc w:val="center"/>
        </w:trPr>
        <w:tc>
          <w:tcPr>
            <w:tcW w:w="1819" w:type="dxa"/>
            <w:tcBorders>
              <w:top w:val="single" w:sz="4" w:space="0" w:color="auto"/>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Гърция</w:t>
            </w:r>
          </w:p>
        </w:tc>
        <w:tc>
          <w:tcPr>
            <w:tcW w:w="1190"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7.16</w:t>
            </w:r>
          </w:p>
        </w:tc>
        <w:tc>
          <w:tcPr>
            <w:tcW w:w="1418"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7.16</w:t>
            </w:r>
          </w:p>
        </w:tc>
        <w:tc>
          <w:tcPr>
            <w:tcW w:w="1296"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7.16</w:t>
            </w:r>
          </w:p>
        </w:tc>
        <w:tc>
          <w:tcPr>
            <w:tcW w:w="1469"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944" w:type="dxa"/>
            <w:tcBorders>
              <w:top w:val="single" w:sz="4" w:space="0" w:color="auto"/>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309"/>
          <w:jc w:val="center"/>
        </w:trPr>
        <w:tc>
          <w:tcPr>
            <w:tcW w:w="1819" w:type="dxa"/>
            <w:tcBorders>
              <w:left w:val="single" w:sz="4" w:space="0" w:color="auto"/>
              <w:bottom w:val="nil"/>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Ирландия</w:t>
            </w:r>
          </w:p>
        </w:tc>
        <w:tc>
          <w:tcPr>
            <w:tcW w:w="1190" w:type="dxa"/>
            <w:tcBorders>
              <w:left w:val="nil"/>
              <w:bottom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22.50</w:t>
            </w:r>
          </w:p>
        </w:tc>
        <w:tc>
          <w:tcPr>
            <w:tcW w:w="1418" w:type="dxa"/>
            <w:tcBorders>
              <w:left w:val="nil"/>
              <w:bottom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22.50</w:t>
            </w:r>
          </w:p>
        </w:tc>
        <w:tc>
          <w:tcPr>
            <w:tcW w:w="1296" w:type="dxa"/>
            <w:tcBorders>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69" w:type="dxa"/>
            <w:tcBorders>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22.5</w:t>
            </w:r>
          </w:p>
        </w:tc>
        <w:tc>
          <w:tcPr>
            <w:tcW w:w="1944" w:type="dxa"/>
            <w:tcBorders>
              <w:left w:val="single" w:sz="4" w:space="0" w:color="auto"/>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15.4</w:t>
            </w:r>
          </w:p>
        </w:tc>
      </w:tr>
      <w:tr>
        <w:trPr>
          <w:trHeight w:val="68"/>
          <w:jc w:val="center"/>
        </w:trPr>
        <w:tc>
          <w:tcPr>
            <w:tcW w:w="1819"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Португалия</w:t>
            </w:r>
          </w:p>
        </w:tc>
        <w:tc>
          <w:tcPr>
            <w:tcW w:w="1190" w:type="dxa"/>
            <w:tcBorders>
              <w:top w:val="nil"/>
              <w:left w:val="nil"/>
              <w:bottom w:val="single" w:sz="4" w:space="0" w:color="auto"/>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26.00</w:t>
            </w:r>
          </w:p>
        </w:tc>
        <w:tc>
          <w:tcPr>
            <w:tcW w:w="1418"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24.30</w:t>
            </w:r>
          </w:p>
        </w:tc>
        <w:tc>
          <w:tcPr>
            <w:tcW w:w="1296"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6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24.3</w:t>
            </w:r>
          </w:p>
        </w:tc>
        <w:tc>
          <w:tcPr>
            <w:tcW w:w="1944"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12.3</w:t>
            </w:r>
          </w:p>
        </w:tc>
      </w:tr>
      <w:tr>
        <w:trPr>
          <w:trHeight w:val="58"/>
          <w:jc w:val="center"/>
        </w:trPr>
        <w:tc>
          <w:tcPr>
            <w:tcW w:w="1819"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Общо</w:t>
            </w:r>
          </w:p>
        </w:tc>
        <w:tc>
          <w:tcPr>
            <w:tcW w:w="1190" w:type="dxa"/>
            <w:tcBorders>
              <w:top w:val="single" w:sz="4" w:space="0" w:color="auto"/>
              <w:left w:val="single" w:sz="4" w:space="0" w:color="auto"/>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55.66</w:t>
            </w:r>
          </w:p>
        </w:tc>
        <w:tc>
          <w:tcPr>
            <w:tcW w:w="1418"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53.96</w:t>
            </w:r>
          </w:p>
        </w:tc>
        <w:tc>
          <w:tcPr>
            <w:tcW w:w="1296"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7.16</w:t>
            </w:r>
          </w:p>
        </w:tc>
        <w:tc>
          <w:tcPr>
            <w:tcW w:w="146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46.8</w:t>
            </w:r>
          </w:p>
        </w:tc>
        <w:tc>
          <w:tcPr>
            <w:tcW w:w="1944"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13.8</w:t>
            </w:r>
          </w:p>
        </w:tc>
      </w:tr>
    </w:tbl>
    <w:p>
      <w:pPr>
        <w:spacing w:after="120" w:line="240" w:lineRule="auto"/>
        <w:jc w:val="both"/>
        <w:rPr>
          <w:rFonts w:ascii="Times New Roman" w:hAnsi="Times New Roman"/>
          <w:noProof/>
          <w:sz w:val="24"/>
          <w:szCs w:val="24"/>
        </w:rPr>
      </w:pPr>
    </w:p>
    <w:p>
      <w:pPr>
        <w:pStyle w:val="ManualHeading2"/>
        <w:spacing w:before="240" w:after="240"/>
        <w:ind w:left="851" w:hanging="851"/>
        <w:rPr>
          <w:noProof/>
        </w:rPr>
      </w:pPr>
      <w:bookmarkStart w:id="53" w:name="_Toc325641141"/>
      <w:bookmarkStart w:id="54" w:name="_Toc330157543"/>
      <w:bookmarkStart w:id="55" w:name="_Toc361393255"/>
      <w:bookmarkStart w:id="56" w:name="_Toc388883943"/>
      <w:bookmarkStart w:id="57" w:name="_Toc393808495"/>
      <w:bookmarkStart w:id="58" w:name="_Toc451257931"/>
      <w:bookmarkStart w:id="59" w:name="_Toc452723865"/>
      <w:r>
        <w:rPr>
          <w:noProof/>
        </w:rPr>
        <w:t>2.3.</w:t>
      </w:r>
      <w:r>
        <w:rPr>
          <w:noProof/>
        </w:rPr>
        <w:tab/>
      </w:r>
      <w:bookmarkEnd w:id="53"/>
      <w:bookmarkEnd w:id="54"/>
      <w:bookmarkEnd w:id="55"/>
      <w:bookmarkEnd w:id="56"/>
      <w:bookmarkEnd w:id="57"/>
      <w:r>
        <w:rPr>
          <w:noProof/>
        </w:rPr>
        <w:t>Макрофинансова помощ</w:t>
      </w:r>
      <w:bookmarkEnd w:id="58"/>
      <w:bookmarkEnd w:id="59"/>
    </w:p>
    <w:p>
      <w:pPr>
        <w:spacing w:after="120" w:line="240" w:lineRule="auto"/>
        <w:jc w:val="both"/>
        <w:rPr>
          <w:rFonts w:ascii="Times New Roman" w:hAnsi="Times New Roman"/>
          <w:noProof/>
          <w:sz w:val="24"/>
          <w:szCs w:val="24"/>
        </w:rPr>
      </w:pPr>
      <w:r>
        <w:rPr>
          <w:rFonts w:ascii="Times New Roman" w:hAnsi="Times New Roman"/>
          <w:noProof/>
          <w:sz w:val="24"/>
        </w:rPr>
        <w:t>Макрофинансовата помощ (МФП) е предназначена за извънредни нужди от външно финансиране на страните, които са в географска, икономическа и политическа близост до ЕС. Целта на помощта е да се възстанови макроикономическата и финансовата стабилност в държавите кандидатки, държавите потенциални кандидатки и съседните на ЕС държави (и при изключителни обстоятелства — други трети държави), като същевременно се насърчава прилагането на макроикономически и структурни реформи. МФП се предоставя извънредно и временно и се отпуска на траншове въз основа на строги изисквания по отношение на икономическата политика. МФП допълва и зависи от наличието на подкрепяни от МВФ програми за макроикономически корекции. МФП може да се отпуска под формата на заеми и/или, при определени обстоятелства, под формата на безвъзмездни средства</w:t>
      </w:r>
      <w:r>
        <w:rPr>
          <w:rStyle w:val="FootnoteReference"/>
          <w:rFonts w:ascii="Times New Roman" w:hAnsi="Times New Roman"/>
          <w:noProof/>
          <w:sz w:val="24"/>
        </w:rPr>
        <w:footnoteReference w:id="11"/>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Ако държава получател не изпълни задълженията си, Комисията може да прибегне до Гаранционния фонд за външни дейности</w:t>
      </w:r>
      <w:r>
        <w:rPr>
          <w:rStyle w:val="FootnoteReference"/>
          <w:rFonts w:ascii="Times New Roman" w:hAnsi="Times New Roman"/>
          <w:noProof/>
          <w:sz w:val="24"/>
        </w:rPr>
        <w:footnoteReference w:id="12"/>
      </w:r>
      <w:r>
        <w:rPr>
          <w:rFonts w:ascii="Times New Roman" w:hAnsi="Times New Roman"/>
          <w:noProof/>
          <w:sz w:val="24"/>
        </w:rPr>
        <w:t>, така че да се погаси съответният отпуснат от Комисията заем</w:t>
      </w:r>
      <w:r>
        <w:rPr>
          <w:rStyle w:val="FootnoteReference"/>
          <w:rFonts w:ascii="Times New Roman" w:hAnsi="Times New Roman"/>
          <w:noProof/>
          <w:sz w:val="24"/>
        </w:rPr>
        <w:footnoteReference w:id="13"/>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През януари 2015 г. Комисията предложи трета програма за МФП за </w:t>
      </w:r>
      <w:r>
        <w:rPr>
          <w:rFonts w:ascii="Times New Roman" w:hAnsi="Times New Roman"/>
          <w:b/>
          <w:noProof/>
          <w:sz w:val="24"/>
        </w:rPr>
        <w:t xml:space="preserve">Украйна </w:t>
      </w:r>
      <w:r>
        <w:rPr>
          <w:rFonts w:ascii="Times New Roman" w:hAnsi="Times New Roman"/>
          <w:noProof/>
          <w:sz w:val="24"/>
        </w:rPr>
        <w:t>в размер до 1,8 млрд. евро под формата на заеми, която беше приета от Парламента и Съвета на 15 април 2015 г.</w:t>
      </w:r>
      <w:r>
        <w:rPr>
          <w:rStyle w:val="FootnoteReference"/>
          <w:rFonts w:ascii="Times New Roman" w:hAnsi="Times New Roman"/>
          <w:noProof/>
          <w:sz w:val="24"/>
        </w:rPr>
        <w:footnoteReference w:id="14"/>
      </w:r>
      <w:r>
        <w:rPr>
          <w:rFonts w:ascii="Times New Roman" w:hAnsi="Times New Roman"/>
          <w:noProof/>
          <w:sz w:val="24"/>
        </w:rPr>
        <w:t xml:space="preserve"> Съответното споразумение за заем бе подписано на 22 май 2015 г. След като бъдат изцяло изплатени, трите операции в Украйна ще възлизат на 3,41 млрд. евро (заедно с двете предишни програми), което представлява най-голямата финансова помощ, предоставяна от ЕС на трета държава за толкова кратко време. Първият транш (в размер на 600 млн. евро) от третата програма за МФП за Украйна бе изплатен през юли 2015 г. Изплащането на втория транш (също в размер на 600 млн. евро), първоначално предвидено през 2015 г., беше отложено поради бавния напредък по редица мерки за реформа.</w:t>
      </w:r>
    </w:p>
    <w:p>
      <w:pPr>
        <w:spacing w:after="120" w:line="240" w:lineRule="auto"/>
        <w:jc w:val="both"/>
        <w:rPr>
          <w:rFonts w:ascii="Times New Roman" w:hAnsi="Times New Roman"/>
          <w:noProof/>
          <w:sz w:val="24"/>
          <w:szCs w:val="24"/>
        </w:rPr>
      </w:pPr>
      <w:r>
        <w:rPr>
          <w:rFonts w:ascii="Times New Roman" w:hAnsi="Times New Roman"/>
          <w:noProof/>
          <w:sz w:val="24"/>
        </w:rPr>
        <w:t>Последният транш (250 млн. евро) от първата програма за МФП за Украйна, основаваща се на решенията от 2002 г.</w:t>
      </w:r>
      <w:r>
        <w:rPr>
          <w:rFonts w:ascii="Times New Roman" w:hAnsi="Times New Roman"/>
          <w:noProof/>
          <w:sz w:val="24"/>
          <w:vertAlign w:val="superscript"/>
        </w:rPr>
        <w:footnoteReference w:id="15"/>
      </w:r>
      <w:r>
        <w:rPr>
          <w:rFonts w:ascii="Times New Roman" w:hAnsi="Times New Roman"/>
          <w:noProof/>
          <w:sz w:val="24"/>
        </w:rPr>
        <w:t xml:space="preserve"> и 2010 г.</w:t>
      </w:r>
      <w:r>
        <w:rPr>
          <w:rFonts w:ascii="Times New Roman" w:hAnsi="Times New Roman"/>
          <w:noProof/>
          <w:sz w:val="24"/>
          <w:vertAlign w:val="superscript"/>
        </w:rPr>
        <w:footnoteReference w:id="16"/>
      </w:r>
      <w:r>
        <w:rPr>
          <w:rFonts w:ascii="Times New Roman" w:hAnsi="Times New Roman"/>
          <w:noProof/>
          <w:sz w:val="24"/>
        </w:rPr>
        <w:t>, бе изплатен през април 2015 г.</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15 май 2014 г. Европейският парламент и Съветът решиха да предоставят МФП на </w:t>
      </w:r>
      <w:r>
        <w:rPr>
          <w:rFonts w:ascii="Times New Roman" w:hAnsi="Times New Roman"/>
          <w:b/>
          <w:noProof/>
          <w:sz w:val="24"/>
        </w:rPr>
        <w:t>Тунис</w:t>
      </w:r>
      <w:r>
        <w:rPr>
          <w:rFonts w:ascii="Times New Roman" w:hAnsi="Times New Roman"/>
          <w:noProof/>
          <w:sz w:val="24"/>
        </w:rPr>
        <w:t xml:space="preserve"> с максимален размер 300 млн. евро изцяло под формата на заеми с максимален матуритет от 15 години</w:t>
      </w:r>
      <w:r>
        <w:rPr>
          <w:rStyle w:val="FootnoteReference"/>
          <w:rFonts w:ascii="Times New Roman" w:hAnsi="Times New Roman"/>
          <w:noProof/>
          <w:sz w:val="24"/>
        </w:rPr>
        <w:footnoteReference w:id="17"/>
      </w:r>
      <w:r>
        <w:rPr>
          <w:rFonts w:ascii="Times New Roman" w:hAnsi="Times New Roman"/>
          <w:noProof/>
          <w:sz w:val="24"/>
        </w:rPr>
        <w:t>. Първият транш (100 млн. евро) бе изплатен през май 2015 г., а вторият транш (100 млн. евро) — през декември 2015 г.</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11 декември 2013 г. Европейският парламент и Съветът решиха да предоставят МФП на </w:t>
      </w:r>
      <w:r>
        <w:rPr>
          <w:rFonts w:ascii="Times New Roman" w:hAnsi="Times New Roman"/>
          <w:b/>
          <w:noProof/>
          <w:sz w:val="24"/>
        </w:rPr>
        <w:t xml:space="preserve">Йордания </w:t>
      </w:r>
      <w:r>
        <w:rPr>
          <w:rFonts w:ascii="Times New Roman" w:hAnsi="Times New Roman"/>
          <w:noProof/>
          <w:sz w:val="24"/>
        </w:rPr>
        <w:t>под формата на заеми с максимален размер 180 милиона евро</w:t>
      </w:r>
      <w:r>
        <w:rPr>
          <w:rStyle w:val="FootnoteReference"/>
          <w:rFonts w:ascii="Times New Roman" w:hAnsi="Times New Roman"/>
          <w:noProof/>
          <w:sz w:val="24"/>
        </w:rPr>
        <w:footnoteReference w:id="18"/>
      </w:r>
      <w:r>
        <w:rPr>
          <w:rFonts w:ascii="Times New Roman" w:hAnsi="Times New Roman"/>
          <w:noProof/>
          <w:sz w:val="24"/>
        </w:rPr>
        <w:t>. Първият транш (100 млн. евро) бе изплатен през февруари 2015 г., а вторият и последен транш (80 млн. евро) — през октомври 2015 г.</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12 август 2013 г. Европейският парламент и Съветът решиха да предоставят МФП на </w:t>
      </w:r>
      <w:r>
        <w:rPr>
          <w:rFonts w:ascii="Times New Roman" w:hAnsi="Times New Roman"/>
          <w:b/>
          <w:noProof/>
          <w:sz w:val="24"/>
        </w:rPr>
        <w:t>Грузия</w:t>
      </w:r>
      <w:r>
        <w:rPr>
          <w:rFonts w:ascii="Times New Roman" w:hAnsi="Times New Roman"/>
          <w:noProof/>
          <w:sz w:val="24"/>
        </w:rPr>
        <w:t xml:space="preserve"> с максимален размер 46 млн. евро (до 23 млн. евро под формата на безвъзмездни средства и до още 23 млн. евро — под формата на заеми</w:t>
      </w:r>
      <w:r>
        <w:rPr>
          <w:rStyle w:val="FootnoteReference"/>
          <w:rFonts w:ascii="Times New Roman" w:hAnsi="Times New Roman"/>
          <w:noProof/>
          <w:sz w:val="24"/>
        </w:rPr>
        <w:footnoteReference w:id="19"/>
      </w:r>
      <w:r>
        <w:rPr>
          <w:rFonts w:ascii="Times New Roman" w:hAnsi="Times New Roman"/>
          <w:noProof/>
          <w:sz w:val="24"/>
        </w:rPr>
        <w:t>). Частта под формата на безвъзмездни средства от първия транш (13 млн. евро) беше изплатена през януари 2015 г., а частта под формата на заем (10 млн. евро) — през април 2015 г. Изплащането на втория транш безвъзмездни средства и заем, планирано за втората половина на 2015 г., беше отложено за 2016 г. след отлагането на втория преглед на програмата на МВФ.</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22 октомври 2013 г. Европейският парламент и Съветът решиха да предоставят МФП на </w:t>
      </w:r>
      <w:r>
        <w:rPr>
          <w:rFonts w:ascii="Times New Roman" w:hAnsi="Times New Roman"/>
          <w:b/>
          <w:noProof/>
          <w:sz w:val="24"/>
        </w:rPr>
        <w:t>Киргизката република</w:t>
      </w:r>
      <w:r>
        <w:rPr>
          <w:rFonts w:ascii="Times New Roman" w:hAnsi="Times New Roman"/>
          <w:noProof/>
          <w:sz w:val="24"/>
        </w:rPr>
        <w:t xml:space="preserve"> с максимален размер 30 млн. евро (до 15 млн. евро под формата на безвъзмездни средства и до още 15 млн. евро — под формата на заеми</w:t>
      </w:r>
      <w:r>
        <w:rPr>
          <w:rStyle w:val="FootnoteReference"/>
          <w:rFonts w:ascii="Times New Roman" w:hAnsi="Times New Roman"/>
          <w:noProof/>
          <w:sz w:val="24"/>
        </w:rPr>
        <w:footnoteReference w:id="20"/>
      </w:r>
      <w:r>
        <w:rPr>
          <w:rFonts w:ascii="Times New Roman" w:hAnsi="Times New Roman"/>
          <w:noProof/>
          <w:sz w:val="24"/>
        </w:rPr>
        <w:t>). Частта под формата на безвъзмездни средства от първия транш (10 млн. евро) беше изплатена през юни 2015 г., а първият транш от заема (5 млн. евро) — през октомври 2015 г.</w:t>
      </w:r>
    </w:p>
    <w:p>
      <w:pPr>
        <w:spacing w:after="240" w:line="240" w:lineRule="auto"/>
        <w:jc w:val="both"/>
        <w:rPr>
          <w:rFonts w:ascii="Times New Roman" w:hAnsi="Times New Roman"/>
          <w:noProof/>
          <w:sz w:val="24"/>
          <w:szCs w:val="24"/>
          <w:highlight w:val="yellow"/>
          <w:u w:val="single"/>
        </w:rPr>
      </w:pPr>
      <w:r>
        <w:rPr>
          <w:rFonts w:ascii="Times New Roman" w:hAnsi="Times New Roman"/>
          <w:noProof/>
          <w:sz w:val="24"/>
        </w:rPr>
        <w:t>Заедно с плащанията по отпуснатите заеми в размер на 1,245 млн. евро през 2015 г. общият размер на неизплатените МФП под формата на заеми към 31 декември 2015 г. възлиза на 3 млрд. евро (както е посочено в таблицата по-долу).</w:t>
      </w:r>
    </w:p>
    <w:p>
      <w:pPr>
        <w:spacing w:after="240" w:line="240" w:lineRule="auto"/>
        <w:jc w:val="both"/>
        <w:rPr>
          <w:rFonts w:ascii="Times New Roman" w:hAnsi="Times New Roman"/>
          <w:noProof/>
          <w:sz w:val="24"/>
          <w:szCs w:val="24"/>
        </w:rPr>
      </w:pPr>
      <w:r>
        <w:rPr>
          <w:rFonts w:ascii="Times New Roman" w:hAnsi="Times New Roman"/>
          <w:noProof/>
          <w:sz w:val="24"/>
          <w:u w:val="single"/>
        </w:rPr>
        <w:t>Таблица 4: МФП под формата на заеми до 31.12.2015 г. (размер на главниците в млн. евро)</w:t>
      </w:r>
      <w:r>
        <w:rPr>
          <w:rFonts w:ascii="Times New Roman" w:hAnsi="Times New Roman"/>
          <w:noProof/>
          <w:sz w:val="24"/>
        </w:rPr>
        <w:t> </w:t>
      </w:r>
    </w:p>
    <w:tbl>
      <w:tblPr>
        <w:tblW w:w="9322" w:type="dxa"/>
        <w:tblLayout w:type="fixed"/>
        <w:tblLook w:val="0000" w:firstRow="0" w:lastRow="0" w:firstColumn="0" w:lastColumn="0" w:noHBand="0" w:noVBand="0"/>
      </w:tblPr>
      <w:tblGrid>
        <w:gridCol w:w="2235"/>
        <w:gridCol w:w="1701"/>
        <w:gridCol w:w="1559"/>
        <w:gridCol w:w="2268"/>
        <w:gridCol w:w="1559"/>
      </w:tblGrid>
      <w:tr>
        <w:trPr>
          <w:trHeight w:val="948"/>
        </w:trPr>
        <w:tc>
          <w:tcPr>
            <w:tcW w:w="2235"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jc w:val="center"/>
              <w:rPr>
                <w:rFonts w:ascii="Times New Roman" w:hAnsi="Times New Roman"/>
                <w:noProof/>
                <w:sz w:val="24"/>
                <w:szCs w:val="24"/>
              </w:rPr>
            </w:pPr>
            <w:r>
              <w:rPr>
                <w:rFonts w:ascii="Times New Roman" w:hAnsi="Times New Roman"/>
                <w:noProof/>
                <w:sz w:val="24"/>
              </w:rPr>
              <w:t>Държава</w:t>
            </w:r>
          </w:p>
        </w:tc>
        <w:tc>
          <w:tcPr>
            <w:tcW w:w="1701"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jc w:val="center"/>
              <w:rPr>
                <w:rFonts w:ascii="Times New Roman" w:hAnsi="Times New Roman"/>
                <w:noProof/>
                <w:sz w:val="24"/>
                <w:szCs w:val="24"/>
              </w:rPr>
            </w:pPr>
            <w:r>
              <w:rPr>
                <w:rFonts w:ascii="Times New Roman" w:hAnsi="Times New Roman"/>
                <w:noProof/>
                <w:sz w:val="24"/>
              </w:rPr>
              <w:t>Изплатена сума през 2015 г.</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240" w:line="240" w:lineRule="auto"/>
              <w:jc w:val="center"/>
              <w:rPr>
                <w:rFonts w:ascii="Times New Roman" w:hAnsi="Times New Roman"/>
                <w:noProof/>
                <w:sz w:val="24"/>
                <w:szCs w:val="24"/>
              </w:rPr>
            </w:pPr>
            <w:r>
              <w:rPr>
                <w:rFonts w:ascii="Times New Roman" w:hAnsi="Times New Roman"/>
                <w:noProof/>
                <w:sz w:val="24"/>
              </w:rPr>
              <w:t>Възстановена сума през 2015 г.</w:t>
            </w:r>
          </w:p>
        </w:tc>
        <w:tc>
          <w:tcPr>
            <w:tcW w:w="2268"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jc w:val="center"/>
              <w:rPr>
                <w:rFonts w:ascii="Times New Roman" w:hAnsi="Times New Roman"/>
                <w:noProof/>
                <w:sz w:val="24"/>
                <w:szCs w:val="24"/>
              </w:rPr>
            </w:pPr>
            <w:r>
              <w:rPr>
                <w:rFonts w:ascii="Times New Roman" w:hAnsi="Times New Roman"/>
                <w:noProof/>
                <w:sz w:val="24"/>
              </w:rPr>
              <w:t>Непогасена сума към 31.12.2015 г.</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jc w:val="center"/>
              <w:rPr>
                <w:rFonts w:ascii="Times New Roman" w:hAnsi="Times New Roman"/>
                <w:noProof/>
                <w:sz w:val="24"/>
                <w:szCs w:val="24"/>
              </w:rPr>
            </w:pPr>
            <w:r>
              <w:rPr>
                <w:rFonts w:ascii="Times New Roman" w:hAnsi="Times New Roman"/>
                <w:noProof/>
                <w:sz w:val="24"/>
              </w:rPr>
              <w:t>Сума за плащане</w:t>
            </w:r>
          </w:p>
        </w:tc>
      </w:tr>
      <w:tr>
        <w:trPr>
          <w:trHeight w:val="309"/>
        </w:trPr>
        <w:tc>
          <w:tcPr>
            <w:tcW w:w="2235" w:type="dxa"/>
            <w:tcBorders>
              <w:top w:val="single" w:sz="4" w:space="0" w:color="auto"/>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Албания</w:t>
            </w:r>
          </w:p>
        </w:tc>
        <w:tc>
          <w:tcPr>
            <w:tcW w:w="1701"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9</w:t>
            </w:r>
          </w:p>
        </w:tc>
        <w:tc>
          <w:tcPr>
            <w:tcW w:w="1559" w:type="dxa"/>
            <w:tcBorders>
              <w:top w:val="single" w:sz="4" w:space="0" w:color="auto"/>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Армения</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65</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Босна и Херцеговина</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120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БЮРМ*</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Грузия</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13</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Йордания</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Киргизка република</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5</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Черна гора</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Сърбия</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52</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Тунис</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200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200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100</w:t>
            </w:r>
          </w:p>
        </w:tc>
      </w:tr>
      <w:tr>
        <w:trPr>
          <w:trHeight w:val="68"/>
        </w:trPr>
        <w:tc>
          <w:tcPr>
            <w:tcW w:w="2235"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Украйна</w:t>
            </w:r>
          </w:p>
        </w:tc>
        <w:tc>
          <w:tcPr>
            <w:tcW w:w="1701"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850</w:t>
            </w:r>
          </w:p>
        </w:tc>
        <w:tc>
          <w:tcPr>
            <w:tcW w:w="155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2 210</w:t>
            </w:r>
          </w:p>
        </w:tc>
        <w:tc>
          <w:tcPr>
            <w:tcW w:w="1559"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1 200</w:t>
            </w:r>
          </w:p>
        </w:tc>
      </w:tr>
      <w:tr>
        <w:trPr>
          <w:trHeight w:val="58"/>
        </w:trPr>
        <w:tc>
          <w:tcPr>
            <w:tcW w:w="2235"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Общо</w:t>
            </w:r>
          </w:p>
        </w:tc>
        <w:tc>
          <w:tcPr>
            <w:tcW w:w="1701"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1 245</w:t>
            </w:r>
          </w:p>
        </w:tc>
        <w:tc>
          <w:tcPr>
            <w:tcW w:w="155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67</w:t>
            </w:r>
          </w:p>
        </w:tc>
        <w:tc>
          <w:tcPr>
            <w:tcW w:w="2268"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3 007</w:t>
            </w:r>
          </w:p>
        </w:tc>
        <w:tc>
          <w:tcPr>
            <w:tcW w:w="1559"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1 323</w:t>
            </w:r>
          </w:p>
        </w:tc>
      </w:tr>
    </w:tbl>
    <w:p>
      <w:pPr>
        <w:spacing w:after="120" w:line="240" w:lineRule="auto"/>
        <w:jc w:val="both"/>
        <w:rPr>
          <w:rFonts w:ascii="Times New Roman" w:hAnsi="Times New Roman"/>
          <w:noProof/>
          <w:sz w:val="20"/>
          <w:szCs w:val="20"/>
        </w:rPr>
      </w:pPr>
      <w:r>
        <w:rPr>
          <w:rFonts w:ascii="Times New Roman" w:hAnsi="Times New Roman"/>
          <w:noProof/>
          <w:sz w:val="20"/>
        </w:rPr>
        <w:t>*бивша югославска република Македония</w:t>
      </w:r>
    </w:p>
    <w:p>
      <w:pPr>
        <w:pStyle w:val="ManualHeading2"/>
        <w:spacing w:before="240" w:after="240"/>
        <w:ind w:left="851" w:hanging="851"/>
        <w:rPr>
          <w:noProof/>
        </w:rPr>
      </w:pPr>
      <w:bookmarkStart w:id="60" w:name="_Toc325641143"/>
      <w:bookmarkStart w:id="61" w:name="_Toc330157545"/>
      <w:bookmarkStart w:id="62" w:name="_Toc361393256"/>
      <w:bookmarkStart w:id="63" w:name="_Toc388883944"/>
      <w:bookmarkStart w:id="64" w:name="_Toc393808496"/>
      <w:bookmarkStart w:id="65" w:name="_Toc451257932"/>
      <w:bookmarkStart w:id="66" w:name="_Toc452723866"/>
      <w:r>
        <w:rPr>
          <w:noProof/>
        </w:rPr>
        <w:t>2.4.</w:t>
      </w:r>
      <w:r>
        <w:rPr>
          <w:noProof/>
        </w:rPr>
        <w:tab/>
        <w:t>Механизъм за отпускане на заеми от Евратом</w:t>
      </w:r>
      <w:bookmarkEnd w:id="60"/>
      <w:bookmarkEnd w:id="61"/>
      <w:bookmarkEnd w:id="62"/>
      <w:bookmarkEnd w:id="63"/>
      <w:bookmarkEnd w:id="64"/>
      <w:bookmarkEnd w:id="65"/>
      <w:bookmarkEnd w:id="66"/>
    </w:p>
    <w:p>
      <w:pPr>
        <w:spacing w:after="120" w:line="240" w:lineRule="auto"/>
        <w:jc w:val="both"/>
        <w:rPr>
          <w:rFonts w:ascii="Times New Roman" w:hAnsi="Times New Roman"/>
          <w:noProof/>
          <w:sz w:val="24"/>
          <w:szCs w:val="24"/>
        </w:rPr>
      </w:pPr>
      <w:r>
        <w:rPr>
          <w:rFonts w:ascii="Times New Roman" w:hAnsi="Times New Roman"/>
          <w:noProof/>
          <w:sz w:val="24"/>
        </w:rPr>
        <w:t xml:space="preserve">Механизмът за отпускане на заеми от Евратом може да се използва за финансиране на проекти в държавите членки (Решение 77/270/Евратом на Съвета) или в някои трети държави — Украйна, Русия или Армения (Решение 94/179/Евратом на Съвета). </w:t>
      </w:r>
    </w:p>
    <w:p>
      <w:pPr>
        <w:spacing w:after="120" w:line="240" w:lineRule="auto"/>
        <w:jc w:val="both"/>
        <w:rPr>
          <w:rFonts w:ascii="Times New Roman" w:hAnsi="Times New Roman"/>
          <w:noProof/>
          <w:sz w:val="24"/>
          <w:szCs w:val="24"/>
        </w:rPr>
      </w:pPr>
      <w:r>
        <w:rPr>
          <w:rFonts w:ascii="Times New Roman" w:hAnsi="Times New Roman"/>
          <w:noProof/>
          <w:sz w:val="24"/>
        </w:rPr>
        <w:t>През 1990 г. Съветът определи максимална граница от 4 млрд. евро за вземане на заеми. От тях са одобрени около 3,7 млрд. евро и са изплатени 3,4 млрд. евро. В съответствие с решението на Съвета за максималната граница на заемите (Решение 77/271/Евратом, с последното му изменение) когато одобреният размер достигне 3,8 млрд. евро, Комисията следва да информира Съвета и, ако е целесъобразно, да предложи нова максимална граница.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В подкрепа на програмата на Украйна за повишаване на безопасността на атомните електроцентрали през 2013 г. Комисията прие Решение C(2013) 3496 за предоставяне на страната на заем по Евратом в размер до 300 млн. евро. Споразумението за заем бе подписано на 7 август 2013 г. Успоредно с това през март 2013 г. бе подписано подобно споразумение за заем от ЕБВР в размер на 300 млн. евро.</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След като всички предварителни условия за първоначалната наличност на заема бяха успешно изпълнени, на 27 май 2015 г. беше прието решение на Комисията за разрешаване на освобождаване на сума в размер до 100 млн. евро.</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Поради закъснение в изпълнението обаче не са извършвани плащания за Украйна в рамките на механизма за отпускане на заеми от Евратом. </w:t>
      </w:r>
    </w:p>
    <w:p>
      <w:pPr>
        <w:pStyle w:val="ManualHeading1"/>
        <w:spacing w:after="240"/>
        <w:ind w:left="851" w:hanging="851"/>
        <w:rPr>
          <w:noProof/>
        </w:rPr>
      </w:pPr>
      <w:bookmarkStart w:id="67" w:name="_Toc325641145"/>
      <w:bookmarkStart w:id="68" w:name="_Toc330157547"/>
      <w:bookmarkStart w:id="69" w:name="_Toc361393257"/>
      <w:bookmarkStart w:id="70" w:name="_Toc388883945"/>
      <w:bookmarkStart w:id="71" w:name="_Toc393808497"/>
      <w:bookmarkStart w:id="72" w:name="_Toc451257933"/>
      <w:bookmarkStart w:id="73" w:name="_Toc452723867"/>
      <w:r>
        <w:rPr>
          <w:noProof/>
        </w:rPr>
        <w:t>3.</w:t>
      </w:r>
      <w:r>
        <w:rPr>
          <w:noProof/>
        </w:rPr>
        <w:tab/>
        <w:t>Операции на Европейския съюз по вземане на заеми</w:t>
      </w:r>
      <w:bookmarkEnd w:id="67"/>
      <w:bookmarkEnd w:id="68"/>
      <w:bookmarkEnd w:id="69"/>
      <w:bookmarkEnd w:id="70"/>
      <w:bookmarkEnd w:id="71"/>
      <w:bookmarkEnd w:id="72"/>
      <w:bookmarkEnd w:id="73"/>
    </w:p>
    <w:p>
      <w:pPr>
        <w:spacing w:after="240" w:line="240" w:lineRule="auto"/>
        <w:jc w:val="both"/>
        <w:rPr>
          <w:rFonts w:ascii="Times New Roman" w:hAnsi="Times New Roman"/>
          <w:noProof/>
          <w:sz w:val="24"/>
          <w:szCs w:val="24"/>
        </w:rPr>
      </w:pPr>
      <w:r>
        <w:rPr>
          <w:rFonts w:ascii="Times New Roman" w:hAnsi="Times New Roman"/>
          <w:noProof/>
          <w:sz w:val="24"/>
        </w:rPr>
        <w:t>С цел да се финансират отпусканите заеми Комисията е оправомощена да заема средства на капиталовите пазари от името на Европейския съюз и Евратом. Вземането и отпускането на заеми се извършва под формата на операции от вида „back-to-back“ (със сходни условия), с което се гарантира, че бюджетът на ЕС не поема лихвен или валутен риск</w:t>
      </w:r>
      <w:r>
        <w:rPr>
          <w:rStyle w:val="FootnoteReference"/>
          <w:rFonts w:ascii="Times New Roman" w:hAnsi="Times New Roman"/>
          <w:noProof/>
          <w:sz w:val="24"/>
        </w:rPr>
        <w:footnoteReference w:id="21"/>
      </w:r>
      <w:r>
        <w:rPr>
          <w:rFonts w:ascii="Times New Roman" w:hAnsi="Times New Roman"/>
          <w:noProof/>
          <w:sz w:val="24"/>
        </w:rPr>
        <w:t>. На оставащите за изплащане задължения по получени заеми съответстват оставащите за събиране вземания по отпуснати такива.</w:t>
      </w:r>
    </w:p>
    <w:p>
      <w:pPr>
        <w:pStyle w:val="ManualHeading2"/>
        <w:spacing w:before="240" w:after="240"/>
        <w:ind w:left="851" w:hanging="851"/>
        <w:outlineLvl w:val="0"/>
        <w:rPr>
          <w:noProof/>
        </w:rPr>
      </w:pPr>
      <w:bookmarkStart w:id="74" w:name="_Toc325641146"/>
      <w:bookmarkStart w:id="75" w:name="_Toc330157548"/>
      <w:bookmarkStart w:id="76" w:name="_Toc361393258"/>
      <w:bookmarkStart w:id="77" w:name="_Toc388883946"/>
      <w:bookmarkStart w:id="78" w:name="_Toc393808498"/>
      <w:bookmarkStart w:id="79" w:name="_Toc451257934"/>
      <w:bookmarkStart w:id="80" w:name="_Toc452723868"/>
      <w:r>
        <w:rPr>
          <w:noProof/>
        </w:rPr>
        <w:t>3.1.</w:t>
      </w:r>
      <w:r>
        <w:rPr>
          <w:noProof/>
        </w:rPr>
        <w:tab/>
        <w:t>Механизъм за подкрепа на платежния</w:t>
      </w:r>
      <w:bookmarkEnd w:id="74"/>
      <w:bookmarkEnd w:id="75"/>
      <w:bookmarkEnd w:id="76"/>
      <w:bookmarkEnd w:id="77"/>
      <w:bookmarkEnd w:id="78"/>
      <w:r>
        <w:rPr>
          <w:noProof/>
        </w:rPr>
        <w:t xml:space="preserve"> баланс</w:t>
      </w:r>
      <w:bookmarkEnd w:id="79"/>
      <w:bookmarkEnd w:id="80"/>
    </w:p>
    <w:p>
      <w:pPr>
        <w:spacing w:after="120" w:line="240" w:lineRule="auto"/>
        <w:jc w:val="both"/>
        <w:rPr>
          <w:rFonts w:ascii="Times New Roman" w:hAnsi="Times New Roman"/>
          <w:noProof/>
          <w:sz w:val="24"/>
          <w:szCs w:val="24"/>
        </w:rPr>
      </w:pPr>
      <w:r>
        <w:rPr>
          <w:rFonts w:ascii="Times New Roman" w:hAnsi="Times New Roman"/>
          <w:noProof/>
          <w:sz w:val="24"/>
        </w:rPr>
        <w:t>През 2015 г. по линия на механизма за подкрепа на платежния баланс не са набирани средства от пазара. В края на 2015 г. общият размер на неизплатените средства по ПБ е 5,7 млрд. евро.</w:t>
      </w:r>
    </w:p>
    <w:p>
      <w:pPr>
        <w:pStyle w:val="ManualHeading2"/>
        <w:spacing w:before="240" w:after="240"/>
        <w:ind w:left="851" w:hanging="851"/>
        <w:outlineLvl w:val="0"/>
        <w:rPr>
          <w:noProof/>
        </w:rPr>
      </w:pPr>
      <w:bookmarkStart w:id="81" w:name="_Toc325641147"/>
      <w:bookmarkStart w:id="82" w:name="_Toc330157549"/>
      <w:bookmarkStart w:id="83" w:name="_Toc361393259"/>
      <w:bookmarkStart w:id="84" w:name="_Toc388883947"/>
      <w:bookmarkStart w:id="85" w:name="_Toc393808499"/>
      <w:r>
        <w:rPr>
          <w:noProof/>
        </w:rPr>
        <w:br w:type="page"/>
      </w:r>
      <w:bookmarkStart w:id="86" w:name="_Toc451257935"/>
      <w:bookmarkStart w:id="87" w:name="_Toc452723869"/>
      <w:r>
        <w:rPr>
          <w:noProof/>
        </w:rPr>
        <w:t>3.2.</w:t>
      </w:r>
      <w:r>
        <w:rPr>
          <w:noProof/>
        </w:rPr>
        <w:tab/>
        <w:t>Европейски механизъм за финансово стабилизиране</w:t>
      </w:r>
      <w:bookmarkEnd w:id="81"/>
      <w:bookmarkEnd w:id="82"/>
      <w:bookmarkEnd w:id="83"/>
      <w:bookmarkEnd w:id="84"/>
      <w:bookmarkEnd w:id="85"/>
      <w:bookmarkEnd w:id="86"/>
      <w:bookmarkEnd w:id="87"/>
    </w:p>
    <w:p>
      <w:pPr>
        <w:spacing w:after="120" w:line="240" w:lineRule="auto"/>
        <w:jc w:val="both"/>
        <w:rPr>
          <w:rFonts w:ascii="Times New Roman" w:hAnsi="Times New Roman"/>
          <w:noProof/>
          <w:sz w:val="24"/>
          <w:szCs w:val="24"/>
        </w:rPr>
      </w:pPr>
      <w:r>
        <w:rPr>
          <w:rFonts w:ascii="Times New Roman" w:hAnsi="Times New Roman"/>
          <w:noProof/>
          <w:sz w:val="24"/>
        </w:rPr>
        <w:t>Вследствие на искането на Ирландия за удължаване на матуритета на нейния заем от 5 млрд. евро по ЕМФС, дължим през декември 2015 г., ЕС емитира през септември и октомври 2015 г. три облигации с матуритет 8, 14 и 20 години за общо 5 млрд. евро, както е посочено в таблицата по-долу.</w:t>
      </w:r>
    </w:p>
    <w:p>
      <w:pPr>
        <w:spacing w:after="120" w:line="240" w:lineRule="auto"/>
        <w:jc w:val="both"/>
        <w:rPr>
          <w:rFonts w:ascii="Times New Roman" w:hAnsi="Times New Roman"/>
          <w:noProof/>
          <w:sz w:val="24"/>
          <w:szCs w:val="24"/>
        </w:rPr>
      </w:pPr>
      <w:r>
        <w:rPr>
          <w:rFonts w:ascii="Times New Roman" w:hAnsi="Times New Roman"/>
          <w:noProof/>
          <w:sz w:val="24"/>
        </w:rPr>
        <w:t>Търсенето на пазара на тези облигации, емитирани от ЕС, беше голямо, в резултат на което бяха записани облигации, надхвърлящи значително размера на емисията. Всички основни групи инвеститори, по-специално дългосрочните инвеститори (инвестиционни фондове, управители на активи, застрахователни и пенсионни фондове), както и официални институции, закупиха от тези облигации, емитирани от ЕС.</w:t>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u w:val="single"/>
        </w:rPr>
        <w:t>Таблица 5: Операции на ЕС по вземане на заеми за ЕМФС през 2015 г. (в млн. евро)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1416"/>
        <w:gridCol w:w="1984"/>
        <w:gridCol w:w="959"/>
      </w:tblGrid>
      <w:tr>
        <w:tc>
          <w:tcPr>
            <w:tcW w:w="2654"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Държава</w:t>
            </w:r>
          </w:p>
        </w:tc>
        <w:tc>
          <w:tcPr>
            <w:tcW w:w="762"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Дата на емисията</w:t>
            </w:r>
          </w:p>
        </w:tc>
        <w:tc>
          <w:tcPr>
            <w:tcW w:w="1068"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Падеж</w:t>
            </w:r>
          </w:p>
        </w:tc>
        <w:tc>
          <w:tcPr>
            <w:tcW w:w="516"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Размер</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Ирландия — 1-ви транш</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22/09/2015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04/10/2035</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2 000</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Ирландия — 2-ри транш</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01/10/2015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04/11/2023</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2 000</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Ирландия — 3-ти транш*</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15/10/2015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04/10/2029</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1 000</w:t>
            </w:r>
          </w:p>
        </w:tc>
      </w:tr>
      <w:tr>
        <w:trPr>
          <w:trHeight w:val="336"/>
        </w:trPr>
        <w:tc>
          <w:tcPr>
            <w:tcW w:w="2654" w:type="pct"/>
            <w:shd w:val="clear" w:color="auto" w:fill="auto"/>
          </w:tcPr>
          <w:p>
            <w:pPr>
              <w:spacing w:before="240" w:after="240" w:line="240" w:lineRule="auto"/>
              <w:jc w:val="both"/>
              <w:rPr>
                <w:rFonts w:ascii="Times New Roman" w:hAnsi="Times New Roman"/>
                <w:b/>
                <w:noProof/>
                <w:sz w:val="24"/>
                <w:szCs w:val="24"/>
              </w:rPr>
            </w:pPr>
            <w:r>
              <w:rPr>
                <w:rFonts w:ascii="Times New Roman" w:hAnsi="Times New Roman"/>
                <w:b/>
                <w:noProof/>
                <w:sz w:val="24"/>
              </w:rPr>
              <w:t>Общо</w:t>
            </w:r>
          </w:p>
        </w:tc>
        <w:tc>
          <w:tcPr>
            <w:tcW w:w="762" w:type="pct"/>
            <w:shd w:val="clear" w:color="auto" w:fill="auto"/>
          </w:tcPr>
          <w:p>
            <w:pPr>
              <w:spacing w:after="240" w:line="240" w:lineRule="auto"/>
              <w:jc w:val="both"/>
              <w:rPr>
                <w:rFonts w:ascii="Times New Roman" w:hAnsi="Times New Roman"/>
                <w:b/>
                <w:noProof/>
                <w:sz w:val="24"/>
                <w:szCs w:val="24"/>
              </w:rPr>
            </w:pPr>
          </w:p>
        </w:tc>
        <w:tc>
          <w:tcPr>
            <w:tcW w:w="1068" w:type="pct"/>
            <w:shd w:val="clear" w:color="auto" w:fill="auto"/>
          </w:tcPr>
          <w:p>
            <w:pPr>
              <w:spacing w:after="240" w:line="240" w:lineRule="auto"/>
              <w:jc w:val="both"/>
              <w:rPr>
                <w:rFonts w:ascii="Times New Roman" w:hAnsi="Times New Roman"/>
                <w:b/>
                <w:noProof/>
                <w:sz w:val="24"/>
                <w:szCs w:val="24"/>
              </w:rPr>
            </w:pPr>
          </w:p>
        </w:tc>
        <w:tc>
          <w:tcPr>
            <w:tcW w:w="516" w:type="pct"/>
            <w:shd w:val="clear" w:color="auto" w:fill="auto"/>
          </w:tcPr>
          <w:p>
            <w:pPr>
              <w:spacing w:before="240" w:after="240" w:line="240" w:lineRule="auto"/>
              <w:rPr>
                <w:rFonts w:ascii="Times New Roman" w:hAnsi="Times New Roman"/>
                <w:b/>
                <w:noProof/>
                <w:sz w:val="24"/>
                <w:szCs w:val="24"/>
              </w:rPr>
            </w:pPr>
            <w:r>
              <w:rPr>
                <w:rFonts w:ascii="Times New Roman" w:hAnsi="Times New Roman"/>
                <w:b/>
                <w:noProof/>
                <w:sz w:val="24"/>
              </w:rPr>
              <w:t>5 000</w:t>
            </w:r>
          </w:p>
        </w:tc>
      </w:tr>
    </w:tbl>
    <w:p>
      <w:pPr>
        <w:spacing w:after="240" w:line="240" w:lineRule="auto"/>
        <w:jc w:val="both"/>
        <w:rPr>
          <w:rFonts w:ascii="Times New Roman" w:hAnsi="Times New Roman"/>
          <w:noProof/>
          <w:sz w:val="20"/>
          <w:szCs w:val="20"/>
        </w:rPr>
      </w:pPr>
      <w:r>
        <w:rPr>
          <w:rFonts w:ascii="Times New Roman" w:hAnsi="Times New Roman"/>
          <w:noProof/>
          <w:sz w:val="20"/>
        </w:rPr>
        <w:t>*Заедно с 80 млн. евро МФП за Йордания и 5 млн. евро МФП за Киргизката република; (вж. точка 3.3 по-долу)</w:t>
      </w:r>
    </w:p>
    <w:p>
      <w:pPr>
        <w:pStyle w:val="ManualHeading2"/>
        <w:spacing w:before="480" w:after="240"/>
        <w:ind w:left="851" w:hanging="851"/>
        <w:outlineLvl w:val="0"/>
        <w:rPr>
          <w:noProof/>
        </w:rPr>
      </w:pPr>
      <w:bookmarkStart w:id="88" w:name="_Toc325641148"/>
      <w:bookmarkStart w:id="89" w:name="_Toc330157550"/>
      <w:bookmarkStart w:id="90" w:name="_Toc361393260"/>
      <w:bookmarkStart w:id="91" w:name="_Toc388883948"/>
      <w:bookmarkStart w:id="92" w:name="_Toc393808500"/>
      <w:bookmarkStart w:id="93" w:name="_Toc451257936"/>
      <w:bookmarkStart w:id="94" w:name="_Toc452723870"/>
      <w:r>
        <w:rPr>
          <w:noProof/>
        </w:rPr>
        <w:t>3.3.</w:t>
      </w:r>
      <w:r>
        <w:rPr>
          <w:noProof/>
        </w:rPr>
        <w:tab/>
        <w:t>Макрофинансова помощ</w:t>
      </w:r>
      <w:bookmarkEnd w:id="88"/>
      <w:bookmarkEnd w:id="89"/>
      <w:bookmarkEnd w:id="90"/>
      <w:bookmarkEnd w:id="91"/>
      <w:bookmarkEnd w:id="92"/>
      <w:bookmarkEnd w:id="93"/>
      <w:bookmarkEnd w:id="94"/>
    </w:p>
    <w:p>
      <w:pPr>
        <w:spacing w:after="120" w:line="240" w:lineRule="auto"/>
        <w:jc w:val="both"/>
        <w:rPr>
          <w:rFonts w:ascii="Times New Roman" w:hAnsi="Times New Roman"/>
          <w:noProof/>
          <w:sz w:val="24"/>
          <w:szCs w:val="24"/>
        </w:rPr>
      </w:pPr>
      <w:bookmarkStart w:id="95" w:name="_Toc325641149"/>
      <w:bookmarkStart w:id="96" w:name="_Toc330157551"/>
      <w:bookmarkStart w:id="97" w:name="_Toc361393261"/>
      <w:r>
        <w:rPr>
          <w:rFonts w:ascii="Times New Roman" w:hAnsi="Times New Roman"/>
          <w:noProof/>
          <w:sz w:val="24"/>
        </w:rPr>
        <w:t>През 2015 г. бяха успешно осъществени осем операции по вземане на заеми в общ размер на 1,245 млн. евро, както е показано в таблица 6.</w:t>
      </w:r>
    </w:p>
    <w:p>
      <w:pPr>
        <w:spacing w:after="120" w:line="240" w:lineRule="auto"/>
        <w:jc w:val="both"/>
        <w:rPr>
          <w:rFonts w:ascii="Times New Roman" w:hAnsi="Times New Roman"/>
          <w:noProof/>
          <w:sz w:val="24"/>
          <w:szCs w:val="24"/>
        </w:rPr>
      </w:pPr>
      <w:r>
        <w:rPr>
          <w:rFonts w:ascii="Times New Roman" w:hAnsi="Times New Roman"/>
          <w:noProof/>
          <w:sz w:val="24"/>
        </w:rPr>
        <w:t xml:space="preserve">На 3 февруари 2015 г. първият транш за Йордания в размер на 100 млн. евро беше финансиран чрез частна емисия ценни книжа. Трансакцията се основаваше на погасителна схема (5 обикновени облигации, наподобяващи погасителната схема на заема) и беше изплатена на 10 февруари 2015 г. </w:t>
      </w:r>
    </w:p>
    <w:p>
      <w:pPr>
        <w:spacing w:after="120" w:line="240" w:lineRule="auto"/>
        <w:jc w:val="both"/>
        <w:rPr>
          <w:rFonts w:ascii="Times New Roman" w:hAnsi="Times New Roman"/>
          <w:noProof/>
          <w:sz w:val="24"/>
          <w:szCs w:val="24"/>
        </w:rPr>
      </w:pPr>
      <w:r>
        <w:rPr>
          <w:rFonts w:ascii="Times New Roman" w:hAnsi="Times New Roman"/>
          <w:noProof/>
          <w:sz w:val="24"/>
        </w:rPr>
        <w:t>Въз основа на сходна схема с погасителен профил на 14 април 2015 г. беше набрана номинална сума от 260 млн. евро и на 21 април 2015 г. беше изплатена за заема за Украйна (250 млн. евро) и за заема за Грузия (10 млн. евро).</w:t>
      </w:r>
    </w:p>
    <w:p>
      <w:pPr>
        <w:spacing w:after="120" w:line="240" w:lineRule="auto"/>
        <w:jc w:val="both"/>
        <w:rPr>
          <w:rFonts w:ascii="Times New Roman" w:hAnsi="Times New Roman"/>
          <w:noProof/>
          <w:sz w:val="24"/>
          <w:szCs w:val="24"/>
        </w:rPr>
      </w:pPr>
      <w:r>
        <w:rPr>
          <w:rFonts w:ascii="Times New Roman" w:hAnsi="Times New Roman"/>
          <w:noProof/>
          <w:sz w:val="24"/>
        </w:rPr>
        <w:t>През май 2015 г. и през декември 2015 г. първият и вторият транш за Тунис (всеки по 100 млн. евро под формата на заеми) бяха финансирани чрез частни емисии на ценни книжа.</w:t>
      </w:r>
    </w:p>
    <w:p>
      <w:pPr>
        <w:spacing w:after="120" w:line="240" w:lineRule="auto"/>
        <w:jc w:val="both"/>
        <w:rPr>
          <w:rFonts w:ascii="Times New Roman" w:hAnsi="Times New Roman"/>
          <w:noProof/>
          <w:sz w:val="24"/>
          <w:szCs w:val="24"/>
        </w:rPr>
      </w:pPr>
      <w:r>
        <w:rPr>
          <w:rFonts w:ascii="Times New Roman" w:hAnsi="Times New Roman"/>
          <w:noProof/>
          <w:sz w:val="24"/>
        </w:rPr>
        <w:t>През юли 2015 г. първата вноска по третата програма за Украйна (600 млн. евро) беше финансирана чрез публична емисия на облигации.</w:t>
      </w:r>
    </w:p>
    <w:p>
      <w:pPr>
        <w:spacing w:after="120" w:line="240" w:lineRule="auto"/>
        <w:jc w:val="both"/>
        <w:rPr>
          <w:rFonts w:ascii="Times New Roman" w:hAnsi="Times New Roman"/>
          <w:noProof/>
          <w:sz w:val="24"/>
          <w:szCs w:val="24"/>
        </w:rPr>
      </w:pPr>
      <w:r>
        <w:rPr>
          <w:rFonts w:ascii="Times New Roman" w:hAnsi="Times New Roman"/>
          <w:noProof/>
          <w:sz w:val="24"/>
        </w:rPr>
        <w:t>През октомври 2015 г. две допълнителни операции в размер на 80 млн. евро и 5 млн. евро бяха съчетани с третия транш от рефинансирането на заема за Ирландия по ЕМФС (вж. 3.2 по-горе).</w:t>
      </w:r>
    </w:p>
    <w:p>
      <w:pPr>
        <w:tabs>
          <w:tab w:val="left" w:pos="7800"/>
        </w:tabs>
        <w:spacing w:after="240" w:line="240" w:lineRule="auto"/>
        <w:jc w:val="both"/>
        <w:rPr>
          <w:rFonts w:ascii="Times New Roman" w:hAnsi="Times New Roman"/>
          <w:noProof/>
          <w:sz w:val="24"/>
          <w:szCs w:val="24"/>
          <w:u w:val="single"/>
        </w:rPr>
      </w:pPr>
      <w:r>
        <w:rPr>
          <w:noProof/>
        </w:rPr>
        <w:br w:type="page"/>
      </w:r>
      <w:r>
        <w:rPr>
          <w:rFonts w:ascii="Times New Roman" w:hAnsi="Times New Roman"/>
          <w:noProof/>
          <w:sz w:val="24"/>
          <w:u w:val="single"/>
        </w:rPr>
        <w:t>Таблица 6: Операции на ЕС по вземане на заеми за МФП през 2015 г. (в млн. евро)</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2510"/>
        <w:gridCol w:w="1555"/>
        <w:gridCol w:w="2036"/>
        <w:gridCol w:w="1560"/>
      </w:tblGrid>
      <w:tr>
        <w:trPr>
          <w:trHeight w:val="809"/>
        </w:trPr>
        <w:tc>
          <w:tcPr>
            <w:tcW w:w="82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Държава</w:t>
            </w:r>
          </w:p>
        </w:tc>
        <w:tc>
          <w:tcPr>
            <w:tcW w:w="136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Описание</w:t>
            </w:r>
          </w:p>
        </w:tc>
        <w:tc>
          <w:tcPr>
            <w:tcW w:w="84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Дата на емисията</w:t>
            </w:r>
          </w:p>
        </w:tc>
        <w:tc>
          <w:tcPr>
            <w:tcW w:w="1109"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Падеж</w:t>
            </w:r>
          </w:p>
        </w:tc>
        <w:tc>
          <w:tcPr>
            <w:tcW w:w="850"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Размер</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Йордания</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Йордания</w:t>
            </w:r>
          </w:p>
          <w:p>
            <w:pPr>
              <w:spacing w:after="240" w:line="240" w:lineRule="auto"/>
              <w:jc w:val="center"/>
              <w:rPr>
                <w:rFonts w:ascii="Times New Roman" w:hAnsi="Times New Roman"/>
                <w:bCs/>
                <w:noProof/>
                <w:sz w:val="24"/>
                <w:szCs w:val="24"/>
              </w:rPr>
            </w:pPr>
            <w:r>
              <w:rPr>
                <w:rFonts w:ascii="Times New Roman" w:hAnsi="Times New Roman"/>
                <w:noProof/>
                <w:sz w:val="24"/>
              </w:rPr>
              <w:t>1-ви транш</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10/02/2015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04/12/2029</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Украйна</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Украйна (МФП I)</w:t>
            </w:r>
          </w:p>
          <w:p>
            <w:pPr>
              <w:spacing w:after="240" w:line="240" w:lineRule="auto"/>
              <w:jc w:val="center"/>
              <w:rPr>
                <w:rFonts w:ascii="Times New Roman" w:hAnsi="Times New Roman"/>
                <w:bCs/>
                <w:noProof/>
                <w:sz w:val="24"/>
                <w:szCs w:val="24"/>
              </w:rPr>
            </w:pPr>
            <w:r>
              <w:rPr>
                <w:rFonts w:ascii="Times New Roman" w:hAnsi="Times New Roman"/>
                <w:noProof/>
                <w:sz w:val="24"/>
              </w:rPr>
              <w:t>4-и транш</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21/04/2015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04/04/2023</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250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Грузия</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 xml:space="preserve">Грузия </w:t>
            </w:r>
          </w:p>
          <w:p>
            <w:pPr>
              <w:spacing w:after="0" w:line="240" w:lineRule="auto"/>
              <w:jc w:val="center"/>
              <w:rPr>
                <w:rFonts w:ascii="Times New Roman" w:hAnsi="Times New Roman"/>
                <w:bCs/>
                <w:noProof/>
                <w:sz w:val="24"/>
                <w:szCs w:val="24"/>
              </w:rPr>
            </w:pPr>
            <w:r>
              <w:rPr>
                <w:rFonts w:ascii="Times New Roman" w:hAnsi="Times New Roman"/>
                <w:noProof/>
                <w:sz w:val="24"/>
              </w:rPr>
              <w:t>1-ви транш</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21/04/2015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04/04/2030</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Тунис</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Тунис</w:t>
            </w:r>
          </w:p>
          <w:p>
            <w:pPr>
              <w:spacing w:after="240" w:line="240" w:lineRule="auto"/>
              <w:jc w:val="center"/>
              <w:rPr>
                <w:rFonts w:ascii="Times New Roman" w:hAnsi="Times New Roman"/>
                <w:bCs/>
                <w:noProof/>
                <w:sz w:val="24"/>
                <w:szCs w:val="24"/>
              </w:rPr>
            </w:pPr>
            <w:r>
              <w:rPr>
                <w:rFonts w:ascii="Times New Roman" w:hAnsi="Times New Roman"/>
                <w:noProof/>
                <w:sz w:val="24"/>
              </w:rPr>
              <w:t>1-ви транш</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07/05/2015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04/05/2027</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Украйна</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Украйна (МФП III)</w:t>
            </w:r>
          </w:p>
          <w:p>
            <w:pPr>
              <w:spacing w:after="240" w:line="240" w:lineRule="auto"/>
              <w:jc w:val="center"/>
              <w:rPr>
                <w:rFonts w:ascii="Times New Roman" w:hAnsi="Times New Roman"/>
                <w:b/>
                <w:noProof/>
                <w:sz w:val="24"/>
                <w:szCs w:val="24"/>
              </w:rPr>
            </w:pPr>
            <w:r>
              <w:rPr>
                <w:rFonts w:ascii="Times New Roman" w:hAnsi="Times New Roman"/>
                <w:noProof/>
                <w:sz w:val="24"/>
              </w:rPr>
              <w:t>1-ви транш</w:t>
            </w:r>
          </w:p>
        </w:tc>
        <w:tc>
          <w:tcPr>
            <w:tcW w:w="847"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22/07/2015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04/07/2020</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600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Йордания</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Йордания</w:t>
            </w:r>
          </w:p>
          <w:p>
            <w:pPr>
              <w:spacing w:after="240" w:line="240" w:lineRule="auto"/>
              <w:jc w:val="center"/>
              <w:rPr>
                <w:rFonts w:ascii="Times New Roman" w:hAnsi="Times New Roman"/>
                <w:b/>
                <w:noProof/>
                <w:sz w:val="24"/>
                <w:szCs w:val="24"/>
              </w:rPr>
            </w:pPr>
            <w:r>
              <w:rPr>
                <w:rFonts w:ascii="Times New Roman" w:hAnsi="Times New Roman"/>
                <w:noProof/>
                <w:sz w:val="24"/>
              </w:rPr>
              <w:t>2-ри транш</w:t>
            </w:r>
          </w:p>
        </w:tc>
        <w:tc>
          <w:tcPr>
            <w:tcW w:w="847"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15/10/2015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04/10/2029</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80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Киргизка република</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Киргизка република</w:t>
            </w:r>
          </w:p>
          <w:p>
            <w:pPr>
              <w:spacing w:after="240" w:line="240" w:lineRule="auto"/>
              <w:jc w:val="center"/>
              <w:rPr>
                <w:rFonts w:ascii="Times New Roman" w:hAnsi="Times New Roman"/>
                <w:b/>
                <w:noProof/>
                <w:sz w:val="24"/>
                <w:szCs w:val="24"/>
              </w:rPr>
            </w:pPr>
            <w:r>
              <w:rPr>
                <w:rFonts w:ascii="Times New Roman" w:hAnsi="Times New Roman"/>
                <w:noProof/>
                <w:sz w:val="24"/>
              </w:rPr>
              <w:t>1-ви транш</w:t>
            </w:r>
          </w:p>
        </w:tc>
        <w:tc>
          <w:tcPr>
            <w:tcW w:w="847"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15/10/2015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04/10/2029</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5</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Тунис</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Тунис</w:t>
            </w:r>
          </w:p>
          <w:p>
            <w:pPr>
              <w:spacing w:after="240" w:line="240" w:lineRule="auto"/>
              <w:jc w:val="center"/>
              <w:rPr>
                <w:rFonts w:ascii="Times New Roman" w:hAnsi="Times New Roman"/>
                <w:b/>
                <w:noProof/>
                <w:sz w:val="24"/>
                <w:szCs w:val="24"/>
              </w:rPr>
            </w:pPr>
            <w:r>
              <w:rPr>
                <w:rFonts w:ascii="Times New Roman" w:hAnsi="Times New Roman"/>
                <w:noProof/>
                <w:sz w:val="24"/>
              </w:rPr>
              <w:t>2-ри транш</w:t>
            </w:r>
          </w:p>
        </w:tc>
        <w:tc>
          <w:tcPr>
            <w:tcW w:w="84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01/12/2015</w:t>
            </w:r>
          </w:p>
        </w:tc>
        <w:tc>
          <w:tcPr>
            <w:tcW w:w="1109"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01/12/2028</w:t>
            </w:r>
          </w:p>
        </w:tc>
        <w:tc>
          <w:tcPr>
            <w:tcW w:w="850"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100</w:t>
            </w:r>
          </w:p>
        </w:tc>
      </w:tr>
      <w:tr>
        <w:tc>
          <w:tcPr>
            <w:tcW w:w="827" w:type="pct"/>
            <w:shd w:val="clear" w:color="auto" w:fill="auto"/>
          </w:tcPr>
          <w:p>
            <w:pPr>
              <w:spacing w:after="240" w:line="240" w:lineRule="auto"/>
              <w:jc w:val="center"/>
              <w:rPr>
                <w:rFonts w:ascii="Times New Roman" w:hAnsi="Times New Roman"/>
                <w:b/>
                <w:noProof/>
                <w:sz w:val="24"/>
                <w:szCs w:val="24"/>
              </w:rPr>
            </w:pPr>
          </w:p>
          <w:p>
            <w:pPr>
              <w:spacing w:after="240" w:line="240" w:lineRule="auto"/>
              <w:jc w:val="center"/>
              <w:rPr>
                <w:rFonts w:ascii="Times New Roman" w:hAnsi="Times New Roman"/>
                <w:b/>
                <w:noProof/>
                <w:sz w:val="24"/>
                <w:szCs w:val="24"/>
              </w:rPr>
            </w:pPr>
            <w:r>
              <w:rPr>
                <w:rFonts w:ascii="Times New Roman" w:hAnsi="Times New Roman"/>
                <w:b/>
                <w:noProof/>
                <w:sz w:val="24"/>
              </w:rPr>
              <w:t>Общо</w:t>
            </w:r>
          </w:p>
        </w:tc>
        <w:tc>
          <w:tcPr>
            <w:tcW w:w="1367" w:type="pct"/>
            <w:shd w:val="clear" w:color="auto" w:fill="auto"/>
          </w:tcPr>
          <w:p>
            <w:pPr>
              <w:spacing w:after="240" w:line="240" w:lineRule="auto"/>
              <w:jc w:val="center"/>
              <w:rPr>
                <w:rFonts w:ascii="Times New Roman" w:hAnsi="Times New Roman"/>
                <w:b/>
                <w:noProof/>
                <w:sz w:val="24"/>
                <w:szCs w:val="24"/>
              </w:rPr>
            </w:pPr>
          </w:p>
        </w:tc>
        <w:tc>
          <w:tcPr>
            <w:tcW w:w="847" w:type="pct"/>
            <w:shd w:val="clear" w:color="auto" w:fill="auto"/>
          </w:tcPr>
          <w:p>
            <w:pPr>
              <w:spacing w:after="240" w:line="240" w:lineRule="auto"/>
              <w:jc w:val="center"/>
              <w:rPr>
                <w:rFonts w:ascii="Times New Roman" w:hAnsi="Times New Roman"/>
                <w:b/>
                <w:noProof/>
                <w:sz w:val="24"/>
                <w:szCs w:val="24"/>
              </w:rPr>
            </w:pPr>
          </w:p>
        </w:tc>
        <w:tc>
          <w:tcPr>
            <w:tcW w:w="1109" w:type="pct"/>
            <w:shd w:val="clear" w:color="auto" w:fill="auto"/>
          </w:tcPr>
          <w:p>
            <w:pPr>
              <w:spacing w:after="240" w:line="240" w:lineRule="auto"/>
              <w:jc w:val="center"/>
              <w:rPr>
                <w:rFonts w:ascii="Times New Roman" w:hAnsi="Times New Roman"/>
                <w:b/>
                <w:noProof/>
                <w:sz w:val="24"/>
                <w:szCs w:val="24"/>
              </w:rPr>
            </w:pPr>
          </w:p>
        </w:tc>
        <w:tc>
          <w:tcPr>
            <w:tcW w:w="850" w:type="pct"/>
            <w:shd w:val="clear" w:color="auto" w:fill="auto"/>
          </w:tcPr>
          <w:p>
            <w:pPr>
              <w:spacing w:after="240" w:line="240" w:lineRule="auto"/>
              <w:jc w:val="center"/>
              <w:rPr>
                <w:rFonts w:ascii="Times New Roman" w:hAnsi="Times New Roman"/>
                <w:b/>
                <w:noProof/>
                <w:sz w:val="24"/>
                <w:szCs w:val="24"/>
              </w:rPr>
            </w:pPr>
          </w:p>
          <w:p>
            <w:pPr>
              <w:spacing w:after="240" w:line="240" w:lineRule="auto"/>
              <w:jc w:val="center"/>
              <w:rPr>
                <w:rFonts w:ascii="Times New Roman" w:hAnsi="Times New Roman"/>
                <w:b/>
                <w:noProof/>
                <w:sz w:val="24"/>
                <w:szCs w:val="24"/>
              </w:rPr>
            </w:pPr>
            <w:r>
              <w:rPr>
                <w:rFonts w:ascii="Times New Roman" w:hAnsi="Times New Roman"/>
                <w:b/>
                <w:noProof/>
                <w:sz w:val="24"/>
              </w:rPr>
              <w:t>1,245</w:t>
            </w:r>
          </w:p>
        </w:tc>
      </w:tr>
    </w:tbl>
    <w:p>
      <w:pPr>
        <w:pStyle w:val="ManualHeading2"/>
        <w:spacing w:after="240"/>
        <w:ind w:left="851" w:hanging="851"/>
        <w:outlineLvl w:val="0"/>
        <w:rPr>
          <w:noProof/>
        </w:rPr>
      </w:pPr>
      <w:bookmarkStart w:id="98" w:name="_Toc388883949"/>
      <w:bookmarkStart w:id="99" w:name="_Toc393808501"/>
    </w:p>
    <w:p>
      <w:pPr>
        <w:pStyle w:val="ManualHeading2"/>
        <w:spacing w:before="240" w:after="240"/>
        <w:ind w:left="851" w:hanging="851"/>
        <w:outlineLvl w:val="0"/>
        <w:rPr>
          <w:noProof/>
        </w:rPr>
      </w:pPr>
      <w:bookmarkStart w:id="100" w:name="_Toc451257937"/>
      <w:bookmarkStart w:id="101" w:name="_Toc452723871"/>
      <w:r>
        <w:rPr>
          <w:noProof/>
        </w:rPr>
        <w:t>3.4.</w:t>
      </w:r>
      <w:r>
        <w:rPr>
          <w:noProof/>
        </w:rPr>
        <w:tab/>
        <w:t>Механизъм за отпускане на заеми от Евратом</w:t>
      </w:r>
      <w:bookmarkEnd w:id="95"/>
      <w:bookmarkEnd w:id="96"/>
      <w:bookmarkEnd w:id="97"/>
      <w:bookmarkEnd w:id="98"/>
      <w:bookmarkEnd w:id="99"/>
      <w:bookmarkEnd w:id="100"/>
      <w:bookmarkEnd w:id="101"/>
    </w:p>
    <w:p>
      <w:pPr>
        <w:spacing w:after="240" w:line="240" w:lineRule="auto"/>
        <w:jc w:val="both"/>
        <w:rPr>
          <w:rFonts w:ascii="Times New Roman" w:hAnsi="Times New Roman"/>
          <w:noProof/>
          <w:sz w:val="24"/>
          <w:szCs w:val="24"/>
        </w:rPr>
      </w:pPr>
      <w:r>
        <w:rPr>
          <w:rFonts w:ascii="Times New Roman" w:hAnsi="Times New Roman"/>
          <w:noProof/>
          <w:sz w:val="24"/>
        </w:rPr>
        <w:t>През 2015 г. нямаше операции по вземане на заеми в рамките на Евратом.</w:t>
      </w:r>
    </w:p>
    <w:p>
      <w:pPr>
        <w:pStyle w:val="ManualHeading1"/>
        <w:spacing w:after="240"/>
        <w:ind w:left="851" w:hanging="851"/>
        <w:rPr>
          <w:noProof/>
        </w:rPr>
      </w:pPr>
      <w:bookmarkStart w:id="102" w:name="_Toc325641150"/>
      <w:bookmarkStart w:id="103" w:name="_Toc330157552"/>
      <w:bookmarkStart w:id="104" w:name="_Toc361393262"/>
      <w:bookmarkStart w:id="105" w:name="_Toc388883950"/>
      <w:bookmarkStart w:id="106" w:name="_Toc393808502"/>
      <w:bookmarkStart w:id="107" w:name="_Toc451257938"/>
      <w:bookmarkStart w:id="108" w:name="_Toc452723872"/>
      <w:r>
        <w:rPr>
          <w:noProof/>
        </w:rPr>
        <w:t>4.</w:t>
      </w:r>
      <w:r>
        <w:rPr>
          <w:noProof/>
        </w:rPr>
        <w:tab/>
        <w:t>Европейска инвестиционна банка</w:t>
      </w:r>
      <w:bookmarkEnd w:id="102"/>
      <w:bookmarkEnd w:id="103"/>
      <w:bookmarkEnd w:id="104"/>
      <w:bookmarkEnd w:id="105"/>
      <w:bookmarkEnd w:id="106"/>
      <w:bookmarkEnd w:id="107"/>
      <w:bookmarkEnd w:id="108"/>
      <w:r>
        <w:rPr>
          <w:noProof/>
        </w:rPr>
        <w:t xml:space="preserve"> </w:t>
      </w:r>
    </w:p>
    <w:p>
      <w:pPr>
        <w:pStyle w:val="ManualHeading2"/>
        <w:spacing w:after="240"/>
        <w:ind w:left="851" w:hanging="851"/>
        <w:rPr>
          <w:noProof/>
        </w:rPr>
      </w:pPr>
      <w:bookmarkStart w:id="109" w:name="_Toc325641151"/>
      <w:bookmarkStart w:id="110" w:name="_Toc330157553"/>
      <w:bookmarkStart w:id="111" w:name="_Toc361393263"/>
      <w:bookmarkStart w:id="112" w:name="_Toc388883951"/>
      <w:bookmarkStart w:id="113" w:name="_Toc393808503"/>
      <w:bookmarkStart w:id="114" w:name="_Toc451257939"/>
      <w:bookmarkStart w:id="115" w:name="_Toc452723873"/>
      <w:r>
        <w:rPr>
          <w:noProof/>
        </w:rPr>
        <w:t>4.1.</w:t>
      </w:r>
      <w:r>
        <w:rPr>
          <w:noProof/>
        </w:rPr>
        <w:tab/>
        <w:t>Операции на ЕИБ по отпускане на заеми</w:t>
      </w:r>
      <w:bookmarkEnd w:id="109"/>
      <w:bookmarkEnd w:id="110"/>
      <w:bookmarkEnd w:id="111"/>
      <w:bookmarkEnd w:id="112"/>
      <w:bookmarkEnd w:id="113"/>
      <w:bookmarkEnd w:id="114"/>
      <w:bookmarkEnd w:id="115"/>
    </w:p>
    <w:p>
      <w:pPr>
        <w:spacing w:after="120" w:line="240" w:lineRule="auto"/>
        <w:jc w:val="both"/>
        <w:rPr>
          <w:rFonts w:ascii="Times New Roman" w:hAnsi="Times New Roman"/>
          <w:noProof/>
          <w:sz w:val="24"/>
          <w:szCs w:val="24"/>
        </w:rPr>
      </w:pPr>
      <w:r>
        <w:rPr>
          <w:rFonts w:ascii="Times New Roman" w:hAnsi="Times New Roman"/>
          <w:noProof/>
          <w:sz w:val="24"/>
        </w:rPr>
        <w:t xml:space="preserve">ЕИБ предоставя финансиране или </w:t>
      </w:r>
      <w:r>
        <w:rPr>
          <w:rFonts w:ascii="Times New Roman" w:hAnsi="Times New Roman"/>
          <w:i/>
          <w:noProof/>
          <w:sz w:val="24"/>
        </w:rPr>
        <w:t xml:space="preserve">пряко </w:t>
      </w:r>
      <w:r>
        <w:rPr>
          <w:rFonts w:ascii="Times New Roman" w:hAnsi="Times New Roman"/>
          <w:noProof/>
          <w:sz w:val="24"/>
        </w:rPr>
        <w:t xml:space="preserve">на индивидуални инвестиционни проекти, или </w:t>
      </w:r>
      <w:r>
        <w:rPr>
          <w:rFonts w:ascii="Times New Roman" w:hAnsi="Times New Roman"/>
          <w:i/>
          <w:noProof/>
          <w:sz w:val="24"/>
        </w:rPr>
        <w:t>чрез финансови посредници</w:t>
      </w:r>
      <w:r>
        <w:rPr>
          <w:rFonts w:ascii="Times New Roman" w:hAnsi="Times New Roman"/>
          <w:noProof/>
          <w:sz w:val="24"/>
        </w:rPr>
        <w:t xml:space="preserve"> на по-малки по мащаб проекти, осъществявани от малки и средни предприятия или от местните органи и общините. Групата на ЕИБ, която включва Европейския инвестиционен фонд (ЕИФ), осигурява също и гаранции по заеми, техническа помощ и рисков капитал.</w:t>
      </w:r>
    </w:p>
    <w:p>
      <w:pPr>
        <w:spacing w:after="120" w:line="240" w:lineRule="auto"/>
        <w:jc w:val="both"/>
        <w:rPr>
          <w:rFonts w:ascii="Times New Roman" w:hAnsi="Times New Roman"/>
          <w:noProof/>
          <w:sz w:val="24"/>
          <w:szCs w:val="24"/>
        </w:rPr>
      </w:pPr>
      <w:r>
        <w:rPr>
          <w:rFonts w:ascii="Times New Roman" w:hAnsi="Times New Roman"/>
          <w:noProof/>
          <w:sz w:val="24"/>
        </w:rPr>
        <w:t>През 2015 г. ЕИБ подписа споразумения за финансиране на обща стойност 77,5 млрд. евро (спрямо 77 млрд. евро през 2014 г.). Заедно с дейността на ЕИФ, групата на ЕИБ финансира проекти в размер на 84,5 млрд. евро, като подкрепи 462 проекта в 68 държави по целия свят и стимулира инвестиции в размер на почти 230 млрд. евро.</w:t>
      </w:r>
    </w:p>
    <w:p>
      <w:pPr>
        <w:spacing w:after="120" w:line="240" w:lineRule="auto"/>
        <w:jc w:val="both"/>
        <w:rPr>
          <w:rFonts w:ascii="Times New Roman" w:hAnsi="Times New Roman"/>
          <w:noProof/>
          <w:sz w:val="24"/>
          <w:szCs w:val="24"/>
        </w:rPr>
      </w:pPr>
      <w:r>
        <w:rPr>
          <w:rFonts w:ascii="Times New Roman" w:hAnsi="Times New Roman"/>
          <w:noProof/>
          <w:sz w:val="24"/>
        </w:rPr>
        <w:t>В допълнение, до края на 2015 г. групата на ЕИБ одобри повече от 100 заема и гаранции по Европейския фонд за стратегически инвестиции (ЕФСИ)</w:t>
      </w:r>
      <w:r>
        <w:rPr>
          <w:rStyle w:val="FootnoteReference"/>
          <w:rFonts w:ascii="Times New Roman" w:hAnsi="Times New Roman"/>
          <w:noProof/>
          <w:sz w:val="24"/>
        </w:rPr>
        <w:footnoteReference w:id="22"/>
      </w:r>
      <w:r>
        <w:rPr>
          <w:rFonts w:ascii="Times New Roman" w:hAnsi="Times New Roman"/>
          <w:noProof/>
          <w:sz w:val="24"/>
        </w:rPr>
        <w:t xml:space="preserve"> като част от Плана за инвестиции. Операциите по финансиране и инвестиране на ЕИБ в рамките на ЕФСИ се ползват с гаранция от бюджета на ЕС. Поетите като задължение средства са в размер на 7,5 млрд. евро, от които 5,7 млрд. евро от ЕИБ и 1,8 млрд. евро от ЕИФ, като са мобилизирани общо инвестиции в размер до 50 млрд. евро.</w:t>
      </w:r>
    </w:p>
    <w:p>
      <w:pPr>
        <w:spacing w:after="120" w:line="240" w:lineRule="auto"/>
        <w:jc w:val="both"/>
        <w:rPr>
          <w:rFonts w:ascii="Times New Roman" w:hAnsi="Times New Roman"/>
          <w:noProof/>
          <w:sz w:val="24"/>
          <w:szCs w:val="24"/>
        </w:rPr>
      </w:pPr>
      <w:r>
        <w:rPr>
          <w:rFonts w:ascii="Times New Roman" w:hAnsi="Times New Roman"/>
          <w:noProof/>
          <w:sz w:val="24"/>
        </w:rPr>
        <w:t>Операциите на ЕИБ по финансиране оказват въздействие върху бюджета на ЕС, когато са обезпечени с гаранция от ЕС или с други средства от бюджета на ЕС. Освен за ЕФСИ, това се отнася за:</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операциите на ЕИБ по финансиране, извършени в рамките на т.нар. външен мандат, обхващащ държавите в процес на присъединяване, съседните и партньорските държави, Азия и Латинска Америка, Южна Африка. Това финансиране се ползва с гаранция от бюджета на ЕС, покриваща риска от кредитно неизпълнение от държавата заемополучател или политическия риск („външна гаранция на ЕС“)</w:t>
      </w:r>
      <w:r>
        <w:rPr>
          <w:rStyle w:val="FootnoteReference"/>
          <w:rFonts w:ascii="Times New Roman" w:hAnsi="Times New Roman"/>
          <w:noProof/>
          <w:sz w:val="24"/>
        </w:rPr>
        <w:footnoteReference w:id="23"/>
      </w:r>
      <w:r>
        <w:rPr>
          <w:rFonts w:ascii="Times New Roman" w:hAnsi="Times New Roman"/>
          <w:noProof/>
          <w:sz w:val="24"/>
        </w:rPr>
        <w:t>. През второто полугодие на 2016 г. Комисията ще изготви отделен доклад за финансовата дейност на ЕИБ в рамките на външния мандат.</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механизмите за финансиране с поделяне на риска, включващи използването на бюджета на ЕС за подпомагане на политиките на ЕС (например механизмът за финансиране с поделяне на риска за проекти в областта на научноизследователската и развойната дейност и инициативата за облигации за проекти).</w:t>
      </w:r>
    </w:p>
    <w:p>
      <w:pPr>
        <w:spacing w:after="120" w:line="240" w:lineRule="auto"/>
        <w:jc w:val="both"/>
        <w:rPr>
          <w:rFonts w:ascii="Times New Roman" w:hAnsi="Times New Roman"/>
          <w:noProof/>
          <w:sz w:val="24"/>
          <w:szCs w:val="24"/>
        </w:rPr>
      </w:pPr>
      <w:r>
        <w:rPr>
          <w:rFonts w:ascii="Times New Roman" w:hAnsi="Times New Roman"/>
          <w:noProof/>
          <w:sz w:val="24"/>
        </w:rPr>
        <w:t>През 2015 г. финансирането от ЕИБ в държавите — членки на ЕС, бе в размер на 69,7 млрд. евро или 90 % от общия размер на отпусканите от ЕИБ заеми. Дейностите на ЕИБ по отпускане на заеми извън ЕС възлизат на 7,8 млрд. евро, от които 4,8 млрд. евро са обхванати от външната гаранция от ЕС.</w:t>
      </w:r>
    </w:p>
    <w:p>
      <w:pPr>
        <w:spacing w:after="120" w:line="240" w:lineRule="auto"/>
        <w:jc w:val="both"/>
        <w:rPr>
          <w:rFonts w:ascii="Times New Roman" w:hAnsi="Times New Roman"/>
          <w:noProof/>
          <w:sz w:val="24"/>
          <w:szCs w:val="24"/>
        </w:rPr>
      </w:pPr>
      <w:r>
        <w:rPr>
          <w:rFonts w:ascii="Times New Roman" w:hAnsi="Times New Roman"/>
          <w:noProof/>
          <w:sz w:val="24"/>
        </w:rPr>
        <w:t>Размерът на общия външен мандат е 27 млрд. евро, плюс допълнителна незадължителна сума от 3 млрд. евро. Активирането на цялата или на част от тази незадължителна сума се решава от Европейския парламент и Съвета в съответствие с обикновената законодателна процедура и въз основа на резултатите от междинния преглед на външния мандат.</w:t>
      </w:r>
    </w:p>
    <w:p>
      <w:pPr>
        <w:pStyle w:val="ManualHeading2"/>
        <w:spacing w:before="240" w:after="240"/>
        <w:ind w:left="851" w:hanging="851"/>
        <w:rPr>
          <w:noProof/>
        </w:rPr>
      </w:pPr>
      <w:bookmarkStart w:id="116" w:name="_Toc325641152"/>
      <w:bookmarkStart w:id="117" w:name="_Toc330157554"/>
      <w:bookmarkStart w:id="118" w:name="_Toc361393264"/>
      <w:bookmarkStart w:id="119" w:name="_Toc388883952"/>
      <w:bookmarkStart w:id="120" w:name="_Toc393808504"/>
      <w:bookmarkStart w:id="121" w:name="_Toc451257940"/>
      <w:bookmarkStart w:id="122" w:name="_Toc452723874"/>
      <w:r>
        <w:rPr>
          <w:noProof/>
        </w:rPr>
        <w:t>4.2.</w:t>
      </w:r>
      <w:r>
        <w:rPr>
          <w:noProof/>
        </w:rPr>
        <w:tab/>
        <w:t>Операции на ЕИБ по вземане на заеми</w:t>
      </w:r>
      <w:bookmarkEnd w:id="116"/>
      <w:bookmarkEnd w:id="117"/>
      <w:bookmarkEnd w:id="118"/>
      <w:bookmarkEnd w:id="119"/>
      <w:bookmarkEnd w:id="120"/>
      <w:bookmarkEnd w:id="121"/>
      <w:bookmarkEnd w:id="122"/>
    </w:p>
    <w:p>
      <w:pPr>
        <w:spacing w:after="120" w:line="240" w:lineRule="auto"/>
        <w:jc w:val="both"/>
        <w:rPr>
          <w:rFonts w:ascii="Times New Roman" w:hAnsi="Times New Roman"/>
          <w:noProof/>
          <w:sz w:val="24"/>
          <w:szCs w:val="24"/>
        </w:rPr>
      </w:pPr>
      <w:bookmarkStart w:id="123" w:name="_CopyToNewDocument_"/>
      <w:bookmarkStart w:id="124" w:name="_Toc330157555"/>
      <w:bookmarkStart w:id="125" w:name="_Toc361393265"/>
      <w:bookmarkEnd w:id="123"/>
      <w:r>
        <w:rPr>
          <w:rFonts w:ascii="Times New Roman" w:hAnsi="Times New Roman"/>
          <w:noProof/>
          <w:sz w:val="24"/>
        </w:rPr>
        <w:t>Дейностите на ЕИБ по отпускане на заеми се финансират основно посредством емитирането на облигации на международните капиталови пазари. Общата цел на стратегията на ЕИБ за финансиране е оптимизирането на разходите за финансиране на устойчива основа. Стратегията на ЕИБ за финансиране съчетава емитирането на големи и ликвидни облигации в основни валути с целенасочени и индивидуализирани емисии в други валути.</w:t>
      </w:r>
    </w:p>
    <w:p>
      <w:pPr>
        <w:spacing w:after="120" w:line="240" w:lineRule="auto"/>
        <w:jc w:val="both"/>
        <w:rPr>
          <w:rFonts w:ascii="Times New Roman" w:hAnsi="Times New Roman"/>
          <w:noProof/>
          <w:sz w:val="24"/>
          <w:szCs w:val="24"/>
        </w:rPr>
      </w:pPr>
      <w:r>
        <w:rPr>
          <w:rFonts w:ascii="Times New Roman" w:hAnsi="Times New Roman"/>
          <w:noProof/>
          <w:sz w:val="24"/>
        </w:rPr>
        <w:t>През 2015 г. дейността на ЕИБ по вземане на заеми възлизаше на 62,4 млрд. евро със среден матуритет 6,4 години.</w:t>
      </w:r>
      <w:bookmarkEnd w:id="124"/>
      <w:bookmarkEnd w:id="125"/>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left" w:pos="127"/>
        <w:tab w:val="center" w:pos="4536"/>
      </w:tabs>
    </w:pPr>
    <w:r>
      <w:tab/>
    </w:r>
    <w:r>
      <w:tab/>
    </w: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Дейностите на Комисията по вземане и отпускане на заеми са представени подробно на адрес http://ec.europa.eu/economy_finance/eu_borrower/index_bg.htm.</w:t>
      </w:r>
    </w:p>
  </w:footnote>
  <w:footnote w:id="2">
    <w:p>
      <w:pPr>
        <w:pStyle w:val="FootnoteText"/>
        <w:ind w:left="709" w:hanging="709"/>
      </w:pPr>
      <w:r>
        <w:rPr>
          <w:rStyle w:val="FootnoteReference"/>
        </w:rPr>
        <w:footnoteRef/>
      </w:r>
      <w:r>
        <w:tab/>
        <w:t>OВ L 53, 23.2.2002 г., стр. 1.</w:t>
      </w:r>
    </w:p>
  </w:footnote>
  <w:footnote w:id="3">
    <w:p>
      <w:pPr>
        <w:pStyle w:val="FootnoteText"/>
      </w:pPr>
      <w:r>
        <w:rPr>
          <w:rStyle w:val="FootnoteReference"/>
        </w:rPr>
        <w:footnoteRef/>
      </w:r>
      <w:r>
        <w:tab/>
        <w:t>Решение 2013/531/ЕС на Съвета от 22 октомври 2013 г. за предоставяне на превантивна средносрочна финансова помощ от Съюза на Румъния (ОВ L 286, 29.10.2013 г., стр. 1).</w:t>
      </w:r>
    </w:p>
  </w:footnote>
  <w:footnote w:id="4">
    <w:p>
      <w:pPr>
        <w:spacing w:after="240" w:line="240" w:lineRule="auto"/>
        <w:ind w:left="709" w:hanging="709"/>
      </w:pPr>
      <w:r>
        <w:rPr>
          <w:rStyle w:val="FootnoteReference"/>
        </w:rPr>
        <w:footnoteRef/>
      </w:r>
      <w:r>
        <w:t xml:space="preserve"> </w:t>
      </w:r>
      <w:r>
        <w:tab/>
      </w:r>
      <w:r>
        <w:rPr>
          <w:rFonts w:ascii="Times New Roman" w:hAnsi="Times New Roman"/>
          <w:sz w:val="20"/>
        </w:rPr>
        <w:t>Подробна информация за операциите в подкрепа на платежния баланс се намира на следния интернет адрес: http://ec.europa.eu/economy_finance/eu_borrower/balance_of_payments/index_en.htm</w:t>
      </w:r>
    </w:p>
  </w:footnote>
  <w:footnote w:id="5">
    <w:p>
      <w:pPr>
        <w:pStyle w:val="FootnoteText"/>
      </w:pPr>
      <w:r>
        <w:rPr>
          <w:rStyle w:val="FootnoteReference"/>
        </w:rPr>
        <w:footnoteRef/>
      </w:r>
      <w:r>
        <w:t xml:space="preserve"> </w:t>
      </w:r>
      <w:r>
        <w:tab/>
        <w:t>Изменен с Регламент (ЕС) № 2015/1360 на Съвета от 4 август 2015 г. (ОВ L 210, 7.8.2015 г., стр. 1).</w:t>
      </w:r>
    </w:p>
  </w:footnote>
  <w:footnote w:id="6">
    <w:p>
      <w:pPr>
        <w:pStyle w:val="FootnoteText"/>
      </w:pPr>
      <w:r>
        <w:rPr>
          <w:rStyle w:val="FootnoteReference"/>
        </w:rPr>
        <w:footnoteRef/>
      </w:r>
      <w:r>
        <w:tab/>
        <w:t>В член 122, параграф 2 от ДФЕС се предвижда финансова подкрепа за държави членки, които изпитват трудности поради извънредни обстоятелства извън техния контрол.</w:t>
      </w:r>
    </w:p>
  </w:footnote>
  <w:footnote w:id="7">
    <w:p>
      <w:pPr>
        <w:pStyle w:val="FootnoteText"/>
        <w:jc w:val="left"/>
      </w:pPr>
      <w:r>
        <w:rPr>
          <w:rStyle w:val="FootnoteReference"/>
        </w:rPr>
        <w:footnoteRef/>
      </w:r>
      <w:r>
        <w:t xml:space="preserve"> </w:t>
      </w:r>
      <w:r>
        <w:tab/>
        <w:t>Подробна информация за операциите на ЕМФС се намира на следния интернет адрес: http://ec.europa.eu/economy_finance/eu_borrower/efsm/index_en.htm</w:t>
      </w:r>
    </w:p>
  </w:footnote>
  <w:footnote w:id="8">
    <w:p>
      <w:pPr>
        <w:pStyle w:val="FootnoteText"/>
      </w:pPr>
      <w:r>
        <w:rPr>
          <w:rStyle w:val="FootnoteReference"/>
        </w:rPr>
        <w:footnoteRef/>
      </w:r>
      <w:r>
        <w:tab/>
        <w:t>Решение за изпълнение 2011/77/ЕС на Съвета от 7 декември 2010 г. за предоставяне на финансова помощ за Ирландия от страна на Съюза (ОВ L 30, 4.2.2011 г., стp. 34).</w:t>
      </w:r>
    </w:p>
  </w:footnote>
  <w:footnote w:id="9">
    <w:p>
      <w:pPr>
        <w:pStyle w:val="FootnoteText"/>
      </w:pPr>
      <w:r>
        <w:rPr>
          <w:rStyle w:val="FootnoteReference"/>
        </w:rPr>
        <w:footnoteRef/>
      </w:r>
      <w:r>
        <w:tab/>
        <w:t>Решение за изпълнение 2011/344/ЕС на Съвета от 30 май 2011 г. за предоставяне на финансова помощ за Португалия от страна на Съюза (ОВ L 159, 17.6.2011 г., стp. 88).</w:t>
      </w:r>
    </w:p>
  </w:footnote>
  <w:footnote w:id="10">
    <w:p>
      <w:pPr>
        <w:pStyle w:val="FootnoteText"/>
      </w:pPr>
      <w:r>
        <w:rPr>
          <w:rStyle w:val="FootnoteReference"/>
        </w:rPr>
        <w:footnoteRef/>
      </w:r>
      <w:r>
        <w:t xml:space="preserve"> </w:t>
      </w:r>
      <w:r>
        <w:tab/>
        <w:t>Решение за изпълнение 2015/1181/ЕС на Съвета от 17 юли 2015 г. за предоставяне на краткосрочна финансова помощ за Гърция от страна на Съюза (ОВ L 192, 18.7.2015 г., стp. 15).</w:t>
      </w:r>
    </w:p>
  </w:footnote>
  <w:footnote w:id="11">
    <w:p>
      <w:pPr>
        <w:pStyle w:val="FootnoteText"/>
      </w:pPr>
      <w:r>
        <w:rPr>
          <w:rStyle w:val="FootnoteReference"/>
        </w:rPr>
        <w:footnoteRef/>
      </w:r>
      <w:r>
        <w:t xml:space="preserve"> </w:t>
      </w:r>
      <w:r>
        <w:tab/>
        <w:t>Подробна информация относно МФП: http://ec.europa.eu/economy_finance/eu_borrower/macro-financial_assistance/index_en.htm</w:t>
      </w:r>
    </w:p>
  </w:footnote>
  <w:footnote w:id="12">
    <w:p>
      <w:pPr>
        <w:pStyle w:val="FootnoteText"/>
      </w:pPr>
      <w:r>
        <w:rPr>
          <w:rStyle w:val="FootnoteReference"/>
        </w:rPr>
        <w:footnoteRef/>
      </w:r>
      <w:r>
        <w:tab/>
        <w:t>Вж. Регламент (ЕО, Евратом) № 480/2009 на Съвета относно създаване на Гаранционен фонд за външни дейности (ОВ L 145, 10.6.2009 г., стр. 10). Досега по заемите в рамките на МФП не е регистрирано неизпълнение на плащане.</w:t>
      </w:r>
    </w:p>
  </w:footnote>
  <w:footnote w:id="13">
    <w:p>
      <w:pPr>
        <w:pStyle w:val="FootnoteText"/>
      </w:pPr>
      <w:r>
        <w:rPr>
          <w:rStyle w:val="FootnoteReference"/>
        </w:rPr>
        <w:footnoteRef/>
      </w:r>
      <w:r>
        <w:tab/>
        <w:t xml:space="preserve">Въпреки че погасяването на заема се покрива като цяло от бюджета на ЕС, Гаранционният фонд действа като ликвиден буфер, който защитава бюджета на ЕС срещу риска от предявяване на вземания в резултат на просрочени плащания. За подробния доклад относно работата на фонда вж. COM(2014)214 и придружаващия го работен документ на службите на Комисията SEC(2014)129. </w:t>
      </w:r>
    </w:p>
  </w:footnote>
  <w:footnote w:id="14">
    <w:p>
      <w:pPr>
        <w:pStyle w:val="FootnoteText"/>
      </w:pPr>
      <w:r>
        <w:rPr>
          <w:rStyle w:val="FootnoteReference"/>
        </w:rPr>
        <w:footnoteRef/>
      </w:r>
      <w:r>
        <w:tab/>
        <w:t>Решение (ЕС) 2015/601 на Европейския парламент и на Съвета от 15 април 2015 г. за предоставяне на макрофинансова помощ на Украйна (ОВ L 100, 17.4.2015 г., стр. 1).</w:t>
      </w:r>
    </w:p>
  </w:footnote>
  <w:footnote w:id="15">
    <w:p>
      <w:pPr>
        <w:pStyle w:val="FootnoteText"/>
      </w:pPr>
      <w:r>
        <w:rPr>
          <w:rStyle w:val="FootnoteReference"/>
        </w:rPr>
        <w:footnoteRef/>
      </w:r>
      <w:r>
        <w:t xml:space="preserve"> </w:t>
      </w:r>
      <w:r>
        <w:tab/>
        <w:t>Решение 2002/639/EС на Съвета от 12 юли 2002 г. за предоставяне на макрофинансова помощ на Украйна (ОВ L 209, 15.4.2014 г., стр. 23).</w:t>
      </w:r>
    </w:p>
  </w:footnote>
  <w:footnote w:id="16">
    <w:p>
      <w:pPr>
        <w:pStyle w:val="FootnoteText"/>
        <w:rPr>
          <w:sz w:val="18"/>
          <w:szCs w:val="18"/>
        </w:rPr>
      </w:pPr>
      <w:r>
        <w:rPr>
          <w:rStyle w:val="FootnoteReference"/>
        </w:rPr>
        <w:footnoteRef/>
      </w:r>
      <w:r>
        <w:rPr>
          <w:rStyle w:val="FootnoteReference"/>
        </w:rPr>
        <w:t xml:space="preserve"> </w:t>
      </w:r>
      <w:r>
        <w:tab/>
        <w:t>Решение № 388/2010/ЕС на Европейския парламент и на Съвета от 7 юли 2010 г. за предоставяне на макрофинансова помощ на Украйна (ОВ L 179, 14.7.2010 г., стр. 1).</w:t>
      </w:r>
    </w:p>
  </w:footnote>
  <w:footnote w:id="17">
    <w:p>
      <w:pPr>
        <w:pStyle w:val="FootnoteText"/>
      </w:pPr>
      <w:r>
        <w:rPr>
          <w:rStyle w:val="FootnoteReference"/>
        </w:rPr>
        <w:footnoteRef/>
      </w:r>
      <w:r>
        <w:tab/>
        <w:t>Решение № 534/2014/ЕС на Европейския парламент и на Съвета от 15 май 2014 г. за предоставяне на макрофинансова помощ на Република Тунис (ОВ L 151, 21.5.2014 г., стр. 9).</w:t>
      </w:r>
    </w:p>
  </w:footnote>
  <w:footnote w:id="18">
    <w:p>
      <w:pPr>
        <w:pStyle w:val="FootnoteText"/>
      </w:pPr>
      <w:r>
        <w:rPr>
          <w:rStyle w:val="FootnoteReference"/>
        </w:rPr>
        <w:footnoteRef/>
      </w:r>
      <w:r>
        <w:tab/>
        <w:t>Решение № 1351/2013/ЕС на Европейския парламент и на Съвета от 11 декември 2013 година за предоставяне на макрофинансова помощ на Хашемитското кралство Йордания (ОВ L 341, 18.12.2013 г., стр. 4).</w:t>
      </w:r>
    </w:p>
  </w:footnote>
  <w:footnote w:id="19">
    <w:p>
      <w:pPr>
        <w:pStyle w:val="FootnoteText"/>
      </w:pPr>
      <w:r>
        <w:rPr>
          <w:rStyle w:val="FootnoteReference"/>
        </w:rPr>
        <w:footnoteRef/>
      </w:r>
      <w:r>
        <w:tab/>
        <w:t>Решение № 778/2013/ЕС на Европейския парламент и на Съвета от 12 август 2013 г. за предоставяне на допълнителна макрофинансова помощ на Грузия (ОВ L 218, 14.8.2013 г., стр. 15).</w:t>
      </w:r>
    </w:p>
  </w:footnote>
  <w:footnote w:id="20">
    <w:p>
      <w:pPr>
        <w:pStyle w:val="FootnoteText"/>
      </w:pPr>
      <w:r>
        <w:rPr>
          <w:rStyle w:val="FootnoteReference"/>
        </w:rPr>
        <w:footnoteRef/>
      </w:r>
      <w:r>
        <w:tab/>
        <w:t>Решение № 1025/2013/ЕС на Европейския парламент и на Съвета от 22 октомври 2013 г. за предоставяне на макрофинансова помощ на Киргизката република (ОВ L 283, 25.10.2013 г., стр. 1).</w:t>
      </w:r>
    </w:p>
  </w:footnote>
  <w:footnote w:id="21">
    <w:p>
      <w:pPr>
        <w:pStyle w:val="FootnoteText"/>
      </w:pPr>
      <w:r>
        <w:rPr>
          <w:rStyle w:val="FootnoteReference"/>
        </w:rPr>
        <w:footnoteRef/>
      </w:r>
      <w:r>
        <w:tab/>
      </w:r>
      <w:hyperlink r:id="rId1">
        <w:r>
          <w:rPr>
            <w:rStyle w:val="Hyperlink"/>
            <w:color w:val="000000"/>
            <w:u w:val="none"/>
          </w:rPr>
          <w:t>Регламентът за ЕМФС</w:t>
        </w:r>
      </w:hyperlink>
      <w:r>
        <w:t xml:space="preserve"> позволява да се прибегне до предварително финансиране, тъй като оправомощава Комисията „</w:t>
      </w:r>
      <w:r>
        <w:rPr>
          <w:i/>
          <w:color w:val="000000"/>
        </w:rPr>
        <w:t>да предприеме заемане на средства на капиталовите пазари или от финансови институции в най-подходящия момент между планираните изплащания, така че да оптимизира разходите по финансирането и да запази репутацията си на емитент на Съюза на пазарите.</w:t>
      </w:r>
      <w:r>
        <w:t>“ Произтичащите от това разходи за изпълнение обаче се поемат от заемополучателя.</w:t>
      </w:r>
    </w:p>
  </w:footnote>
  <w:footnote w:id="22">
    <w:p>
      <w:pPr>
        <w:pStyle w:val="FootnoteText"/>
      </w:pPr>
      <w:r>
        <w:rPr>
          <w:rStyle w:val="FootnoteReference"/>
        </w:rPr>
        <w:footnoteRef/>
      </w:r>
      <w:r>
        <w:t xml:space="preserve"> </w:t>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23">
    <w:p>
      <w:pPr>
        <w:pStyle w:val="FootnoteText"/>
      </w:pPr>
      <w:r>
        <w:rPr>
          <w:rStyle w:val="FootnoteReference"/>
        </w:rPr>
        <w:footnoteRef/>
      </w:r>
      <w:r>
        <w:t xml:space="preserve"> </w:t>
      </w:r>
      <w:r>
        <w:tab/>
        <w:t>Решение № 466/2014/EС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C5532"/>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5224AC40"/>
    <w:lvl w:ilvl="0">
      <w:start w:val="1"/>
      <w:numFmt w:val="decimal"/>
      <w:pStyle w:val="ListNumber2"/>
      <w:lvlText w:val="%1."/>
      <w:lvlJc w:val="left"/>
      <w:pPr>
        <w:tabs>
          <w:tab w:val="num" w:pos="643"/>
        </w:tabs>
        <w:ind w:left="643" w:hanging="360"/>
      </w:pPr>
      <w:rPr>
        <w:rFonts w:cs="Times New Roman"/>
      </w:rPr>
    </w:lvl>
  </w:abstractNum>
  <w:abstractNum w:abstractNumId="2">
    <w:nsid w:val="FFFFFF81"/>
    <w:multiLevelType w:val="singleLevel"/>
    <w:tmpl w:val="1F4E531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536889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462546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4D308E8"/>
    <w:multiLevelType w:val="hybridMultilevel"/>
    <w:tmpl w:val="B98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LegalNumbering"/>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Tiret 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45883E8B"/>
    <w:multiLevelType w:val="hybridMultilevel"/>
    <w:tmpl w:val="3ED255F4"/>
    <w:lvl w:ilvl="0" w:tplc="B5506B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15">
    <w:nsid w:val="59CC3BD0"/>
    <w:multiLevelType w:val="multilevel"/>
    <w:tmpl w:val="132A782E"/>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name w:val="Tiret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List Number"/>
    <w:lvl w:ilvl="0">
      <w:start w:val="1"/>
      <w:numFmt w:val="bullet"/>
      <w:lvlRestart w:val="0"/>
      <w:pStyle w:val="Tiret2"/>
      <w:lvlText w:val="–"/>
      <w:lvlJc w:val="left"/>
      <w:pPr>
        <w:tabs>
          <w:tab w:val="num" w:pos="1984"/>
        </w:tabs>
        <w:ind w:left="1984" w:hanging="567"/>
      </w:pPr>
    </w:lvl>
  </w:abstractNum>
  <w:abstractNum w:abstractNumId="20">
    <w:nsid w:val="6507794E"/>
    <w:multiLevelType w:val="singleLevel"/>
    <w:tmpl w:val="FD3464B4"/>
    <w:name w:val="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6C5D7131"/>
    <w:multiLevelType w:val="multilevel"/>
    <w:tmpl w:val="65ACEFC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09E37A3"/>
    <w:multiLevelType w:val="multilevel"/>
    <w:tmpl w:val="2E5612E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11167E2"/>
    <w:multiLevelType w:val="multilevel"/>
    <w:tmpl w:val="C3843A7A"/>
    <w:name w:val="Heading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7"/>
  </w:num>
  <w:num w:numId="3">
    <w:abstractNumId w:val="19"/>
  </w:num>
  <w:num w:numId="4">
    <w:abstractNumId w:val="9"/>
  </w:num>
  <w:num w:numId="5">
    <w:abstractNumId w:val="14"/>
  </w:num>
  <w:num w:numId="6">
    <w:abstractNumId w:val="24"/>
  </w:num>
  <w:num w:numId="7">
    <w:abstractNumId w:val="13"/>
  </w:num>
  <w:num w:numId="8">
    <w:abstractNumId w:val="6"/>
  </w:num>
  <w:num w:numId="9">
    <w:abstractNumId w:val="18"/>
  </w:num>
  <w:num w:numId="10">
    <w:abstractNumId w:val="16"/>
  </w:num>
  <w:num w:numId="11">
    <w:abstractNumId w:val="12"/>
  </w:num>
  <w:num w:numId="12">
    <w:abstractNumId w:val="21"/>
  </w:num>
  <w:num w:numId="13">
    <w:abstractNumId w:val="23"/>
  </w:num>
  <w:num w:numId="14">
    <w:abstractNumId w:val="20"/>
  </w:num>
  <w:num w:numId="15">
    <w:abstractNumId w:val="1"/>
  </w:num>
  <w:num w:numId="16">
    <w:abstractNumId w:val="0"/>
  </w:num>
  <w:num w:numId="17">
    <w:abstractNumId w:val="4"/>
  </w:num>
  <w:num w:numId="18">
    <w:abstractNumId w:val="3"/>
  </w:num>
  <w:num w:numId="19">
    <w:abstractNumId w:val="2"/>
  </w:num>
  <w:num w:numId="20">
    <w:abstractNumId w:val="17"/>
  </w:num>
  <w:num w:numId="21">
    <w:abstractNumId w:val="10"/>
  </w:num>
  <w:num w:numId="22">
    <w:abstractNumId w:val="15"/>
  </w:num>
  <w:num w:numId="23">
    <w:abstractNumId w:val="2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AE7CDB0C0024C3F91A81D32501B0CB4"/>
    <w:docVar w:name="LW_CROSSREFERENCE" w:val="&lt;UNUSED&gt;"/>
    <w:docVar w:name="LW_DocType" w:val="NORMAL"/>
    <w:docVar w:name="LW_EMISSION" w:val="15.6.2016"/>
    <w:docVar w:name="LW_EMISSION_ISODATE" w:val="2016-06-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87"/>
    <w:docVar w:name="LW_REF.INTERNE" w:val="&lt;UNUSED&gt;"/>
    <w:docVar w:name="LW_SOUS.TITRE.OBJ.CP" w:val="&lt;UNUSED&gt;"/>
    <w:docVar w:name="LW_SUPERTITRE" w:val="&lt;UNUSED&gt;"/>
    <w:docVar w:name="LW_TITRE.OBJ.CP" w:val="\u1047?\u1040? \u1044?\u1045?\u1049?\u1053?\u1054?\u1057?\u1058?\u1048?\u1058?\u1045? \u1053?\u1040? \u1045?\u1042?\u1056?\u1054?\u1055?\u1045?\u1049?\u1057?\u1050?\u1048?\u1071? \u1057?\u1066?\u1070?\u1047? \u1055?\u1054? \u1042?\u1047?\u1045?\u1052?\u1040?\u1053?\u1045? \u1048? \u1054?\u1058?\u1055?\u1059?\u1057?\u1050?\u1040?\u1053?\u1045? \u1053?\u1040? \u1047?\u1040?\u1045?\u1052?\u1048? \u1055?\u1056?\u1045?\u1047?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noProof/>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paragraph" w:styleId="Header">
    <w:name w:val="header"/>
    <w:basedOn w:val="Normal"/>
    <w:link w:val="HeaderChar"/>
    <w:uiPriority w:val="99"/>
    <w:pPr>
      <w:tabs>
        <w:tab w:val="center" w:pos="4535"/>
        <w:tab w:val="right" w:pos="9071"/>
      </w:tabs>
      <w:spacing w:before="120"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bg-BG"/>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6747">
      <w:bodyDiv w:val="1"/>
      <w:marLeft w:val="0"/>
      <w:marRight w:val="0"/>
      <w:marTop w:val="0"/>
      <w:marBottom w:val="0"/>
      <w:divBdr>
        <w:top w:val="none" w:sz="0" w:space="0" w:color="auto"/>
        <w:left w:val="none" w:sz="0" w:space="0" w:color="auto"/>
        <w:bottom w:val="none" w:sz="0" w:space="0" w:color="auto"/>
        <w:right w:val="none" w:sz="0" w:space="0" w:color="auto"/>
      </w:divBdr>
    </w:div>
    <w:div w:id="159778159">
      <w:bodyDiv w:val="1"/>
      <w:marLeft w:val="0"/>
      <w:marRight w:val="0"/>
      <w:marTop w:val="0"/>
      <w:marBottom w:val="0"/>
      <w:divBdr>
        <w:top w:val="none" w:sz="0" w:space="0" w:color="auto"/>
        <w:left w:val="none" w:sz="0" w:space="0" w:color="auto"/>
        <w:bottom w:val="none" w:sz="0" w:space="0" w:color="auto"/>
        <w:right w:val="none" w:sz="0" w:space="0" w:color="auto"/>
      </w:divBdr>
      <w:divsChild>
        <w:div w:id="1407992964">
          <w:marLeft w:val="0"/>
          <w:marRight w:val="0"/>
          <w:marTop w:val="0"/>
          <w:marBottom w:val="0"/>
          <w:divBdr>
            <w:top w:val="none" w:sz="0" w:space="0" w:color="auto"/>
            <w:left w:val="none" w:sz="0" w:space="0" w:color="auto"/>
            <w:bottom w:val="none" w:sz="0" w:space="0" w:color="auto"/>
            <w:right w:val="none" w:sz="0" w:space="0" w:color="auto"/>
          </w:divBdr>
          <w:divsChild>
            <w:div w:id="833452650">
              <w:marLeft w:val="0"/>
              <w:marRight w:val="0"/>
              <w:marTop w:val="0"/>
              <w:marBottom w:val="0"/>
              <w:divBdr>
                <w:top w:val="none" w:sz="0" w:space="0" w:color="auto"/>
                <w:left w:val="none" w:sz="0" w:space="0" w:color="auto"/>
                <w:bottom w:val="none" w:sz="0" w:space="0" w:color="auto"/>
                <w:right w:val="none" w:sz="0" w:space="0" w:color="auto"/>
              </w:divBdr>
              <w:divsChild>
                <w:div w:id="406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5188">
      <w:bodyDiv w:val="1"/>
      <w:marLeft w:val="0"/>
      <w:marRight w:val="0"/>
      <w:marTop w:val="0"/>
      <w:marBottom w:val="0"/>
      <w:divBdr>
        <w:top w:val="none" w:sz="0" w:space="0" w:color="auto"/>
        <w:left w:val="none" w:sz="0" w:space="0" w:color="auto"/>
        <w:bottom w:val="none" w:sz="0" w:space="0" w:color="auto"/>
        <w:right w:val="none" w:sz="0" w:space="0" w:color="auto"/>
      </w:divBdr>
    </w:div>
    <w:div w:id="343946674">
      <w:bodyDiv w:val="1"/>
      <w:marLeft w:val="0"/>
      <w:marRight w:val="0"/>
      <w:marTop w:val="0"/>
      <w:marBottom w:val="0"/>
      <w:divBdr>
        <w:top w:val="none" w:sz="0" w:space="0" w:color="auto"/>
        <w:left w:val="none" w:sz="0" w:space="0" w:color="auto"/>
        <w:bottom w:val="none" w:sz="0" w:space="0" w:color="auto"/>
        <w:right w:val="none" w:sz="0" w:space="0" w:color="auto"/>
      </w:divBdr>
      <w:divsChild>
        <w:div w:id="911500446">
          <w:marLeft w:val="0"/>
          <w:marRight w:val="0"/>
          <w:marTop w:val="0"/>
          <w:marBottom w:val="0"/>
          <w:divBdr>
            <w:top w:val="none" w:sz="0" w:space="0" w:color="auto"/>
            <w:left w:val="none" w:sz="0" w:space="0" w:color="auto"/>
            <w:bottom w:val="none" w:sz="0" w:space="0" w:color="auto"/>
            <w:right w:val="none" w:sz="0" w:space="0" w:color="auto"/>
          </w:divBdr>
          <w:divsChild>
            <w:div w:id="2054226702">
              <w:marLeft w:val="0"/>
              <w:marRight w:val="0"/>
              <w:marTop w:val="0"/>
              <w:marBottom w:val="0"/>
              <w:divBdr>
                <w:top w:val="none" w:sz="0" w:space="0" w:color="auto"/>
                <w:left w:val="none" w:sz="0" w:space="0" w:color="auto"/>
                <w:bottom w:val="none" w:sz="0" w:space="0" w:color="auto"/>
                <w:right w:val="none" w:sz="0" w:space="0" w:color="auto"/>
              </w:divBdr>
              <w:divsChild>
                <w:div w:id="938484438">
                  <w:marLeft w:val="0"/>
                  <w:marRight w:val="0"/>
                  <w:marTop w:val="0"/>
                  <w:marBottom w:val="0"/>
                  <w:divBdr>
                    <w:top w:val="none" w:sz="0" w:space="0" w:color="auto"/>
                    <w:left w:val="none" w:sz="0" w:space="0" w:color="auto"/>
                    <w:bottom w:val="none" w:sz="0" w:space="0" w:color="auto"/>
                    <w:right w:val="none" w:sz="0" w:space="0" w:color="auto"/>
                  </w:divBdr>
                  <w:divsChild>
                    <w:div w:id="773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042">
      <w:bodyDiv w:val="1"/>
      <w:marLeft w:val="0"/>
      <w:marRight w:val="0"/>
      <w:marTop w:val="0"/>
      <w:marBottom w:val="0"/>
      <w:divBdr>
        <w:top w:val="none" w:sz="0" w:space="0" w:color="auto"/>
        <w:left w:val="none" w:sz="0" w:space="0" w:color="auto"/>
        <w:bottom w:val="none" w:sz="0" w:space="0" w:color="auto"/>
        <w:right w:val="none" w:sz="0" w:space="0" w:color="auto"/>
      </w:divBdr>
      <w:divsChild>
        <w:div w:id="894968088">
          <w:marLeft w:val="0"/>
          <w:marRight w:val="0"/>
          <w:marTop w:val="0"/>
          <w:marBottom w:val="0"/>
          <w:divBdr>
            <w:top w:val="none" w:sz="0" w:space="0" w:color="auto"/>
            <w:left w:val="none" w:sz="0" w:space="0" w:color="auto"/>
            <w:bottom w:val="none" w:sz="0" w:space="0" w:color="auto"/>
            <w:right w:val="none" w:sz="0" w:space="0" w:color="auto"/>
          </w:divBdr>
          <w:divsChild>
            <w:div w:id="1879857697">
              <w:marLeft w:val="0"/>
              <w:marRight w:val="0"/>
              <w:marTop w:val="0"/>
              <w:marBottom w:val="0"/>
              <w:divBdr>
                <w:top w:val="none" w:sz="0" w:space="0" w:color="auto"/>
                <w:left w:val="none" w:sz="0" w:space="0" w:color="auto"/>
                <w:bottom w:val="none" w:sz="0" w:space="0" w:color="auto"/>
                <w:right w:val="none" w:sz="0" w:space="0" w:color="auto"/>
              </w:divBdr>
              <w:divsChild>
                <w:div w:id="65883928">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sChild>
                        <w:div w:id="246496303">
                          <w:marLeft w:val="0"/>
                          <w:marRight w:val="0"/>
                          <w:marTop w:val="0"/>
                          <w:marBottom w:val="0"/>
                          <w:divBdr>
                            <w:top w:val="none" w:sz="0" w:space="0" w:color="auto"/>
                            <w:left w:val="none" w:sz="0" w:space="0" w:color="auto"/>
                            <w:bottom w:val="none" w:sz="0" w:space="0" w:color="auto"/>
                            <w:right w:val="none" w:sz="0" w:space="0" w:color="auto"/>
                          </w:divBdr>
                          <w:divsChild>
                            <w:div w:id="483156492">
                              <w:marLeft w:val="0"/>
                              <w:marRight w:val="0"/>
                              <w:marTop w:val="0"/>
                              <w:marBottom w:val="0"/>
                              <w:divBdr>
                                <w:top w:val="none" w:sz="0" w:space="0" w:color="auto"/>
                                <w:left w:val="none" w:sz="0" w:space="0" w:color="auto"/>
                                <w:bottom w:val="none" w:sz="0" w:space="0" w:color="auto"/>
                                <w:right w:val="none" w:sz="0" w:space="0" w:color="auto"/>
                              </w:divBdr>
                              <w:divsChild>
                                <w:div w:id="1019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05767">
          <w:marLeft w:val="0"/>
          <w:marRight w:val="0"/>
          <w:marTop w:val="0"/>
          <w:marBottom w:val="0"/>
          <w:divBdr>
            <w:top w:val="none" w:sz="0" w:space="0" w:color="auto"/>
            <w:left w:val="none" w:sz="0" w:space="0" w:color="auto"/>
            <w:bottom w:val="none" w:sz="0" w:space="0" w:color="auto"/>
            <w:right w:val="none" w:sz="0" w:space="0" w:color="auto"/>
          </w:divBdr>
          <w:divsChild>
            <w:div w:id="255485984">
              <w:marLeft w:val="-300"/>
              <w:marRight w:val="0"/>
              <w:marTop w:val="0"/>
              <w:marBottom w:val="270"/>
              <w:divBdr>
                <w:top w:val="none" w:sz="0" w:space="0" w:color="auto"/>
                <w:left w:val="none" w:sz="0" w:space="0" w:color="auto"/>
                <w:bottom w:val="none" w:sz="0" w:space="0" w:color="auto"/>
                <w:right w:val="none" w:sz="0" w:space="0" w:color="auto"/>
              </w:divBdr>
              <w:divsChild>
                <w:div w:id="527179358">
                  <w:marLeft w:val="0"/>
                  <w:marRight w:val="0"/>
                  <w:marTop w:val="0"/>
                  <w:marBottom w:val="0"/>
                  <w:divBdr>
                    <w:top w:val="none" w:sz="0" w:space="0" w:color="auto"/>
                    <w:left w:val="none" w:sz="0" w:space="0" w:color="auto"/>
                    <w:bottom w:val="none" w:sz="0" w:space="0" w:color="auto"/>
                    <w:right w:val="none" w:sz="0" w:space="0" w:color="auto"/>
                  </w:divBdr>
                  <w:divsChild>
                    <w:div w:id="1568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990">
      <w:bodyDiv w:val="1"/>
      <w:marLeft w:val="0"/>
      <w:marRight w:val="0"/>
      <w:marTop w:val="0"/>
      <w:marBottom w:val="0"/>
      <w:divBdr>
        <w:top w:val="none" w:sz="0" w:space="0" w:color="auto"/>
        <w:left w:val="none" w:sz="0" w:space="0" w:color="auto"/>
        <w:bottom w:val="none" w:sz="0" w:space="0" w:color="auto"/>
        <w:right w:val="none" w:sz="0" w:space="0" w:color="auto"/>
      </w:divBdr>
      <w:divsChild>
        <w:div w:id="256133283">
          <w:marLeft w:val="0"/>
          <w:marRight w:val="0"/>
          <w:marTop w:val="0"/>
          <w:marBottom w:val="0"/>
          <w:divBdr>
            <w:top w:val="none" w:sz="0" w:space="0" w:color="auto"/>
            <w:left w:val="none" w:sz="0" w:space="0" w:color="auto"/>
            <w:bottom w:val="none" w:sz="0" w:space="0" w:color="auto"/>
            <w:right w:val="none" w:sz="0" w:space="0" w:color="auto"/>
          </w:divBdr>
          <w:divsChild>
            <w:div w:id="264459831">
              <w:marLeft w:val="-300"/>
              <w:marRight w:val="0"/>
              <w:marTop w:val="0"/>
              <w:marBottom w:val="270"/>
              <w:divBdr>
                <w:top w:val="none" w:sz="0" w:space="0" w:color="auto"/>
                <w:left w:val="none" w:sz="0" w:space="0" w:color="auto"/>
                <w:bottom w:val="none" w:sz="0" w:space="0" w:color="auto"/>
                <w:right w:val="none" w:sz="0" w:space="0" w:color="auto"/>
              </w:divBdr>
              <w:divsChild>
                <w:div w:id="309792165">
                  <w:marLeft w:val="0"/>
                  <w:marRight w:val="0"/>
                  <w:marTop w:val="0"/>
                  <w:marBottom w:val="0"/>
                  <w:divBdr>
                    <w:top w:val="none" w:sz="0" w:space="0" w:color="auto"/>
                    <w:left w:val="none" w:sz="0" w:space="0" w:color="auto"/>
                    <w:bottom w:val="none" w:sz="0" w:space="0" w:color="auto"/>
                    <w:right w:val="none" w:sz="0" w:space="0" w:color="auto"/>
                  </w:divBdr>
                  <w:divsChild>
                    <w:div w:id="1472477976">
                      <w:marLeft w:val="0"/>
                      <w:marRight w:val="0"/>
                      <w:marTop w:val="0"/>
                      <w:marBottom w:val="270"/>
                      <w:divBdr>
                        <w:top w:val="none" w:sz="0" w:space="0" w:color="auto"/>
                        <w:left w:val="none" w:sz="0" w:space="0" w:color="auto"/>
                        <w:bottom w:val="none" w:sz="0" w:space="0" w:color="auto"/>
                        <w:right w:val="none" w:sz="0" w:space="0" w:color="auto"/>
                      </w:divBdr>
                      <w:divsChild>
                        <w:div w:id="2064792853">
                          <w:marLeft w:val="0"/>
                          <w:marRight w:val="0"/>
                          <w:marTop w:val="0"/>
                          <w:marBottom w:val="0"/>
                          <w:divBdr>
                            <w:top w:val="none" w:sz="0" w:space="0" w:color="auto"/>
                            <w:left w:val="none" w:sz="0" w:space="0" w:color="auto"/>
                            <w:bottom w:val="none" w:sz="0" w:space="0" w:color="auto"/>
                            <w:right w:val="none" w:sz="0" w:space="0" w:color="auto"/>
                          </w:divBdr>
                          <w:divsChild>
                            <w:div w:id="284849914">
                              <w:marLeft w:val="0"/>
                              <w:marRight w:val="0"/>
                              <w:marTop w:val="0"/>
                              <w:marBottom w:val="0"/>
                              <w:divBdr>
                                <w:top w:val="none" w:sz="0" w:space="0" w:color="auto"/>
                                <w:left w:val="none" w:sz="0" w:space="0" w:color="auto"/>
                                <w:bottom w:val="none" w:sz="0" w:space="0" w:color="auto"/>
                                <w:right w:val="none" w:sz="0" w:space="0" w:color="auto"/>
                              </w:divBdr>
                              <w:divsChild>
                                <w:div w:id="1260063708">
                                  <w:marLeft w:val="0"/>
                                  <w:marRight w:val="0"/>
                                  <w:marTop w:val="0"/>
                                  <w:marBottom w:val="0"/>
                                  <w:divBdr>
                                    <w:top w:val="none" w:sz="0" w:space="0" w:color="auto"/>
                                    <w:left w:val="none" w:sz="0" w:space="0" w:color="auto"/>
                                    <w:bottom w:val="none" w:sz="0" w:space="0" w:color="auto"/>
                                    <w:right w:val="none" w:sz="0" w:space="0" w:color="auto"/>
                                  </w:divBdr>
                                  <w:divsChild>
                                    <w:div w:id="314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91531">
      <w:bodyDiv w:val="1"/>
      <w:marLeft w:val="0"/>
      <w:marRight w:val="0"/>
      <w:marTop w:val="0"/>
      <w:marBottom w:val="0"/>
      <w:divBdr>
        <w:top w:val="none" w:sz="0" w:space="0" w:color="auto"/>
        <w:left w:val="none" w:sz="0" w:space="0" w:color="auto"/>
        <w:bottom w:val="none" w:sz="0" w:space="0" w:color="auto"/>
        <w:right w:val="none" w:sz="0" w:space="0" w:color="auto"/>
      </w:divBdr>
    </w:div>
    <w:div w:id="818109871">
      <w:bodyDiv w:val="1"/>
      <w:marLeft w:val="0"/>
      <w:marRight w:val="0"/>
      <w:marTop w:val="0"/>
      <w:marBottom w:val="0"/>
      <w:divBdr>
        <w:top w:val="none" w:sz="0" w:space="0" w:color="auto"/>
        <w:left w:val="none" w:sz="0" w:space="0" w:color="auto"/>
        <w:bottom w:val="none" w:sz="0" w:space="0" w:color="auto"/>
        <w:right w:val="none" w:sz="0" w:space="0" w:color="auto"/>
      </w:divBdr>
    </w:div>
    <w:div w:id="1721710539">
      <w:bodyDiv w:val="1"/>
      <w:marLeft w:val="0"/>
      <w:marRight w:val="0"/>
      <w:marTop w:val="0"/>
      <w:marBottom w:val="0"/>
      <w:divBdr>
        <w:top w:val="none" w:sz="0" w:space="0" w:color="auto"/>
        <w:left w:val="none" w:sz="0" w:space="0" w:color="auto"/>
        <w:bottom w:val="none" w:sz="0" w:space="0" w:color="auto"/>
        <w:right w:val="none" w:sz="0" w:space="0" w:color="auto"/>
      </w:divBdr>
    </w:div>
    <w:div w:id="1739664756">
      <w:bodyDiv w:val="1"/>
      <w:marLeft w:val="0"/>
      <w:marRight w:val="0"/>
      <w:marTop w:val="0"/>
      <w:marBottom w:val="0"/>
      <w:divBdr>
        <w:top w:val="none" w:sz="0" w:space="0" w:color="auto"/>
        <w:left w:val="none" w:sz="0" w:space="0" w:color="auto"/>
        <w:bottom w:val="none" w:sz="0" w:space="0" w:color="auto"/>
        <w:right w:val="none" w:sz="0" w:space="0" w:color="auto"/>
      </w:divBdr>
      <w:divsChild>
        <w:div w:id="1647855003">
          <w:marLeft w:val="0"/>
          <w:marRight w:val="0"/>
          <w:marTop w:val="0"/>
          <w:marBottom w:val="0"/>
          <w:divBdr>
            <w:top w:val="none" w:sz="0" w:space="0" w:color="auto"/>
            <w:left w:val="none" w:sz="0" w:space="0" w:color="auto"/>
            <w:bottom w:val="none" w:sz="0" w:space="0" w:color="auto"/>
            <w:right w:val="none" w:sz="0" w:space="0" w:color="auto"/>
          </w:divBdr>
          <w:divsChild>
            <w:div w:id="1875457681">
              <w:marLeft w:val="0"/>
              <w:marRight w:val="0"/>
              <w:marTop w:val="0"/>
              <w:marBottom w:val="0"/>
              <w:divBdr>
                <w:top w:val="none" w:sz="0" w:space="0" w:color="auto"/>
                <w:left w:val="none" w:sz="0" w:space="0" w:color="auto"/>
                <w:bottom w:val="none" w:sz="0" w:space="0" w:color="auto"/>
                <w:right w:val="none" w:sz="0" w:space="0" w:color="auto"/>
              </w:divBdr>
              <w:divsChild>
                <w:div w:id="1752237273">
                  <w:marLeft w:val="0"/>
                  <w:marRight w:val="0"/>
                  <w:marTop w:val="0"/>
                  <w:marBottom w:val="0"/>
                  <w:divBdr>
                    <w:top w:val="none" w:sz="0" w:space="0" w:color="auto"/>
                    <w:left w:val="none" w:sz="0" w:space="0" w:color="auto"/>
                    <w:bottom w:val="none" w:sz="0" w:space="0" w:color="auto"/>
                    <w:right w:val="none" w:sz="0" w:space="0" w:color="auto"/>
                  </w:divBdr>
                  <w:divsChild>
                    <w:div w:id="1131555235">
                      <w:marLeft w:val="0"/>
                      <w:marRight w:val="0"/>
                      <w:marTop w:val="0"/>
                      <w:marBottom w:val="0"/>
                      <w:divBdr>
                        <w:top w:val="none" w:sz="0" w:space="0" w:color="auto"/>
                        <w:left w:val="none" w:sz="0" w:space="0" w:color="auto"/>
                        <w:bottom w:val="none" w:sz="0" w:space="0" w:color="auto"/>
                        <w:right w:val="none" w:sz="0" w:space="0" w:color="auto"/>
                      </w:divBdr>
                      <w:divsChild>
                        <w:div w:id="1507552105">
                          <w:marLeft w:val="0"/>
                          <w:marRight w:val="0"/>
                          <w:marTop w:val="0"/>
                          <w:marBottom w:val="0"/>
                          <w:divBdr>
                            <w:top w:val="none" w:sz="0" w:space="0" w:color="auto"/>
                            <w:left w:val="none" w:sz="0" w:space="0" w:color="auto"/>
                            <w:bottom w:val="none" w:sz="0" w:space="0" w:color="auto"/>
                            <w:right w:val="none" w:sz="0" w:space="0" w:color="auto"/>
                          </w:divBdr>
                          <w:divsChild>
                            <w:div w:id="1307587937">
                              <w:marLeft w:val="0"/>
                              <w:marRight w:val="0"/>
                              <w:marTop w:val="0"/>
                              <w:marBottom w:val="0"/>
                              <w:divBdr>
                                <w:top w:val="none" w:sz="0" w:space="0" w:color="auto"/>
                                <w:left w:val="none" w:sz="0" w:space="0" w:color="auto"/>
                                <w:bottom w:val="none" w:sz="0" w:space="0" w:color="auto"/>
                                <w:right w:val="none" w:sz="0" w:space="0" w:color="auto"/>
                              </w:divBdr>
                              <w:divsChild>
                                <w:div w:id="1217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4585">
      <w:bodyDiv w:val="1"/>
      <w:marLeft w:val="0"/>
      <w:marRight w:val="0"/>
      <w:marTop w:val="0"/>
      <w:marBottom w:val="0"/>
      <w:divBdr>
        <w:top w:val="none" w:sz="0" w:space="0" w:color="auto"/>
        <w:left w:val="none" w:sz="0" w:space="0" w:color="auto"/>
        <w:bottom w:val="none" w:sz="0" w:space="0" w:color="auto"/>
        <w:right w:val="none" w:sz="0" w:space="0" w:color="auto"/>
      </w:divBdr>
    </w:div>
    <w:div w:id="20514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homes\032\valtosa\AppData\Local\Microsoft\Windows\Temporary%20Internet%20Files\AppData\Local\Microsoft\Documents%20and%20Settings\skrynna\Local%20Settings\Temporary%20Internet%20Files\Documents%20and%20Settings\sippool\Local%20Settings\Temporary%20Internet%20Files\OLK3\Reg%20407%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F4ED-10A5-47ED-BF7E-71873222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3477</Words>
  <Characters>17666</Characters>
  <Application>Microsoft Office Word</Application>
  <DocSecurity>0</DocSecurity>
  <Lines>654</Lines>
  <Paragraphs>422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20721</CharactersWithSpaces>
  <SharedDoc>false</SharedDoc>
  <HLinks>
    <vt:vector size="90" baseType="variant">
      <vt:variant>
        <vt:i4>1245241</vt:i4>
      </vt:variant>
      <vt:variant>
        <vt:i4>80</vt:i4>
      </vt:variant>
      <vt:variant>
        <vt:i4>0</vt:i4>
      </vt:variant>
      <vt:variant>
        <vt:i4>5</vt:i4>
      </vt:variant>
      <vt:variant>
        <vt:lpwstr/>
      </vt:variant>
      <vt:variant>
        <vt:lpwstr>_Toc451257940</vt:lpwstr>
      </vt:variant>
      <vt:variant>
        <vt:i4>1310777</vt:i4>
      </vt:variant>
      <vt:variant>
        <vt:i4>74</vt:i4>
      </vt:variant>
      <vt:variant>
        <vt:i4>0</vt:i4>
      </vt:variant>
      <vt:variant>
        <vt:i4>5</vt:i4>
      </vt:variant>
      <vt:variant>
        <vt:lpwstr/>
      </vt:variant>
      <vt:variant>
        <vt:lpwstr>_Toc451257939</vt:lpwstr>
      </vt:variant>
      <vt:variant>
        <vt:i4>1310777</vt:i4>
      </vt:variant>
      <vt:variant>
        <vt:i4>68</vt:i4>
      </vt:variant>
      <vt:variant>
        <vt:i4>0</vt:i4>
      </vt:variant>
      <vt:variant>
        <vt:i4>5</vt:i4>
      </vt:variant>
      <vt:variant>
        <vt:lpwstr/>
      </vt:variant>
      <vt:variant>
        <vt:lpwstr>_Toc451257938</vt:lpwstr>
      </vt:variant>
      <vt:variant>
        <vt:i4>1310777</vt:i4>
      </vt:variant>
      <vt:variant>
        <vt:i4>62</vt:i4>
      </vt:variant>
      <vt:variant>
        <vt:i4>0</vt:i4>
      </vt:variant>
      <vt:variant>
        <vt:i4>5</vt:i4>
      </vt:variant>
      <vt:variant>
        <vt:lpwstr/>
      </vt:variant>
      <vt:variant>
        <vt:lpwstr>_Toc451257937</vt:lpwstr>
      </vt:variant>
      <vt:variant>
        <vt:i4>1310777</vt:i4>
      </vt:variant>
      <vt:variant>
        <vt:i4>56</vt:i4>
      </vt:variant>
      <vt:variant>
        <vt:i4>0</vt:i4>
      </vt:variant>
      <vt:variant>
        <vt:i4>5</vt:i4>
      </vt:variant>
      <vt:variant>
        <vt:lpwstr/>
      </vt:variant>
      <vt:variant>
        <vt:lpwstr>_Toc451257936</vt:lpwstr>
      </vt:variant>
      <vt:variant>
        <vt:i4>1310777</vt:i4>
      </vt:variant>
      <vt:variant>
        <vt:i4>50</vt:i4>
      </vt:variant>
      <vt:variant>
        <vt:i4>0</vt:i4>
      </vt:variant>
      <vt:variant>
        <vt:i4>5</vt:i4>
      </vt:variant>
      <vt:variant>
        <vt:lpwstr/>
      </vt:variant>
      <vt:variant>
        <vt:lpwstr>_Toc451257935</vt:lpwstr>
      </vt:variant>
      <vt:variant>
        <vt:i4>1310777</vt:i4>
      </vt:variant>
      <vt:variant>
        <vt:i4>44</vt:i4>
      </vt:variant>
      <vt:variant>
        <vt:i4>0</vt:i4>
      </vt:variant>
      <vt:variant>
        <vt:i4>5</vt:i4>
      </vt:variant>
      <vt:variant>
        <vt:lpwstr/>
      </vt:variant>
      <vt:variant>
        <vt:lpwstr>_Toc451257934</vt:lpwstr>
      </vt:variant>
      <vt:variant>
        <vt:i4>1310777</vt:i4>
      </vt:variant>
      <vt:variant>
        <vt:i4>38</vt:i4>
      </vt:variant>
      <vt:variant>
        <vt:i4>0</vt:i4>
      </vt:variant>
      <vt:variant>
        <vt:i4>5</vt:i4>
      </vt:variant>
      <vt:variant>
        <vt:lpwstr/>
      </vt:variant>
      <vt:variant>
        <vt:lpwstr>_Toc451257933</vt:lpwstr>
      </vt:variant>
      <vt:variant>
        <vt:i4>1310777</vt:i4>
      </vt:variant>
      <vt:variant>
        <vt:i4>32</vt:i4>
      </vt:variant>
      <vt:variant>
        <vt:i4>0</vt:i4>
      </vt:variant>
      <vt:variant>
        <vt:i4>5</vt:i4>
      </vt:variant>
      <vt:variant>
        <vt:lpwstr/>
      </vt:variant>
      <vt:variant>
        <vt:lpwstr>_Toc451257932</vt:lpwstr>
      </vt:variant>
      <vt:variant>
        <vt:i4>1310777</vt:i4>
      </vt:variant>
      <vt:variant>
        <vt:i4>26</vt:i4>
      </vt:variant>
      <vt:variant>
        <vt:i4>0</vt:i4>
      </vt:variant>
      <vt:variant>
        <vt:i4>5</vt:i4>
      </vt:variant>
      <vt:variant>
        <vt:lpwstr/>
      </vt:variant>
      <vt:variant>
        <vt:lpwstr>_Toc451257931</vt:lpwstr>
      </vt:variant>
      <vt:variant>
        <vt:i4>1310777</vt:i4>
      </vt:variant>
      <vt:variant>
        <vt:i4>20</vt:i4>
      </vt:variant>
      <vt:variant>
        <vt:i4>0</vt:i4>
      </vt:variant>
      <vt:variant>
        <vt:i4>5</vt:i4>
      </vt:variant>
      <vt:variant>
        <vt:lpwstr/>
      </vt:variant>
      <vt:variant>
        <vt:lpwstr>_Toc451257930</vt:lpwstr>
      </vt:variant>
      <vt:variant>
        <vt:i4>1376313</vt:i4>
      </vt:variant>
      <vt:variant>
        <vt:i4>14</vt:i4>
      </vt:variant>
      <vt:variant>
        <vt:i4>0</vt:i4>
      </vt:variant>
      <vt:variant>
        <vt:i4>5</vt:i4>
      </vt:variant>
      <vt:variant>
        <vt:lpwstr/>
      </vt:variant>
      <vt:variant>
        <vt:lpwstr>_Toc451257929</vt:lpwstr>
      </vt:variant>
      <vt:variant>
        <vt:i4>1376313</vt:i4>
      </vt:variant>
      <vt:variant>
        <vt:i4>8</vt:i4>
      </vt:variant>
      <vt:variant>
        <vt:i4>0</vt:i4>
      </vt:variant>
      <vt:variant>
        <vt:i4>5</vt:i4>
      </vt:variant>
      <vt:variant>
        <vt:lpwstr/>
      </vt:variant>
      <vt:variant>
        <vt:lpwstr>_Toc451257928</vt:lpwstr>
      </vt:variant>
      <vt:variant>
        <vt:i4>1376313</vt:i4>
      </vt:variant>
      <vt:variant>
        <vt:i4>2</vt:i4>
      </vt:variant>
      <vt:variant>
        <vt:i4>0</vt:i4>
      </vt:variant>
      <vt:variant>
        <vt:i4>5</vt:i4>
      </vt:variant>
      <vt:variant>
        <vt:lpwstr/>
      </vt:variant>
      <vt:variant>
        <vt:lpwstr>_Toc451257927</vt:lpwstr>
      </vt:variant>
      <vt:variant>
        <vt:i4>8192023</vt:i4>
      </vt:variant>
      <vt:variant>
        <vt:i4>0</vt:i4>
      </vt:variant>
      <vt:variant>
        <vt:i4>0</vt:i4>
      </vt:variant>
      <vt:variant>
        <vt:i4>5</vt:i4>
      </vt:variant>
      <vt:variant>
        <vt:lpwstr>file://\\net1.cec.eu.int\homes\032\valtosa\AppData\Local\Microsoft\Windows\Temporary Internet Files\AppData\Local\Microsoft\Documents and Settings\skrynna\Local Settings\Temporary Internet Files\Documents and Settings\sippool\Local Settings\Temporary Internet Files\OLK3\Reg 407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2016-05-23T08:55:00Z</cp:lastPrinted>
  <dcterms:created xsi:type="dcterms:W3CDTF">2016-05-23T10:08:00Z</dcterms:created>
  <dcterms:modified xsi:type="dcterms:W3CDTF">2016-06-14T14:11:00Z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