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CA7E9D4E9532482E9A05FD1150C60055" style="width:450.7pt;height:366.1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се отнася за проект на решение на Съвета относно 2-та част от финансовите вноски за Европейския фонд за развитие (ЕФР), които трябва да бъдат платени от държавите членки през 2016 г.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11-ият ЕФР и другите ЕФР фондове, които все още не са изпълнени (т.е. 8-ият, 9-ият и 10-ият ЕФР), се управляват съгласно следните правила: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Настоящото споразумение за партньорство между членовете на групата държави от Африка, Карибите и Тихоокеанския басейн, от една страна, и Европейската общност и нейните държави членки, от друга страна, с последните му изменения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(„Споразумението за партньорство АКТБ—ЕС“),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Вътрешното споразумение между представителите на правителствата на държавите — членки на Европейския съюз, заседаващи в рамките на Съвета, относно финансирането на помощта от Европейския съюз съгласно многогодишната финансова рамка за периода 2014—2020 г. в съответствие със Споразумението за партньорство АКТБ—ЕС и за разпределението на финансовата помощ за отвъдморските страни и територии, за които се прилага част четвърта от Договора за функционирането на Европейския съюз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(„Вътрешното споразумение за 11-ия ЕФР“),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Регламент (ЕС) 2015/323 на Съвета относно финансовия регламент, приложим за 11-ия Европейски фонд за развитие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(„Финансовият регламент за 11-ия ЕФР“).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Посочените по-горе документи съдържат многогодишни поети задължения от страна на държавите членки за финансова подкрепа на ЕФР. Във Финансовия регламент за 11-ия ЕФР се предвиждат редовни вноски на държавите членки за ЕФР по предварително определени финансови задължения. Редовните вноски се задействат с технически решения на Съвета, които отразяват изпълнението на поетите финансови задължения, за които е взето решение предварително.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Поради това някои от позициите в обяснителния меморандум не се прилагат за поканите за редовни вноски като настоящата.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</w:rPr>
        <w:t>Съгласуваност със съществуващите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точка 1. Основания и цели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точка 1. Основания и цели на предложението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noProof/>
        </w:rPr>
      </w:pPr>
      <w:r>
        <w:rPr>
          <w:noProof/>
        </w:rPr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съответствие с член 21, параграф 7 от Финансовия регламент за 11-ия ЕФР сумата, управлявана от Комисията, и сумата, управлявана от Европейската инвестиционна банка (ЕИБ), се определят поотделно.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съответствие с член 52 от Финансовия регламент за 11-ия ЕФР ЕИБ изпрати на Комисията актуализираните си прогнози за поетите задължения и за плащанията по инструментите, които управлява.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съответствие с член 22, параграф 1 от Финансовия регламент за 11-ия ЕФР поканите за вноски първо оползотворяват една след друга сумите, предвидени за предходни ЕФР. Поради това поканите за вноски в настоящото предложение се отнасят — както за ЕИБ, така и за Комисията — за суми по 10-ия ЕФР.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съответствие с член 21, параграф 3 от Финансовия регламент за 11-ия ЕФР Съветът трябва да вземе решение по това предложение най-късно 21 календарни дни, след като Комисията представи предложението си.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съответствие с член 1 от Решение 2013/759/EС на Съвета за установяване на преходния инструмент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вноските на държавите членки, посочени в член 1, параграф 2, буква а) от вътрешните споразумения за 8-ия, 9-ия и 10-ия ЕФР, съответно се намалят след влизането в сила на Вътрешното споразумение за 11-ия ЕФР. Намалението ще има въздействие върху вноските на държавите членки за Комисията за 2015 г., 2016 г. и 2017 г. съгласно варианта за корекция, избран от всяка държава членка.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член 23, параграф 1 от Финансовия регламент за 11-ия ЕФР се предвижда, че когато държава членка не плати дължимата част от вноската до определения краен срок, от нея се изисква да плати лихва върху неплатената сума; условията на плащане на лихвата са посочени в същия член.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точка 1. Основания и цели на предложението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точка 1. Основания и цели на предложението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точка 1. Основания и цели на предложението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точка 1. Основания и цели на предложението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Планове за изпълнение и уредба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Подробно разяснение на конкретни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2016/0183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финансовите вноски, които трябва да бъдат платени от държавите членки за финансиране на Европейския фонд за развитие, включително втората част от вноската за 2016 г.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Европейския съюз и Договора за функционирането на Европейския съюз,</w:t>
      </w:r>
    </w:p>
    <w:p>
      <w:pPr>
        <w:rPr>
          <w:noProof/>
        </w:rPr>
      </w:pPr>
      <w:r>
        <w:rPr>
          <w:noProof/>
        </w:rPr>
        <w:t>като взе предвид Споразумението за партньорство между членовете на групата държави от Африка, Карибите и Тихоокеанския басейн, от една страна, и Европейската общност и нейните държави членки, от друга страна, с последните му изменения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(„Споразумението за партньорство АКТБ—ЕС“),</w:t>
      </w:r>
    </w:p>
    <w:p>
      <w:pPr>
        <w:rPr>
          <w:noProof/>
        </w:rPr>
      </w:pPr>
      <w:r>
        <w:rPr>
          <w:noProof/>
        </w:rPr>
        <w:t>като взе предвид Вътрешното споразумение между представителите на правителствата на държавите — членки на Европейския съюз, заседаващи в рамките на Съвета, относно финансирането на помощта от Европейския съюз съгласно многогодишната финансова рамка за периода 2014—2020 г. в съответствие със Споразумението за партньорство АКТБ—ЕС и за разпределението на финансовата помощ за отвъдморските страни и територии, за които се прилага част четвърта от Договора за функционирането на Европейския съюз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(„Вътрешното споразумение“), и по-специално член 7 от него,</w:t>
      </w:r>
    </w:p>
    <w:p>
      <w:pPr>
        <w:rPr>
          <w:noProof/>
        </w:rPr>
      </w:pPr>
      <w:r>
        <w:rPr>
          <w:noProof/>
        </w:rPr>
        <w:t>като взе предвид Регламент (ЕС) 2015/323 на Съвета от 2 март 2015 г. относно Финансовия регламент, приложим за 11-ия Европейски фонд за развитие („Финансовият регламент за 11-ия ЕФР“)</w:t>
      </w:r>
      <w:r>
        <w:rPr>
          <w:rStyle w:val="FootnoteReference"/>
          <w:noProof/>
        </w:rPr>
        <w:footnoteReference w:id="7"/>
      </w:r>
      <w:r>
        <w:rPr>
          <w:noProof/>
        </w:rPr>
        <w:t>, и по-специално член 21, параграф 3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съответствие с процедурата, установена в членове 21—24 от Финансовия регламент за 11-ия ЕФР, в срок до 15 юни 2016 г. Комисията представя предложение, в което се определят: а) размерът на втората част от вноската за 2016 г. и б) преразгледан годишен размер на вноската за 2016 г. в случаите, когато сумата се отклонява от действителните потребности.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съответствие с член 52 от Финансовия регламент за 11-ия ЕФР, на 28 април 2016 г. Европейската инвестиционна банка (ЕИБ) изпрати на Комисията актуализираните си прогнози за поетите задължения и за плащанията по инструментите, които управлява.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член 22, параграф 1 от Финансовия регламент за 11-ия ЕФР се предвижда, че поканите за вноски първо оползотворяват сумите, предвидени за предходни ЕФР. Затова следва да се отправи покана за средства по 10-ия ЕФР.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По предложение на Комисията Съветът прие на 24 ноември 2015 г. решение, с което определи горната граница на годишния размер на вноските на държавите членки за ЕФР за 2016 г. на 3 450 000 000 EUR за Комисията и на 150 000 000 EUR за Европейската инвестиционна банка</w:t>
      </w:r>
      <w:r>
        <w:rPr>
          <w:rStyle w:val="FootnoteReference"/>
          <w:noProof/>
        </w:rPr>
        <w:footnoteReference w:id="8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На 12 декември 2013 г. Съветът прие създаването на преходния инструмент, свързан с преходни мерки за управление на ЕФР за периода от 1 януари 2014 г. до влизането в сила на 11-ия Европейски фонд за развитие</w:t>
      </w:r>
      <w:r>
        <w:rPr>
          <w:rStyle w:val="FootnoteReference"/>
          <w:noProof/>
        </w:rPr>
        <w:footnoteReference w:id="9"/>
      </w:r>
      <w:r>
        <w:rPr>
          <w:noProof/>
        </w:rPr>
        <w:t>.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Отделните вноски за Европейския фонд за развитие, които държавите членки трябва да платят на Европейската комисия и на Европейската инвестиционна банка като втора част от вноската за 2016 г., са посочени в таблицата в приложението.</w:t>
      </w:r>
    </w:p>
    <w:p>
      <w:pPr>
        <w:rPr>
          <w:noProof/>
        </w:rPr>
      </w:pPr>
      <w:r>
        <w:rPr>
          <w:noProof/>
        </w:rPr>
        <w:t>Плащанията на посочените вноски могат да бъдат комбинирани с корекции, свързани с прилагането на приспадането на средствата, за които са поети задължения по преходния инструмент, в съответствие с план за корекции, съобщен на Комисията от всяка държава членка при приемането на третата част от вноската за 2015 г.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>
      <w:pPr>
        <w:keepLines/>
        <w:rPr>
          <w:noProof/>
        </w:rPr>
      </w:pPr>
      <w:r>
        <w:rPr>
          <w:noProof/>
        </w:rPr>
        <w:t>Адресати на настоящото решение са държавите членки.</w:t>
      </w:r>
    </w:p>
    <w:p>
      <w:pPr>
        <w:keepLines/>
        <w:rPr>
          <w:noProof/>
        </w:rPr>
      </w:pP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 317, 15.12.2000 г., стр. 3.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 210, 6.8.2013</w:t>
      </w:r>
      <w:r>
        <w:rPr>
          <w:lang w:val="pl-PL"/>
        </w:rPr>
        <w:t> </w:t>
      </w:r>
      <w:r>
        <w:t>г., стр. 1.</w:t>
      </w:r>
    </w:p>
  </w:footnote>
  <w:footnote w:id="3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58, 3.3.2015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17—38.</w:t>
      </w:r>
    </w:p>
  </w:footnote>
  <w:footnote w:id="4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335, 14.12.2013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48—49.</w:t>
      </w:r>
    </w:p>
  </w:footnote>
  <w:footnote w:id="5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317, 15.12.2000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3.</w:t>
      </w:r>
    </w:p>
  </w:footnote>
  <w:footnote w:id="6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210, 6.8.2013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1.</w:t>
      </w:r>
    </w:p>
  </w:footnote>
  <w:footnote w:id="7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58, 3.3.2015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17—38.</w:t>
      </w:r>
    </w:p>
  </w:footnote>
  <w:footnote w:id="8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Междуинституционално</w:t>
      </w:r>
      <w:r>
        <w:rPr>
          <w:lang w:val="pl-PL"/>
        </w:rPr>
        <w:t xml:space="preserve"> </w:t>
      </w:r>
      <w:r>
        <w:t>досие</w:t>
      </w:r>
      <w:r>
        <w:rPr>
          <w:lang w:val="pl-PL"/>
        </w:rPr>
        <w:t xml:space="preserve"> 2015/0248(NLE).</w:t>
      </w:r>
    </w:p>
  </w:footnote>
  <w:footnote w:id="9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 335, 14.12.2013 </w:t>
      </w:r>
      <w:r>
        <w:t>г</w:t>
      </w:r>
      <w:r>
        <w:rPr>
          <w:lang w:val="pl-PL"/>
        </w:rPr>
        <w:t xml:space="preserve">., </w:t>
      </w:r>
      <w:r>
        <w:t>Регламент</w:t>
      </w:r>
      <w:r>
        <w:rPr>
          <w:lang w:val="pl-PL"/>
        </w:rPr>
        <w:t xml:space="preserve"> (</w:t>
      </w:r>
      <w:r>
        <w:t>ЕС</w:t>
      </w:r>
      <w:r>
        <w:rPr>
          <w:lang w:val="pl-PL"/>
        </w:rPr>
        <w:t xml:space="preserve">) 2015/322 </w:t>
      </w:r>
      <w:r>
        <w:t>на</w:t>
      </w:r>
      <w:r>
        <w:rPr>
          <w:lang w:val="pl-PL"/>
        </w:rPr>
        <w:t xml:space="preserve"> </w:t>
      </w:r>
      <w:r>
        <w:t>Съвета</w:t>
      </w:r>
      <w:r>
        <w:rPr>
          <w:lang w:val="pl-PL"/>
        </w:rPr>
        <w:t xml:space="preserve"> </w:t>
      </w:r>
      <w:r>
        <w:t>и</w:t>
      </w:r>
      <w:r>
        <w:rPr>
          <w:lang w:val="pl-PL"/>
        </w:rPr>
        <w:t xml:space="preserve"> </w:t>
      </w:r>
      <w:r>
        <w:t>Регламент</w:t>
      </w:r>
      <w:r>
        <w:rPr>
          <w:lang w:val="pl-PL"/>
        </w:rPr>
        <w:t xml:space="preserve"> (</w:t>
      </w:r>
      <w:r>
        <w:t>ЕС</w:t>
      </w:r>
      <w:r>
        <w:rPr>
          <w:lang w:val="pl-PL"/>
        </w:rPr>
        <w:t xml:space="preserve">) 2015/323 </w:t>
      </w:r>
      <w:r>
        <w:t>на</w:t>
      </w:r>
      <w:r>
        <w:rPr>
          <w:lang w:val="pl-PL"/>
        </w:rPr>
        <w:t xml:space="preserve"> </w:t>
      </w:r>
      <w:r>
        <w:t>Съвета</w:t>
      </w:r>
      <w:r>
        <w:rPr>
          <w:lang w:val="pl-PL"/>
        </w:rPr>
        <w:t xml:space="preserve"> </w:t>
      </w:r>
      <w:r>
        <w:t>от</w:t>
      </w:r>
      <w:r>
        <w:rPr>
          <w:lang w:val="pl-PL"/>
        </w:rPr>
        <w:t xml:space="preserve"> 2 </w:t>
      </w:r>
      <w:r>
        <w:t>март</w:t>
      </w:r>
      <w:r>
        <w:rPr>
          <w:lang w:val="pl-PL"/>
        </w:rPr>
        <w:t xml:space="preserve"> 2015 </w:t>
      </w:r>
      <w:r>
        <w:t>г</w:t>
      </w:r>
      <w:r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EB483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7C285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95E73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0AC7C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82467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63696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D6EFF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FB4AE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6-13 10:14:5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CA7E9D4E9532482E9A05FD1150C60055"/>
    <w:docVar w:name="LW_CROSSREFERENCE" w:val="&lt;UNUSED&gt;"/>
    <w:docVar w:name="LW_DocType" w:val="COM"/>
    <w:docVar w:name="LW_EMISSION" w:val="15.6.2016"/>
    <w:docVar w:name="LW_EMISSION_ISODATE" w:val="2016-06-15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83"/>
    <w:docVar w:name="LW_REF.II.NEW.CP_YEAR" w:val="2016"/>
    <w:docVar w:name="LW_REF.INST.NEW" w:val="COM"/>
    <w:docVar w:name="LW_REF.INST.NEW_ADOPTED" w:val="final"/>
    <w:docVar w:name="LW_REF.INST.NEW_TEXT" w:val="(2016) 389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4?\u1090?\u1086?\u1088?\u1072?\u1090?\u1072? \u1095?\u1072?\u1089?\u1090? \u1086?\u1090? \u1074?\u1085?\u1086?\u1089?\u1082?\u1072?\u1090?\u1072? \u1079?\u1072? 2016 \u1075?.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B208-91D6-4F40-ABBB-6DB21564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6</Pages>
  <Words>1243</Words>
  <Characters>7062</Characters>
  <Application>Microsoft Office Word</Application>
  <DocSecurity>0</DocSecurity>
  <Lines>150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2016-05-31T09:04:00Z</dcterms:created>
  <dcterms:modified xsi:type="dcterms:W3CDTF">2016-06-13T08:14:00Z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