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9C" w:rsidRDefault="008D6BD5">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9C34F44B73943BA949B64B7321431EF" style="width:450pt;height:334.5pt">
            <v:imagedata r:id="rId9" o:title=""/>
          </v:shape>
        </w:pict>
      </w:r>
    </w:p>
    <w:bookmarkEnd w:id="0"/>
    <w:p w:rsidR="00BA319C" w:rsidRDefault="00BA319C">
      <w:pPr>
        <w:rPr>
          <w:rFonts w:ascii="Times New Roman" w:hAnsi="Times New Roman"/>
          <w:noProof/>
          <w:lang w:val="bg-BG"/>
        </w:rPr>
        <w:sectPr w:rsidR="00BA319C">
          <w:headerReference w:type="default" r:id="rId10"/>
          <w:footerReference w:type="default" r:id="rId11"/>
          <w:pgSz w:w="11906" w:h="16838"/>
          <w:pgMar w:top="1134" w:right="1417" w:bottom="1134" w:left="1417" w:header="709" w:footer="709" w:gutter="0"/>
          <w:pgNumType w:start="1"/>
          <w:cols w:space="720"/>
          <w:docGrid w:linePitch="360"/>
        </w:sectPr>
      </w:pPr>
    </w:p>
    <w:p w:rsidR="00BA319C" w:rsidRDefault="008D6BD5">
      <w:pPr>
        <w:pStyle w:val="Typedudocument"/>
        <w:rPr>
          <w:noProof/>
          <w:lang w:val="bg-BG"/>
        </w:rPr>
      </w:pPr>
      <w:r>
        <w:rPr>
          <w:noProof/>
          <w:lang w:val="bg-BG"/>
        </w:rPr>
        <w:lastRenderedPageBreak/>
        <w:t>ДОКЛАД НА КОМИСИЯТА ДО ЕВРОПЕЙСКИЯ ПАРЛАМЕНТ, СЪВЕТА, ЕВРОПЕЙСКИЯ ИКОНОМИЧЕСКИ И СОЦИАЛЕН КОМИТЕТ И</w:t>
      </w:r>
      <w:r>
        <w:rPr>
          <w:noProof/>
          <w:lang w:val="bg-BG"/>
        </w:rPr>
        <w:t xml:space="preserve"> КОМИТЕТА НА РЕГИОНИТЕ</w:t>
      </w:r>
    </w:p>
    <w:p w:rsidR="00BA319C" w:rsidRDefault="008D6BD5">
      <w:pPr>
        <w:pStyle w:val="Titreobjet"/>
        <w:rPr>
          <w:noProof/>
          <w:lang w:val="bg-BG"/>
        </w:rPr>
      </w:pPr>
      <w:r>
        <w:rPr>
          <w:noProof/>
          <w:lang w:val="bg-BG"/>
        </w:rPr>
        <w:t>Доклад относно политиката в областта на конкуренцията за 2015 г.</w:t>
      </w:r>
    </w:p>
    <w:p w:rsidR="00BA319C" w:rsidRDefault="008D6BD5">
      <w:pPr>
        <w:numPr>
          <w:ilvl w:val="0"/>
          <w:numId w:val="3"/>
        </w:numPr>
        <w:spacing w:line="240" w:lineRule="auto"/>
        <w:jc w:val="both"/>
        <w:rPr>
          <w:rFonts w:ascii="Times New Roman" w:hAnsi="Times New Roman"/>
          <w:noProof/>
          <w:sz w:val="24"/>
          <w:szCs w:val="24"/>
          <w:lang w:val="bg-BG" w:eastAsia="bg-BG" w:bidi="bg-BG"/>
        </w:rPr>
      </w:pPr>
      <w:r>
        <w:rPr>
          <w:rFonts w:ascii="Times New Roman" w:hAnsi="Times New Roman"/>
          <w:b/>
          <w:noProof/>
          <w:sz w:val="24"/>
          <w:lang w:val="bg-BG" w:eastAsia="bg-BG" w:bidi="bg-BG"/>
        </w:rPr>
        <w:t>Въведение</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Силната и ефективна политика на ЕС в областта на конкуренцията винаги е била крайъгълен камък на европейския проект. Днес, когато продължаването на възстановя</w:t>
      </w:r>
      <w:r>
        <w:rPr>
          <w:rFonts w:ascii="Times New Roman" w:hAnsi="Times New Roman"/>
          <w:noProof/>
          <w:sz w:val="24"/>
          <w:lang w:val="bg-BG" w:eastAsia="bg-BG" w:bidi="bg-BG"/>
        </w:rPr>
        <w:t>ването и засилването на икономическия растеж са водещи приоритети в програмата на ЕС, политиката в областта на конкуренцията е по-важна от всякога.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Политиката в областта на конкуренцията поддържа ефективни и отворени пазари. За европейските потребители тов</w:t>
      </w:r>
      <w:r>
        <w:rPr>
          <w:rFonts w:ascii="Times New Roman" w:hAnsi="Times New Roman"/>
          <w:noProof/>
          <w:sz w:val="24"/>
          <w:lang w:val="bg-BG" w:eastAsia="bg-BG" w:bidi="bg-BG"/>
        </w:rPr>
        <w:t>а означава по-добри пазарни резултати, като например по-ниски цени, по-качествени продукти и услуги и по-голям избор. Освен това здравословната конкуренция дава на предприятията равни шансове да развиват стопанска дейност и да постигат своите търговски цел</w:t>
      </w:r>
      <w:r>
        <w:rPr>
          <w:rFonts w:ascii="Times New Roman" w:hAnsi="Times New Roman"/>
          <w:noProof/>
          <w:sz w:val="24"/>
          <w:lang w:val="bg-BG" w:eastAsia="bg-BG" w:bidi="bg-BG"/>
        </w:rPr>
        <w:t>и, което от своя страна насърчава растежа, създаването на работни места и благоденствието. Когато предприятията са в състояние да се конкурират на основата на своите качества, те, както и домакинствата се възползват от широка гама висококачествени, новатор</w:t>
      </w:r>
      <w:r>
        <w:rPr>
          <w:rFonts w:ascii="Times New Roman" w:hAnsi="Times New Roman"/>
          <w:noProof/>
          <w:sz w:val="24"/>
          <w:lang w:val="bg-BG" w:eastAsia="bg-BG" w:bidi="bg-BG"/>
        </w:rPr>
        <w:t>ски продукти и услуги на конкурентни цени. Засилената конкуренция също така е стимул за предприятията да инвестират и да повишават своята ефективност. В последствие повишаването на ефективността се пренася върху икономиката като цяло. Крайната цел на полит</w:t>
      </w:r>
      <w:r>
        <w:rPr>
          <w:rFonts w:ascii="Times New Roman" w:hAnsi="Times New Roman"/>
          <w:noProof/>
          <w:sz w:val="24"/>
          <w:lang w:val="bg-BG" w:eastAsia="bg-BG" w:bidi="bg-BG"/>
        </w:rPr>
        <w:t>иката в областта на конкуренцията е пазарите да работят по-добре — в полза на домакинствата и предприятията.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В началото на своя мандат председателят на Европейската комисия Жан-Клод Юнкер заяви, че неговата Комисия ще се фокусира върху ключовите предизвика</w:t>
      </w:r>
      <w:r>
        <w:rPr>
          <w:rFonts w:ascii="Times New Roman" w:hAnsi="Times New Roman"/>
          <w:noProof/>
          <w:sz w:val="24"/>
          <w:lang w:val="bg-BG" w:eastAsia="bg-BG" w:bidi="bg-BG"/>
        </w:rPr>
        <w:t>телства пред европейските общество и икономика. Политиката в областта на конкуренцията има важна роля за справяне с тези предизвикателства. Работата, извършена в областта на конкуренцията през 2015 г., допринесе значително за редица ключови политически при</w:t>
      </w:r>
      <w:r>
        <w:rPr>
          <w:rFonts w:ascii="Times New Roman" w:hAnsi="Times New Roman"/>
          <w:noProof/>
          <w:sz w:val="24"/>
          <w:lang w:val="bg-BG" w:eastAsia="bg-BG" w:bidi="bg-BG"/>
        </w:rPr>
        <w:t>оритети на Комисията, а именно увеличаването на заетостта, растежа и инвестициите, както и създаването на свързан цифров единен пазар, устойчив енергиен съюз и по-задълбочен и по-справедлив единен пазар.</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Комисията е ангажирана също така с насърчаването на </w:t>
      </w:r>
      <w:r>
        <w:rPr>
          <w:rFonts w:ascii="Times New Roman" w:hAnsi="Times New Roman"/>
          <w:noProof/>
          <w:sz w:val="24"/>
          <w:lang w:val="bg-BG" w:eastAsia="bg-BG" w:bidi="bg-BG"/>
        </w:rPr>
        <w:t>културата на конкуренция — както в рамките на ЕС, така и извън него — чрез стимулиране на по-тесен диалог с държавите членки</w:t>
      </w:r>
      <w:r>
        <w:rPr>
          <w:rFonts w:ascii="Times New Roman" w:hAnsi="Times New Roman"/>
          <w:noProof/>
          <w:sz w:val="24"/>
          <w:vertAlign w:val="superscript"/>
          <w:lang w:val="bg-BG" w:eastAsia="bg-BG" w:bidi="bg-BG"/>
        </w:rPr>
        <w:footnoteReference w:id="1"/>
      </w:r>
      <w:r>
        <w:rPr>
          <w:rFonts w:ascii="Times New Roman" w:hAnsi="Times New Roman"/>
          <w:noProof/>
          <w:sz w:val="24"/>
          <w:lang w:val="bg-BG" w:eastAsia="bg-BG" w:bidi="bg-BG"/>
        </w:rPr>
        <w:t xml:space="preserve"> и с другите институции на ЕС, както и на широко международно сътрудничество.</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Водещите принципи на правоприлагането в областта на к</w:t>
      </w:r>
      <w:r>
        <w:rPr>
          <w:rFonts w:ascii="Times New Roman" w:hAnsi="Times New Roman"/>
          <w:noProof/>
          <w:sz w:val="24"/>
          <w:lang w:val="bg-BG" w:eastAsia="bg-BG" w:bidi="bg-BG"/>
        </w:rPr>
        <w:t xml:space="preserve">онкуренцията са запазването на безпристрастност, налагането на върховенството на закона и общия европейски интерес. Също така, в основата на политиката на ЕС в областта на конкуренцията стоят ценностите справедливост, политическа независимост, прозрачност </w:t>
      </w:r>
      <w:r>
        <w:rPr>
          <w:rFonts w:ascii="Times New Roman" w:hAnsi="Times New Roman"/>
          <w:noProof/>
          <w:sz w:val="24"/>
          <w:lang w:val="bg-BG" w:eastAsia="bg-BG" w:bidi="bg-BG"/>
        </w:rPr>
        <w:t>и справедлив процес.</w:t>
      </w:r>
    </w:p>
    <w:p w:rsidR="00BA319C" w:rsidRDefault="008D6BD5">
      <w:pPr>
        <w:numPr>
          <w:ilvl w:val="0"/>
          <w:numId w:val="3"/>
        </w:numPr>
        <w:spacing w:line="240" w:lineRule="auto"/>
        <w:jc w:val="both"/>
        <w:rPr>
          <w:rFonts w:ascii="Times New Roman" w:hAnsi="Times New Roman"/>
          <w:b/>
          <w:noProof/>
          <w:sz w:val="24"/>
          <w:szCs w:val="24"/>
          <w:lang w:val="bg-BG" w:eastAsia="bg-BG" w:bidi="bg-BG"/>
        </w:rPr>
      </w:pPr>
      <w:r>
        <w:rPr>
          <w:rFonts w:ascii="Times New Roman" w:hAnsi="Times New Roman"/>
          <w:b/>
          <w:noProof/>
          <w:sz w:val="24"/>
          <w:lang w:val="bg-BG" w:eastAsia="bg-BG" w:bidi="bg-BG"/>
        </w:rPr>
        <w:lastRenderedPageBreak/>
        <w:t>Политиката в областта на конкуренцията дава тласък на иновациите и инвестициите в целия ЕС</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В икономиката на Европа се наблюдава бавна възходяща тенденция след неотдавнашната икономическа и финансова криза. За да се изгради стабилна </w:t>
      </w:r>
      <w:r>
        <w:rPr>
          <w:rFonts w:ascii="Times New Roman" w:hAnsi="Times New Roman"/>
          <w:noProof/>
          <w:sz w:val="24"/>
          <w:lang w:val="bg-BG" w:eastAsia="bg-BG" w:bidi="bg-BG"/>
        </w:rPr>
        <w:t>основа за устойчив растеж и създаване на качествени работни места, ЕС трябва да възстанови своите нива на инвестиции, особено в стратегически области като научните изследвания, развойната дейност и иновациите. Бъдещето на Европа трябва да се основава в осо</w:t>
      </w:r>
      <w:r>
        <w:rPr>
          <w:rFonts w:ascii="Times New Roman" w:hAnsi="Times New Roman"/>
          <w:noProof/>
          <w:sz w:val="24"/>
          <w:lang w:val="bg-BG" w:eastAsia="bg-BG" w:bidi="bg-BG"/>
        </w:rPr>
        <w:t>бено голяма степен на иновациите. Политиката в областта на конкуренцията може да помогне за постигането на тази цел чрез създаване на среда, която насърчава инвестициите и иновациите.</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Конкурентният натиск създава стимули за фирмите да инвестират, като пови</w:t>
      </w:r>
      <w:r>
        <w:rPr>
          <w:rFonts w:ascii="Times New Roman" w:hAnsi="Times New Roman"/>
          <w:noProof/>
          <w:sz w:val="24"/>
          <w:lang w:val="bg-BG" w:eastAsia="bg-BG" w:bidi="bg-BG"/>
        </w:rPr>
        <w:t>шават своята ефективност, развиват нови технологии и създават по-добри продукти. Създаването на условия за по-ефективна конкуренция помага да се стимулират инвестициите, като пазарите се поддържат отворени и се гарантира предприемането на действия, ако лид</w:t>
      </w:r>
      <w:r>
        <w:rPr>
          <w:rFonts w:ascii="Times New Roman" w:hAnsi="Times New Roman"/>
          <w:noProof/>
          <w:sz w:val="24"/>
          <w:lang w:val="bg-BG" w:eastAsia="bg-BG" w:bidi="bg-BG"/>
        </w:rPr>
        <w:t>ер на пазара злоупотребява със своето положение с цел да попречи на растежа и иновациите на своите конкуренти. Симулации по иконометричния модел показват, че решенията на Комисията в областта на сливанията и картелите са довели до увеличение на инвестициит</w:t>
      </w:r>
      <w:r>
        <w:rPr>
          <w:rFonts w:ascii="Times New Roman" w:hAnsi="Times New Roman"/>
          <w:noProof/>
          <w:sz w:val="24"/>
          <w:lang w:val="bg-BG" w:eastAsia="bg-BG" w:bidi="bg-BG"/>
        </w:rPr>
        <w:t>е от 0,7 % след пет години</w:t>
      </w:r>
      <w:r>
        <w:rPr>
          <w:rFonts w:ascii="Times New Roman" w:hAnsi="Times New Roman"/>
          <w:noProof/>
          <w:sz w:val="24"/>
          <w:vertAlign w:val="superscript"/>
          <w:lang w:val="bg-BG" w:eastAsia="bg-BG" w:bidi="bg-BG"/>
        </w:rPr>
        <w:footnoteReference w:id="2"/>
      </w:r>
      <w:r>
        <w:rPr>
          <w:rFonts w:ascii="Times New Roman" w:hAnsi="Times New Roman"/>
          <w:noProof/>
          <w:sz w:val="24"/>
          <w:lang w:val="bg-BG" w:eastAsia="bg-BG" w:bidi="bg-BG"/>
        </w:rPr>
        <w:t>. Освен това правилата на ЕС за държавната помощ насочват публичните ресурси към мобилизиране на нови инвестиции, с което се гарантира, че публичното финансиране стимулира частни инвестиции, които не биха били направени при други</w:t>
      </w:r>
      <w:r>
        <w:rPr>
          <w:rFonts w:ascii="Times New Roman" w:hAnsi="Times New Roman"/>
          <w:noProof/>
          <w:sz w:val="24"/>
          <w:lang w:val="bg-BG" w:eastAsia="bg-BG" w:bidi="bg-BG"/>
        </w:rPr>
        <w:t xml:space="preserve"> обстоятелства.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Планът за инвестиции за Европа</w:t>
      </w:r>
      <w:r>
        <w:rPr>
          <w:rFonts w:ascii="Times New Roman" w:hAnsi="Times New Roman"/>
          <w:noProof/>
          <w:sz w:val="24"/>
          <w:vertAlign w:val="superscript"/>
          <w:lang w:val="bg-BG" w:eastAsia="bg-BG" w:bidi="bg-BG"/>
        </w:rPr>
        <w:footnoteReference w:id="3"/>
      </w:r>
      <w:r>
        <w:rPr>
          <w:rFonts w:ascii="Times New Roman" w:hAnsi="Times New Roman"/>
          <w:noProof/>
          <w:sz w:val="24"/>
          <w:lang w:val="bg-BG" w:eastAsia="bg-BG" w:bidi="bg-BG"/>
        </w:rPr>
        <w:t xml:space="preserve"> беше стартиран през ноември 2014 г. с цел насърчаване на инвестициите. Ключова част от този план е Европейският фонд за стратегически инвестиции (ЕФСИ)</w:t>
      </w:r>
      <w:r>
        <w:rPr>
          <w:rFonts w:ascii="Times New Roman" w:hAnsi="Times New Roman"/>
          <w:noProof/>
          <w:sz w:val="24"/>
          <w:vertAlign w:val="superscript"/>
          <w:lang w:val="bg-BG" w:eastAsia="bg-BG" w:bidi="bg-BG"/>
        </w:rPr>
        <w:footnoteReference w:id="4"/>
      </w:r>
      <w:r>
        <w:rPr>
          <w:rFonts w:ascii="Times New Roman" w:hAnsi="Times New Roman"/>
          <w:noProof/>
          <w:sz w:val="24"/>
          <w:lang w:val="bg-BG" w:eastAsia="bg-BG" w:bidi="bg-BG"/>
        </w:rPr>
        <w:t>, който започна да функционира в края на 2015 г. С помощ</w:t>
      </w:r>
      <w:r>
        <w:rPr>
          <w:rFonts w:ascii="Times New Roman" w:hAnsi="Times New Roman"/>
          <w:noProof/>
          <w:sz w:val="24"/>
          <w:lang w:val="bg-BG" w:eastAsia="bg-BG" w:bidi="bg-BG"/>
        </w:rPr>
        <w:t>та на Европейската инвестиционна банка (ЕИБ) ЕФСИ осигурява финансиране, обезпечено с гаранция от бюджета на ЕС, като разкрива възможности за стратегически инвестиции, които не могат да бъдат финансирани само от пазара.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Подпомаганото по линия на ЕФСИ финан</w:t>
      </w:r>
      <w:r>
        <w:rPr>
          <w:rFonts w:ascii="Times New Roman" w:hAnsi="Times New Roman"/>
          <w:noProof/>
          <w:sz w:val="24"/>
          <w:lang w:val="bg-BG" w:eastAsia="bg-BG" w:bidi="bg-BG"/>
        </w:rPr>
        <w:t>сиране на проекти, осигурено от ЕИБ, не попада в обхвата на правилата за държавна помощ. Въпреки това проектите могат да получат финансова подкрепа („съфинансиране“) от държавите членки (включително от европейските структурни и инвестиционни фондове), коят</w:t>
      </w:r>
      <w:r>
        <w:rPr>
          <w:rFonts w:ascii="Times New Roman" w:hAnsi="Times New Roman"/>
          <w:noProof/>
          <w:sz w:val="24"/>
          <w:lang w:val="bg-BG" w:eastAsia="bg-BG" w:bidi="bg-BG"/>
        </w:rPr>
        <w:t>о е предмет на правилата за държавна помощ. Това финансиране трябва да бъде одобрено от Комисията, освен ако не е предоставено при пазарни условия. За да подкрепи ЕФСИ, Комисията оценява с предимство съфинансирането от съответната държава членка. Правилата</w:t>
      </w:r>
      <w:r>
        <w:rPr>
          <w:rFonts w:ascii="Times New Roman" w:hAnsi="Times New Roman"/>
          <w:noProof/>
          <w:sz w:val="24"/>
          <w:lang w:val="bg-BG" w:eastAsia="bg-BG" w:bidi="bg-BG"/>
        </w:rPr>
        <w:t xml:space="preserve"> за държавна помощ вървят ръка за ръка с целта на Плана за инвестиции за справяне с неефективността на пазара и мобилизиране на частни инвестиции. Контролът върху държавната помощ гарантира, че проектите за публични инвестиции са насочени към реалните нужд</w:t>
      </w:r>
      <w:r>
        <w:rPr>
          <w:rFonts w:ascii="Times New Roman" w:hAnsi="Times New Roman"/>
          <w:noProof/>
          <w:sz w:val="24"/>
          <w:lang w:val="bg-BG" w:eastAsia="bg-BG" w:bidi="bg-BG"/>
        </w:rPr>
        <w:t>и, че се осъществява контрол на разходите и се гарантира, че публичните средства действително са необходими за стартирането на проектите.</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lastRenderedPageBreak/>
        <w:t>Преработени правила за държавна помощ с цел насърчаване на мерки за помощ за засилване на растежа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Правилата за държавн</w:t>
      </w:r>
      <w:r>
        <w:rPr>
          <w:rFonts w:ascii="Times New Roman" w:hAnsi="Times New Roman"/>
          <w:noProof/>
          <w:sz w:val="24"/>
          <w:lang w:val="bg-BG" w:eastAsia="bg-BG" w:bidi="bg-BG"/>
        </w:rPr>
        <w:t>а помощ бяха преработени в контекста на инициативата за модернизиране на държавната помощ (МДП)</w:t>
      </w:r>
      <w:r>
        <w:rPr>
          <w:rFonts w:ascii="Times New Roman" w:hAnsi="Times New Roman"/>
          <w:noProof/>
          <w:sz w:val="24"/>
          <w:vertAlign w:val="superscript"/>
          <w:lang w:val="bg-BG" w:eastAsia="bg-BG" w:bidi="bg-BG"/>
        </w:rPr>
        <w:footnoteReference w:id="5"/>
      </w:r>
      <w:r>
        <w:rPr>
          <w:rFonts w:ascii="Times New Roman" w:hAnsi="Times New Roman"/>
          <w:noProof/>
          <w:sz w:val="24"/>
          <w:lang w:val="bg-BG" w:eastAsia="bg-BG" w:bidi="bg-BG"/>
        </w:rPr>
        <w:t>. Инициативата подпомага държавите членки с цел по-доброто насочване на мерките за помощ към икономически растеж, създаване на работни места и социално сближава</w:t>
      </w:r>
      <w:r>
        <w:rPr>
          <w:rFonts w:ascii="Times New Roman" w:hAnsi="Times New Roman"/>
          <w:noProof/>
          <w:sz w:val="24"/>
          <w:lang w:val="bg-BG" w:eastAsia="bg-BG" w:bidi="bg-BG"/>
        </w:rPr>
        <w:t>не. Като част от МДП Комисията засилва своето партньорство с държавите членки по прилагането на новите правила, тъй като сега те имат по-голяма отговорност за предоставяне на помощ без предварително уведомяване на Комисията.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Този подход на засилено партньо</w:t>
      </w:r>
      <w:r>
        <w:rPr>
          <w:rFonts w:ascii="Times New Roman" w:hAnsi="Times New Roman"/>
          <w:noProof/>
          <w:sz w:val="24"/>
          <w:lang w:val="bg-BG" w:eastAsia="bg-BG" w:bidi="bg-BG"/>
        </w:rPr>
        <w:t>рство има за цел да гарантира, че повишената гъвкавост на държавите членки при отпускането на помощ се балансира с по-добро сътрудничество, щателен национален контрол и по-голяма прозрачност. Комисията ще подкрепя стратегически инвестиции, като работи с дъ</w:t>
      </w:r>
      <w:r>
        <w:rPr>
          <w:rFonts w:ascii="Times New Roman" w:hAnsi="Times New Roman"/>
          <w:noProof/>
          <w:sz w:val="24"/>
          <w:lang w:val="bg-BG" w:eastAsia="bg-BG" w:bidi="bg-BG"/>
        </w:rPr>
        <w:t>ржавите членки за проектирането на мерки за помощ за стимулиране на растежа, които насърчават един по-силен, интегриран и динамичен единен пазар.</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С новата рамка за държавна помощ ще се гарантира, че публичното финансиране спомага за мобилизирането на частн</w:t>
      </w:r>
      <w:r>
        <w:rPr>
          <w:rFonts w:ascii="Times New Roman" w:hAnsi="Times New Roman"/>
          <w:noProof/>
          <w:sz w:val="24"/>
          <w:lang w:val="bg-BG" w:eastAsia="bg-BG" w:bidi="bg-BG"/>
        </w:rPr>
        <w:t>и инвестиции, за да се допринесе за важни цели от общ интерес, без да се нарушава конкуренцията. В тази връзка, в допълнение към правилата в разширения Общ регламент за групово освобождаване (ОРГО), приет през 2014 г.</w:t>
      </w:r>
      <w:r>
        <w:rPr>
          <w:rFonts w:ascii="Times New Roman" w:hAnsi="Times New Roman"/>
          <w:noProof/>
          <w:sz w:val="24"/>
          <w:vertAlign w:val="superscript"/>
          <w:lang w:val="bg-BG" w:eastAsia="bg-BG" w:bidi="bg-BG"/>
        </w:rPr>
        <w:footnoteReference w:id="6"/>
      </w:r>
      <w:r>
        <w:rPr>
          <w:rFonts w:ascii="Times New Roman" w:hAnsi="Times New Roman"/>
          <w:noProof/>
          <w:sz w:val="24"/>
          <w:lang w:val="bg-BG" w:eastAsia="bg-BG" w:bidi="bg-BG"/>
        </w:rPr>
        <w:t>, три области са особено важни за насъ</w:t>
      </w:r>
      <w:r>
        <w:rPr>
          <w:rFonts w:ascii="Times New Roman" w:hAnsi="Times New Roman"/>
          <w:noProof/>
          <w:sz w:val="24"/>
          <w:lang w:val="bg-BG" w:eastAsia="bg-BG" w:bidi="bg-BG"/>
        </w:rPr>
        <w:t>рчаване на иновациите и инвестициите в целия ЕС. С рамката за научни изследвания, развитие и иновации</w:t>
      </w:r>
      <w:r>
        <w:rPr>
          <w:rFonts w:ascii="Times New Roman" w:hAnsi="Times New Roman"/>
          <w:noProof/>
          <w:sz w:val="24"/>
          <w:vertAlign w:val="superscript"/>
          <w:lang w:val="bg-BG" w:eastAsia="bg-BG" w:bidi="bg-BG"/>
        </w:rPr>
        <w:footnoteReference w:id="7"/>
      </w:r>
      <w:r>
        <w:rPr>
          <w:rFonts w:ascii="Times New Roman" w:hAnsi="Times New Roman"/>
          <w:noProof/>
          <w:sz w:val="24"/>
          <w:lang w:val="bg-BG" w:eastAsia="bg-BG" w:bidi="bg-BG"/>
        </w:rPr>
        <w:t xml:space="preserve"> се облекчава предоставянето на мерки за помощ за дейности за научни изследвания, развитие и иновации, които да допълват частното финансиране. С Насоките </w:t>
      </w:r>
      <w:r>
        <w:rPr>
          <w:rFonts w:ascii="Times New Roman" w:hAnsi="Times New Roman"/>
          <w:noProof/>
          <w:sz w:val="24"/>
          <w:lang w:val="bg-BG" w:eastAsia="bg-BG" w:bidi="bg-BG"/>
        </w:rPr>
        <w:t>относно държавните помощи за рисково финансиране</w:t>
      </w:r>
      <w:r>
        <w:rPr>
          <w:rFonts w:ascii="Times New Roman" w:hAnsi="Times New Roman"/>
          <w:noProof/>
          <w:sz w:val="24"/>
          <w:vertAlign w:val="superscript"/>
          <w:lang w:val="bg-BG" w:eastAsia="bg-BG" w:bidi="bg-BG"/>
        </w:rPr>
        <w:footnoteReference w:id="8"/>
      </w:r>
      <w:r>
        <w:rPr>
          <w:rFonts w:ascii="Times New Roman" w:hAnsi="Times New Roman"/>
          <w:noProof/>
          <w:sz w:val="24"/>
          <w:lang w:val="bg-BG" w:eastAsia="bg-BG" w:bidi="bg-BG"/>
        </w:rPr>
        <w:t xml:space="preserve"> се разрешава по-бързо и мащабно разпределяне на помощ за рисково финансиране за иновационни и ориентирани към постигането на растеж малки и средни предприятия (МСП) и дружества със средна капитализация. С н</w:t>
      </w:r>
      <w:r>
        <w:rPr>
          <w:rFonts w:ascii="Times New Roman" w:hAnsi="Times New Roman"/>
          <w:noProof/>
          <w:sz w:val="24"/>
          <w:lang w:val="bg-BG" w:eastAsia="bg-BG" w:bidi="bg-BG"/>
        </w:rPr>
        <w:t>асоките за широколентови мрежи</w:t>
      </w:r>
      <w:r>
        <w:rPr>
          <w:rFonts w:ascii="Times New Roman" w:hAnsi="Times New Roman"/>
          <w:noProof/>
          <w:sz w:val="24"/>
          <w:vertAlign w:val="superscript"/>
          <w:lang w:val="bg-BG" w:eastAsia="bg-BG" w:bidi="bg-BG"/>
        </w:rPr>
        <w:footnoteReference w:id="9"/>
      </w:r>
      <w:r>
        <w:rPr>
          <w:rFonts w:ascii="Times New Roman" w:hAnsi="Times New Roman"/>
          <w:noProof/>
          <w:sz w:val="24"/>
          <w:lang w:val="bg-BG" w:eastAsia="bg-BG" w:bidi="bg-BG"/>
        </w:rPr>
        <w:t xml:space="preserve"> се оказва подкрепа на държавите членки за преодоляване на недостига на финансиране и неефективността на пазара, когато става въпрос за осигуряване на подходящо широколентово покритие, особено в селските райони.</w:t>
      </w:r>
    </w:p>
    <w:p w:rsidR="00BA319C" w:rsidRDefault="008D6BD5">
      <w:pPr>
        <w:pBdr>
          <w:top w:val="single" w:sz="4" w:space="1" w:color="auto"/>
          <w:left w:val="single" w:sz="4" w:space="4" w:color="auto"/>
          <w:bottom w:val="single" w:sz="4" w:space="1" w:color="auto"/>
          <w:right w:val="single" w:sz="4" w:space="4" w:color="auto"/>
        </w:pBdr>
        <w:jc w:val="both"/>
        <w:rPr>
          <w:rFonts w:ascii="Times New Roman" w:hAnsi="Times New Roman"/>
          <w:b/>
          <w:noProof/>
          <w:sz w:val="20"/>
          <w:szCs w:val="20"/>
          <w:lang w:val="bg-BG" w:eastAsia="bg-BG" w:bidi="bg-BG"/>
        </w:rPr>
      </w:pPr>
      <w:r>
        <w:rPr>
          <w:rFonts w:ascii="Times New Roman" w:hAnsi="Times New Roman"/>
          <w:b/>
          <w:noProof/>
          <w:sz w:val="20"/>
          <w:lang w:val="bg-BG" w:eastAsia="bg-BG" w:bidi="bg-BG"/>
        </w:rPr>
        <w:t>Мерки за помо</w:t>
      </w:r>
      <w:r>
        <w:rPr>
          <w:rFonts w:ascii="Times New Roman" w:hAnsi="Times New Roman"/>
          <w:b/>
          <w:noProof/>
          <w:sz w:val="20"/>
          <w:lang w:val="bg-BG" w:eastAsia="bg-BG" w:bidi="bg-BG"/>
        </w:rPr>
        <w:t xml:space="preserve">щ, създаващи възможности за </w:t>
      </w:r>
      <w:r>
        <w:rPr>
          <w:rFonts w:ascii="Times New Roman" w:hAnsi="Times New Roman"/>
          <w:b/>
          <w:noProof/>
          <w:sz w:val="20"/>
          <w:szCs w:val="20"/>
          <w:lang w:val="bg-BG"/>
        </w:rPr>
        <w:t>революционни научни изследвания</w:t>
      </w:r>
    </w:p>
    <w:p w:rsidR="00BA319C" w:rsidRDefault="008D6BD5">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lang w:val="bg-BG" w:eastAsia="bg-BG" w:bidi="bg-BG"/>
        </w:rPr>
      </w:pPr>
      <w:r>
        <w:rPr>
          <w:rFonts w:ascii="Times New Roman" w:hAnsi="Times New Roman"/>
          <w:noProof/>
          <w:sz w:val="20"/>
          <w:lang w:val="bg-BG" w:eastAsia="bg-BG" w:bidi="bg-BG"/>
        </w:rPr>
        <w:t>Правилата за държавна помощ спомагат за насърчаване и разпространение на иновациите в ЕС чрез оказване на подкрепа на авангардни проекти в най-развитите технологични области.</w:t>
      </w:r>
    </w:p>
    <w:p w:rsidR="00BA319C" w:rsidRDefault="008D6BD5">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lang w:val="bg-BG" w:eastAsia="bg-BG" w:bidi="bg-BG"/>
        </w:rPr>
      </w:pPr>
      <w:r>
        <w:rPr>
          <w:rFonts w:ascii="Times New Roman" w:hAnsi="Times New Roman"/>
          <w:noProof/>
          <w:sz w:val="20"/>
          <w:lang w:val="bg-BG" w:eastAsia="bg-BG" w:bidi="bg-BG"/>
        </w:rPr>
        <w:t xml:space="preserve">През месец април </w:t>
      </w:r>
      <w:r>
        <w:rPr>
          <w:rFonts w:ascii="Times New Roman" w:hAnsi="Times New Roman"/>
          <w:noProof/>
          <w:sz w:val="20"/>
          <w:lang w:val="bg-BG" w:eastAsia="bg-BG" w:bidi="bg-BG"/>
        </w:rPr>
        <w:t>например Комисията направи оценка на безвъзмездни средства в размер на 50 милиона британски лири (около 71 милиона евро), които органите на Обединеното кралство предвиждат да отпуснат за разработването на двигател за космическа ракета-носител SABRE, и уста</w:t>
      </w:r>
      <w:r>
        <w:rPr>
          <w:rFonts w:ascii="Times New Roman" w:hAnsi="Times New Roman"/>
          <w:noProof/>
          <w:sz w:val="20"/>
          <w:lang w:val="bg-BG" w:eastAsia="bg-BG" w:bidi="bg-BG"/>
        </w:rPr>
        <w:t xml:space="preserve">нови, че те са в съответствие с правилата на ЕС за държавна помощ. SABRE е проект за научноизследователска и развойна дейност, осъществяван от предприятието от Обединеното кралство Reaction Engines Limited, който има за цел да се разработи двигател, който </w:t>
      </w:r>
      <w:r>
        <w:rPr>
          <w:rFonts w:ascii="Times New Roman" w:hAnsi="Times New Roman"/>
          <w:noProof/>
          <w:sz w:val="20"/>
          <w:lang w:val="bg-BG" w:eastAsia="bg-BG" w:bidi="bg-BG"/>
        </w:rPr>
        <w:t>значително ще намали разходите за изстрелване на спътници в ниска околоземна орбита. Комисията направи оценка на проекта съгласно рамката за държавна помощ за научни изследвания, развитие и иновации и стигна до заключението, че финансирането, набрано от из</w:t>
      </w:r>
      <w:r>
        <w:rPr>
          <w:rFonts w:ascii="Times New Roman" w:hAnsi="Times New Roman"/>
          <w:noProof/>
          <w:sz w:val="20"/>
          <w:lang w:val="bg-BG" w:eastAsia="bg-BG" w:bidi="bg-BG"/>
        </w:rPr>
        <w:t>точници на частен капитал, не би било достатъчно за завършване на проекта. Научните изследвания в тази област могат да доведат до значителен технологичен напредък, от който ще се възползват потребителите, използващи продукти и услуги, осигурявани с помощта</w:t>
      </w:r>
      <w:r>
        <w:rPr>
          <w:rFonts w:ascii="Times New Roman" w:hAnsi="Times New Roman"/>
          <w:noProof/>
          <w:sz w:val="20"/>
          <w:lang w:val="bg-BG" w:eastAsia="bg-BG" w:bidi="bg-BG"/>
        </w:rPr>
        <w:t xml:space="preserve"> на спътниците в ниска околоземна орбита, като например мобилните комуникации.</w:t>
      </w:r>
    </w:p>
    <w:p w:rsidR="00BA319C" w:rsidRDefault="008D6BD5">
      <w:pPr>
        <w:numPr>
          <w:ilvl w:val="0"/>
          <w:numId w:val="3"/>
        </w:numPr>
        <w:spacing w:line="240" w:lineRule="auto"/>
        <w:jc w:val="both"/>
        <w:rPr>
          <w:rFonts w:ascii="Times New Roman" w:hAnsi="Times New Roman"/>
          <w:b/>
          <w:noProof/>
          <w:sz w:val="24"/>
          <w:szCs w:val="24"/>
          <w:lang w:val="bg-BG" w:eastAsia="bg-BG" w:bidi="bg-BG"/>
        </w:rPr>
      </w:pPr>
      <w:r>
        <w:rPr>
          <w:rFonts w:ascii="Times New Roman" w:hAnsi="Times New Roman"/>
          <w:b/>
          <w:noProof/>
          <w:sz w:val="24"/>
          <w:lang w:val="bg-BG" w:eastAsia="bg-BG" w:bidi="bg-BG"/>
        </w:rPr>
        <w:t xml:space="preserve"> Реализиране на възможностите на цифровия единен пазар</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Превръщането на цифровия единен пазар в реалност е приоритет на Комисията от началото на нейния мандат. Освен че преобразя</w:t>
      </w:r>
      <w:r>
        <w:rPr>
          <w:rFonts w:ascii="Times New Roman" w:hAnsi="Times New Roman"/>
          <w:noProof/>
          <w:sz w:val="24"/>
          <w:lang w:val="bg-BG" w:eastAsia="bg-BG" w:bidi="bg-BG"/>
        </w:rPr>
        <w:t>ва нашия свят и начин на живот, разрастването на цифровата икономика е един от основните двигатели на икономическия растеж. Процъфтяващият цифров единен пазар ще засили иновациите, ще създаде нови работни места и ще разкрие нови възможности за европейските</w:t>
      </w:r>
      <w:r>
        <w:rPr>
          <w:rFonts w:ascii="Times New Roman" w:hAnsi="Times New Roman"/>
          <w:noProof/>
          <w:sz w:val="24"/>
          <w:lang w:val="bg-BG" w:eastAsia="bg-BG" w:bidi="bg-BG"/>
        </w:rPr>
        <w:t xml:space="preserve"> новосъздадени предприятия и за малките и средните предприятия (МСП) да достигнат до пазар от над 500 милиона души. Комисията е изчислила, че създаването на цифров единен пазар на ЕС чрез премахване на регулаторните бариери, както и чрез преминаване от 28 </w:t>
      </w:r>
      <w:r>
        <w:rPr>
          <w:rFonts w:ascii="Times New Roman" w:hAnsi="Times New Roman"/>
          <w:noProof/>
          <w:sz w:val="24"/>
          <w:lang w:val="bg-BG" w:eastAsia="bg-BG" w:bidi="bg-BG"/>
        </w:rPr>
        <w:t>национални пазара към един единен пазар, може да доведе до принос в размер на 415 милиарда евро годишно за нашата икономика и създаване на стотици хиляди нови работни места</w:t>
      </w:r>
      <w:r>
        <w:rPr>
          <w:rFonts w:ascii="Times New Roman" w:hAnsi="Times New Roman"/>
          <w:noProof/>
          <w:sz w:val="24"/>
          <w:vertAlign w:val="superscript"/>
          <w:lang w:val="bg-BG" w:eastAsia="bg-BG" w:bidi="bg-BG"/>
        </w:rPr>
        <w:footnoteReference w:id="10"/>
      </w:r>
      <w:r>
        <w:rPr>
          <w:rFonts w:ascii="Times New Roman" w:hAnsi="Times New Roman"/>
          <w:noProof/>
          <w:sz w:val="24"/>
          <w:lang w:val="bg-BG" w:eastAsia="bg-BG" w:bidi="bg-BG"/>
        </w:rPr>
        <w:t>.</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месец май 2015 г. Комисията прие своята Стратегия за цифров единен пазар</w:t>
      </w:r>
      <w:r>
        <w:rPr>
          <w:rFonts w:ascii="Times New Roman" w:hAnsi="Times New Roman"/>
          <w:noProof/>
          <w:sz w:val="24"/>
          <w:vertAlign w:val="superscript"/>
          <w:lang w:val="bg-BG" w:eastAsia="bg-BG" w:bidi="bg-BG"/>
        </w:rPr>
        <w:footnoteReference w:id="11"/>
      </w:r>
      <w:r>
        <w:rPr>
          <w:rFonts w:ascii="Times New Roman" w:hAnsi="Times New Roman"/>
          <w:noProof/>
          <w:sz w:val="24"/>
          <w:lang w:val="bg-BG" w:eastAsia="bg-BG" w:bidi="bg-BG"/>
        </w:rPr>
        <w:t>. С</w:t>
      </w:r>
      <w:r>
        <w:rPr>
          <w:rFonts w:ascii="Times New Roman" w:hAnsi="Times New Roman"/>
          <w:noProof/>
          <w:sz w:val="24"/>
          <w:lang w:val="bg-BG" w:eastAsia="bg-BG" w:bidi="bg-BG"/>
        </w:rPr>
        <w:t xml:space="preserve">тратегията включва набор от 16 целенасочени действия, изградени около </w:t>
      </w:r>
      <w:r>
        <w:rPr>
          <w:rFonts w:ascii="Times New Roman" w:hAnsi="Times New Roman"/>
          <w:bCs/>
          <w:noProof/>
          <w:sz w:val="24"/>
          <w:lang w:val="bg-BG" w:eastAsia="bg-BG" w:bidi="bg-BG"/>
        </w:rPr>
        <w:t>три стълба</w:t>
      </w:r>
      <w:r>
        <w:rPr>
          <w:rFonts w:ascii="Times New Roman" w:hAnsi="Times New Roman"/>
          <w:b/>
          <w:noProof/>
          <w:sz w:val="24"/>
          <w:lang w:val="bg-BG" w:eastAsia="bg-BG" w:bidi="bg-BG"/>
        </w:rPr>
        <w:t>:</w:t>
      </w:r>
      <w:r>
        <w:rPr>
          <w:rFonts w:ascii="Times New Roman" w:hAnsi="Times New Roman"/>
          <w:noProof/>
          <w:sz w:val="24"/>
          <w:lang w:val="bg-BG" w:eastAsia="bg-BG" w:bidi="bg-BG"/>
        </w:rPr>
        <w:t xml:space="preserve"> 1) по-добър достъп за потребителите и предприятията до цифрови стоки и услуги в цяла Европа; 2) създаване на подходящи и равнопоставени условия за развитието на цифровите мре</w:t>
      </w:r>
      <w:r>
        <w:rPr>
          <w:rFonts w:ascii="Times New Roman" w:hAnsi="Times New Roman"/>
          <w:noProof/>
          <w:sz w:val="24"/>
          <w:lang w:val="bg-BG" w:eastAsia="bg-BG" w:bidi="bg-BG"/>
        </w:rPr>
        <w:t>жи и иновационните услуги; 3) максимизиране на потенциала за растеж на цифровата икономика.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Цифровите пазари са основен приоритет и в рамките на политиката в областта на конкуренцията. Отворените и справедливи цифрови пазари ще стимулират иновациите и ще д</w:t>
      </w:r>
      <w:r>
        <w:rPr>
          <w:rFonts w:ascii="Times New Roman" w:hAnsi="Times New Roman"/>
          <w:noProof/>
          <w:sz w:val="24"/>
          <w:lang w:val="bg-BG" w:eastAsia="bg-BG" w:bidi="bg-BG"/>
        </w:rPr>
        <w:t>онесат ползи както за потребителите, така и за предприятията. Цифровият единен пазар трябва да бъде място, където всички участници, големи и малки, могат да разработват новаторски продукти и да се конкурират въз основа на своите качества. Освен това полити</w:t>
      </w:r>
      <w:r>
        <w:rPr>
          <w:rFonts w:ascii="Times New Roman" w:hAnsi="Times New Roman"/>
          <w:noProof/>
          <w:sz w:val="24"/>
          <w:lang w:val="bg-BG" w:eastAsia="bg-BG" w:bidi="bg-BG"/>
        </w:rPr>
        <w:t>ката в областта на конкуренцията обръща внимание на съществуващите онлайн бариери, които ограничават инвестиционните хоризонти на интернет предприятията и новосъздадените интернет предприятия и пречат на стопанския сектор, гражданите и правителствата да се</w:t>
      </w:r>
      <w:r>
        <w:rPr>
          <w:rFonts w:ascii="Times New Roman" w:hAnsi="Times New Roman"/>
          <w:noProof/>
          <w:sz w:val="24"/>
          <w:lang w:val="bg-BG" w:eastAsia="bg-BG" w:bidi="bg-BG"/>
        </w:rPr>
        <w:t xml:space="preserve"> възползват в пълна степен от инструментите в областта на цифровите технологии.</w:t>
      </w:r>
    </w:p>
    <w:p w:rsidR="00BA319C" w:rsidRDefault="008D6BD5">
      <w:pPr>
        <w:keepNext/>
        <w:spacing w:line="240" w:lineRule="auto"/>
        <w:jc w:val="both"/>
        <w:rPr>
          <w:rFonts w:ascii="Times New Roman" w:hAnsi="Times New Roman"/>
          <w:noProof/>
          <w:sz w:val="24"/>
          <w:szCs w:val="24"/>
          <w:lang w:val="bg-BG" w:eastAsia="bg-BG" w:bidi="bg-BG"/>
        </w:rPr>
      </w:pPr>
      <w:r>
        <w:rPr>
          <w:rFonts w:ascii="Times New Roman" w:hAnsi="Times New Roman"/>
          <w:i/>
          <w:noProof/>
          <w:sz w:val="24"/>
          <w:lang w:val="bg-BG" w:eastAsia="bg-BG" w:bidi="bg-BG"/>
        </w:rPr>
        <w:t>Осигуряване на лоялна конкуренция в интернет: преодоляване на онлайн бариерите и пречките пред иновациите</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Бързото развитие на цифровата икономика поставя няколко предизвикателс</w:t>
      </w:r>
      <w:r>
        <w:rPr>
          <w:rFonts w:ascii="Times New Roman" w:hAnsi="Times New Roman"/>
          <w:noProof/>
          <w:sz w:val="24"/>
          <w:lang w:val="bg-BG" w:eastAsia="bg-BG" w:bidi="bg-BG"/>
        </w:rPr>
        <w:t>тва за политиците, но не налага основно преработване на законодателството и инструментите в областта на конкуренцията: инструментите на политиката в областта на конкуренцията се адаптират бързо към специфичните характеристики на цифровите пазари</w:t>
      </w:r>
      <w:r>
        <w:rPr>
          <w:rFonts w:ascii="Times New Roman" w:hAnsi="Times New Roman"/>
          <w:noProof/>
          <w:sz w:val="24"/>
          <w:vertAlign w:val="superscript"/>
          <w:lang w:val="bg-BG" w:eastAsia="bg-BG" w:bidi="bg-BG"/>
        </w:rPr>
        <w:footnoteReference w:id="12"/>
      </w:r>
      <w:r>
        <w:rPr>
          <w:rFonts w:ascii="Times New Roman" w:hAnsi="Times New Roman"/>
          <w:noProof/>
          <w:sz w:val="24"/>
          <w:lang w:val="bg-BG" w:eastAsia="bg-BG" w:bidi="bg-BG"/>
        </w:rPr>
        <w:t>.</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bg-BG" w:eastAsia="bg-BG" w:bidi="bg-BG"/>
        </w:rPr>
      </w:pPr>
      <w:r>
        <w:rPr>
          <w:rFonts w:ascii="Times New Roman" w:hAnsi="Times New Roman"/>
          <w:b/>
          <w:noProof/>
          <w:sz w:val="20"/>
          <w:lang w:val="bg-BG" w:eastAsia="bg-BG" w:bidi="bg-BG"/>
        </w:rPr>
        <w:t>Секторното проучване на електронната търговия — задълбочаване на познанията за пазара с цел преодоляване на трансграничните бариери</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През месец май 2015 г. Комисията предприе антитръстово секторно проучване на сектора на електронната търговия в ЕС. През 201</w:t>
      </w:r>
      <w:r>
        <w:rPr>
          <w:rFonts w:ascii="Times New Roman" w:hAnsi="Times New Roman"/>
          <w:noProof/>
          <w:sz w:val="20"/>
          <w:lang w:val="bg-BG" w:eastAsia="bg-BG" w:bidi="bg-BG"/>
        </w:rPr>
        <w:t>4 г. приблизително половината от всички потребители в ЕС са пазарували онлайн, но едва около 15 % от тях са закупили онлайн нещо от търговец със седалище в друга държава — членка на ЕС. Това предполага, че в рамките на ЕС все още съществуват значителни тра</w:t>
      </w:r>
      <w:r>
        <w:rPr>
          <w:rFonts w:ascii="Times New Roman" w:hAnsi="Times New Roman"/>
          <w:noProof/>
          <w:sz w:val="20"/>
          <w:lang w:val="bg-BG" w:eastAsia="bg-BG" w:bidi="bg-BG"/>
        </w:rPr>
        <w:t xml:space="preserve">нсгранични бариери пред електронната търговия. Секторното проучване ще се съсредоточи по-специално върху потенциалните бариери, създавани от предприятията, пред трансграничната онлайн търговия със стоки и услуги в областите, където електронната търговия е </w:t>
      </w:r>
      <w:r>
        <w:rPr>
          <w:rFonts w:ascii="Times New Roman" w:hAnsi="Times New Roman"/>
          <w:noProof/>
          <w:sz w:val="20"/>
          <w:lang w:val="bg-BG" w:eastAsia="bg-BG" w:bidi="bg-BG"/>
        </w:rPr>
        <w:t>най-широко разпространена, а именно електроника, облекла и обувки, както и цифрово съдържание.</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Секторното проучване ще подпомогне мерките, които Комисията и националните органи за защита на конкуренцията в ЕС предприемат срещу ограниченията пред онлайн про</w:t>
      </w:r>
      <w:r>
        <w:rPr>
          <w:rFonts w:ascii="Times New Roman" w:hAnsi="Times New Roman"/>
          <w:noProof/>
          <w:sz w:val="20"/>
          <w:lang w:val="bg-BG" w:eastAsia="bg-BG" w:bidi="bg-BG"/>
        </w:rPr>
        <w:t>дажбите. Знанията, придобити от секторното проучване, ще допринесат за по-успешното прилагане на правото в областта на конкуренцията в сектора на електронната търговия.</w:t>
      </w:r>
    </w:p>
    <w:p w:rsidR="00BA319C" w:rsidRDefault="008D6BD5">
      <w:pPr>
        <w:spacing w:after="120"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Една от главните цели на правоприлагането в областта на конкуренцията е всички участниц</w:t>
      </w:r>
      <w:r>
        <w:rPr>
          <w:rFonts w:ascii="Times New Roman" w:hAnsi="Times New Roman"/>
          <w:noProof/>
          <w:sz w:val="24"/>
          <w:lang w:val="bg-BG" w:eastAsia="bg-BG" w:bidi="bg-BG"/>
        </w:rPr>
        <w:t>и в промишления сектор да бъдат насърчени да създават иновации, независимо дали са новосъздадени предприятия или имат преобладаващ пазарен дял. Целта е да се гарантира, че европейските граждани имат възможно най-богат избор на новаторски продукти. Например</w:t>
      </w:r>
      <w:r>
        <w:rPr>
          <w:rFonts w:ascii="Times New Roman" w:hAnsi="Times New Roman"/>
          <w:noProof/>
          <w:sz w:val="24"/>
          <w:lang w:val="bg-BG" w:eastAsia="bg-BG" w:bidi="bg-BG"/>
        </w:rPr>
        <w:t xml:space="preserve"> на пазара за онлайн търсене Комисията провежда антитръстово разследване на практиките на Google. </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месец април Комисията изпрати на Google изложение на възраженията, в което твърди, че компанията е злоупотребила със своето господстващо положение в Евр</w:t>
      </w:r>
      <w:r>
        <w:rPr>
          <w:rFonts w:ascii="Times New Roman" w:hAnsi="Times New Roman"/>
          <w:noProof/>
          <w:sz w:val="24"/>
          <w:lang w:val="bg-BG" w:eastAsia="bg-BG" w:bidi="bg-BG"/>
        </w:rPr>
        <w:t>опейското икономическо пространство (ЕИП) на пазарите за услуги за обикновено търсене в интернет, като при показването на резултатите от такова търсене систематично е давала предимство на собствения си продукт за сравнително пазаруване</w:t>
      </w:r>
      <w:r>
        <w:rPr>
          <w:rFonts w:ascii="Times New Roman" w:hAnsi="Times New Roman"/>
          <w:noProof/>
          <w:sz w:val="24"/>
          <w:vertAlign w:val="superscript"/>
          <w:lang w:val="bg-BG" w:eastAsia="bg-BG" w:bidi="bg-BG"/>
        </w:rPr>
        <w:footnoteReference w:id="13"/>
      </w:r>
      <w:r>
        <w:rPr>
          <w:rFonts w:ascii="Times New Roman" w:hAnsi="Times New Roman"/>
          <w:noProof/>
          <w:sz w:val="24"/>
          <w:lang w:val="bg-BG" w:eastAsia="bg-BG" w:bidi="bg-BG"/>
        </w:rPr>
        <w:t>. Комисията е загриж</w:t>
      </w:r>
      <w:r>
        <w:rPr>
          <w:rFonts w:ascii="Times New Roman" w:hAnsi="Times New Roman"/>
          <w:noProof/>
          <w:sz w:val="24"/>
          <w:lang w:val="bg-BG" w:eastAsia="bg-BG" w:bidi="bg-BG"/>
        </w:rPr>
        <w:t>ена, че резултатите от търсенето, които получават потребителите, не винаги са най-подходящи за техните запитвания. Предварителното становище на Комисията е, че поведението на Google нарушава антитръстовите правила на ЕС, тъй като възпрепятства конкуренцият</w:t>
      </w:r>
      <w:r>
        <w:rPr>
          <w:rFonts w:ascii="Times New Roman" w:hAnsi="Times New Roman"/>
          <w:noProof/>
          <w:sz w:val="24"/>
          <w:lang w:val="bg-BG" w:eastAsia="bg-BG" w:bidi="bg-BG"/>
        </w:rPr>
        <w:t>а и следователно вреди на потребителите.</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Комисията вече беше изразила опасения относно четири аспекта от поведението на Google и упоменатото по-горе изложение на възраженията се отнася до първото от тези опасения (сравнително пазаруване). Комисията </w:t>
      </w:r>
      <w:r>
        <w:rPr>
          <w:rFonts w:ascii="Times New Roman" w:hAnsi="Times New Roman"/>
          <w:noProof/>
          <w:sz w:val="24"/>
          <w:szCs w:val="24"/>
          <w:lang w:val="bg-BG" w:eastAsia="bg-BG" w:bidi="bg-BG"/>
        </w:rPr>
        <w:t>разслед</w:t>
      </w:r>
      <w:r>
        <w:rPr>
          <w:rFonts w:ascii="Times New Roman" w:hAnsi="Times New Roman"/>
          <w:noProof/>
          <w:sz w:val="24"/>
          <w:szCs w:val="24"/>
          <w:lang w:val="bg-BG" w:eastAsia="bg-BG" w:bidi="bg-BG"/>
        </w:rPr>
        <w:t xml:space="preserve">ва </w:t>
      </w:r>
      <w:r>
        <w:rPr>
          <w:rFonts w:ascii="Times New Roman" w:hAnsi="Times New Roman"/>
          <w:noProof/>
          <w:sz w:val="24"/>
          <w:lang w:val="bg-BG" w:eastAsia="bg-BG" w:bidi="bg-BG"/>
        </w:rPr>
        <w:t xml:space="preserve">активно </w:t>
      </w:r>
      <w:r>
        <w:rPr>
          <w:rFonts w:ascii="Times New Roman" w:hAnsi="Times New Roman"/>
          <w:noProof/>
          <w:sz w:val="24"/>
          <w:szCs w:val="24"/>
          <w:lang w:val="bg-BG" w:eastAsia="bg-BG" w:bidi="bg-BG"/>
        </w:rPr>
        <w:t xml:space="preserve">поведението на Google също и по отношение на останалите три опасенията: копирането на уеб съдържание на конкурентите, </w:t>
      </w:r>
      <w:r>
        <w:rPr>
          <w:rFonts w:ascii="Times New Roman" w:hAnsi="Times New Roman"/>
          <w:noProof/>
          <w:sz w:val="24"/>
          <w:szCs w:val="24"/>
          <w:lang w:val="bg-BG"/>
        </w:rPr>
        <w:t>ексклузивността на рекламата и ненужните ограничения на рекламодателите</w:t>
      </w:r>
      <w:r>
        <w:rPr>
          <w:rFonts w:ascii="Times New Roman" w:hAnsi="Times New Roman"/>
          <w:noProof/>
          <w:sz w:val="24"/>
          <w:szCs w:val="24"/>
          <w:lang w:val="bg-BG" w:eastAsia="bg-BG" w:bidi="bg-BG"/>
        </w:rPr>
        <w:t>. Изложението на възраженията във връзка със сравнително</w:t>
      </w:r>
      <w:r>
        <w:rPr>
          <w:rFonts w:ascii="Times New Roman" w:hAnsi="Times New Roman"/>
          <w:noProof/>
          <w:sz w:val="24"/>
          <w:szCs w:val="24"/>
          <w:lang w:val="bg-BG" w:eastAsia="bg-BG" w:bidi="bg-BG"/>
        </w:rPr>
        <w:t>то</w:t>
      </w:r>
      <w:r>
        <w:rPr>
          <w:rFonts w:ascii="Times New Roman" w:hAnsi="Times New Roman"/>
          <w:noProof/>
          <w:sz w:val="24"/>
          <w:lang w:val="bg-BG" w:eastAsia="bg-BG" w:bidi="bg-BG"/>
        </w:rPr>
        <w:t xml:space="preserve"> пазаруване по никакъв начин не предрешава резултата от разследването на Комисията по другите три опасения.</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Друго разследване в цифровия сектор засяга Amazon. През месец юни Комисията откри официално антитръстово разследване на някои от търговските практ</w:t>
      </w:r>
      <w:r>
        <w:rPr>
          <w:rFonts w:ascii="Times New Roman" w:hAnsi="Times New Roman"/>
          <w:noProof/>
          <w:sz w:val="24"/>
          <w:lang w:val="bg-BG" w:eastAsia="bg-BG" w:bidi="bg-BG"/>
        </w:rPr>
        <w:t>ики на Amazon за разпространение на електронни книги</w:t>
      </w:r>
      <w:r>
        <w:rPr>
          <w:rFonts w:ascii="Times New Roman" w:hAnsi="Times New Roman"/>
          <w:noProof/>
          <w:sz w:val="24"/>
          <w:vertAlign w:val="superscript"/>
          <w:lang w:val="bg-BG" w:eastAsia="bg-BG" w:bidi="bg-BG"/>
        </w:rPr>
        <w:footnoteReference w:id="14"/>
      </w:r>
      <w:r>
        <w:rPr>
          <w:rFonts w:ascii="Times New Roman" w:hAnsi="Times New Roman"/>
          <w:noProof/>
          <w:sz w:val="24"/>
          <w:lang w:val="bg-BG" w:eastAsia="bg-BG" w:bidi="bg-BG"/>
        </w:rPr>
        <w:t>. Разследването се фокусира по-конкретно върху клаузи, които защитават Amazon от конкуренция от други разпространители на електронни книги, например клаузи, предоставящи на дружеството правото да бъде ин</w:t>
      </w:r>
      <w:r>
        <w:rPr>
          <w:rFonts w:ascii="Times New Roman" w:hAnsi="Times New Roman"/>
          <w:noProof/>
          <w:sz w:val="24"/>
          <w:lang w:val="bg-BG" w:eastAsia="bg-BG" w:bidi="bg-BG"/>
        </w:rPr>
        <w:t>формирано за по-благоприятни или алтернативни условия, предлагани на неговите конкуренти, и/или правото на поне толкова добри условия, колкото предлаганите на неговите конкуренти.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има опасения, че такива клаузи могат да нарушат условията на равно</w:t>
      </w:r>
      <w:r>
        <w:rPr>
          <w:rFonts w:ascii="Times New Roman" w:hAnsi="Times New Roman"/>
          <w:noProof/>
          <w:sz w:val="24"/>
          <w:lang w:val="bg-BG" w:eastAsia="bg-BG" w:bidi="bg-BG"/>
        </w:rPr>
        <w:t xml:space="preserve">поставеност и потенциално да намалят конкуренцията на пазара в ущърб на потребителите, като затрудняват други разпространители на електронни книги да се конкурират с Amazon чрез разработване на нови и новаторски продукти и услуги. Такова поведение, ако се </w:t>
      </w:r>
      <w:r>
        <w:rPr>
          <w:rFonts w:ascii="Times New Roman" w:hAnsi="Times New Roman"/>
          <w:noProof/>
          <w:sz w:val="24"/>
          <w:lang w:val="bg-BG" w:eastAsia="bg-BG" w:bidi="bg-BG"/>
        </w:rPr>
        <w:t>потвърди, би било в нарушение на антитръстовите правила на ЕС, които забраняват злоупотребата с господстващо положение на пазара и ограничителните търговски практики. Целта на Комисията е да осигури здравословна конкуренция между платформите и да се увери,</w:t>
      </w:r>
      <w:r>
        <w:rPr>
          <w:rFonts w:ascii="Times New Roman" w:hAnsi="Times New Roman"/>
          <w:noProof/>
          <w:sz w:val="24"/>
          <w:lang w:val="bg-BG" w:eastAsia="bg-BG" w:bidi="bg-BG"/>
        </w:rPr>
        <w:t xml:space="preserve"> че пазарните участници не злоупотребяват със своята позиция, за да получат договорни условия, които могат да действат като пречка за иновациите на пазара.</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Насърчаване на по-голям избор за гражданите на ЕС по отношение на достъпа до медии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Стриктното и </w:t>
      </w:r>
      <w:r>
        <w:rPr>
          <w:rFonts w:ascii="Times New Roman" w:hAnsi="Times New Roman"/>
          <w:noProof/>
          <w:sz w:val="24"/>
          <w:lang w:val="bg-BG" w:eastAsia="bg-BG" w:bidi="bg-BG"/>
        </w:rPr>
        <w:t>бързо правоприлагане в областта на конкуренцията е ключов инструмент за ефективно справяне с проблемите, които възникват в новите и бързо развиващи се сектори на цифровата икономика. Също толкова важно за европейските граждани обаче е осигуряването на дина</w:t>
      </w:r>
      <w:r>
        <w:rPr>
          <w:rFonts w:ascii="Times New Roman" w:hAnsi="Times New Roman"/>
          <w:noProof/>
          <w:sz w:val="24"/>
          <w:lang w:val="bg-BG" w:eastAsia="bg-BG" w:bidi="bg-BG"/>
        </w:rPr>
        <w:t>мична конкуренция на по-традиционните пазари, като например ефирната телевизия. Комисията желае да гарантира, че потребителите могат да избират между телевизионни разпространители, които се конкурират при справедливи и равни условия</w:t>
      </w:r>
      <w:r>
        <w:rPr>
          <w:rFonts w:ascii="Times New Roman" w:hAnsi="Times New Roman"/>
          <w:noProof/>
          <w:sz w:val="24"/>
          <w:vertAlign w:val="superscript"/>
          <w:lang w:val="bg-BG" w:eastAsia="bg-BG" w:bidi="bg-BG"/>
        </w:rPr>
        <w:footnoteReference w:id="15"/>
      </w:r>
      <w:r>
        <w:rPr>
          <w:rFonts w:ascii="Times New Roman" w:hAnsi="Times New Roman"/>
          <w:noProof/>
          <w:sz w:val="24"/>
          <w:lang w:val="bg-BG" w:eastAsia="bg-BG" w:bidi="bg-BG"/>
        </w:rPr>
        <w:t xml:space="preserve">. </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bg-BG" w:eastAsia="bg-BG" w:bidi="bg-BG"/>
        </w:rPr>
      </w:pPr>
      <w:r>
        <w:rPr>
          <w:rFonts w:ascii="Times New Roman" w:hAnsi="Times New Roman"/>
          <w:b/>
          <w:noProof/>
          <w:sz w:val="20"/>
          <w:lang w:val="bg-BG" w:eastAsia="bg-BG" w:bidi="bg-BG"/>
        </w:rPr>
        <w:t xml:space="preserve">Защита на стимулите </w:t>
      </w:r>
      <w:r>
        <w:rPr>
          <w:rFonts w:ascii="Times New Roman" w:hAnsi="Times New Roman"/>
          <w:b/>
          <w:noProof/>
          <w:sz w:val="20"/>
          <w:lang w:val="bg-BG" w:eastAsia="bg-BG" w:bidi="bg-BG"/>
        </w:rPr>
        <w:t>за иновации в сектора на медиите</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 xml:space="preserve">През февруари 2015 г. Комисията разреши, в съответствие с Регламента за сливанията на ЕС, придобиването от дружеството </w:t>
      </w:r>
      <w:r>
        <w:rPr>
          <w:rFonts w:ascii="Times New Roman" w:hAnsi="Times New Roman"/>
          <w:noProof/>
          <w:sz w:val="20"/>
          <w:szCs w:val="20"/>
          <w:lang w:val="bg-BG"/>
        </w:rPr>
        <w:t>Liberty Global</w:t>
      </w:r>
      <w:r>
        <w:rPr>
          <w:rFonts w:ascii="Times New Roman" w:hAnsi="Times New Roman"/>
          <w:noProof/>
          <w:sz w:val="20"/>
          <w:lang w:val="bg-BG" w:eastAsia="bg-BG" w:bidi="bg-BG"/>
        </w:rPr>
        <w:t xml:space="preserve"> на дял в белгийската медийна компания De Vijver Media NV („De Vijver“) при спазване на оп</w:t>
      </w:r>
      <w:r>
        <w:rPr>
          <w:rFonts w:ascii="Times New Roman" w:hAnsi="Times New Roman"/>
          <w:noProof/>
          <w:sz w:val="20"/>
          <w:lang w:val="bg-BG" w:eastAsia="bg-BG" w:bidi="bg-BG"/>
        </w:rPr>
        <w:t>ределени ангажименти. Решението на Комисията бе взето след задълбочено проучване.</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Комисията имаше опасения, че след сключването на сделката De Vijver ще откаже да издава лицензи за своите канали на телевизионни разпространители, които са в конкуренция с Te</w:t>
      </w:r>
      <w:r>
        <w:rPr>
          <w:rFonts w:ascii="Times New Roman" w:hAnsi="Times New Roman"/>
          <w:noProof/>
          <w:sz w:val="20"/>
          <w:lang w:val="bg-BG" w:eastAsia="bg-BG" w:bidi="bg-BG"/>
        </w:rPr>
        <w:t>lenet, кабелна компания, контролирана от Liberty Global. Тези опасения бяха взети предвид в ангажиментите чрез задължаване на De Vijver да предоставя лицензи за своите канали — Vier, Vijf и всеки друг подобен канал, който би могъл да стартира — на телевизи</w:t>
      </w:r>
      <w:r>
        <w:rPr>
          <w:rFonts w:ascii="Times New Roman" w:hAnsi="Times New Roman"/>
          <w:noProof/>
          <w:sz w:val="20"/>
          <w:lang w:val="bg-BG" w:eastAsia="bg-BG" w:bidi="bg-BG"/>
        </w:rPr>
        <w:t>онни разпространители в Белгия при справедливи, разумни и недискриминационни условия. Без тези ангажименти сделката би могла да доведе до по-малко конкуренция на пазара на телевизионно разпространение и в крайна сметка до по-високи цени и по-малко иновации</w:t>
      </w:r>
      <w:r>
        <w:rPr>
          <w:rFonts w:ascii="Times New Roman" w:hAnsi="Times New Roman"/>
          <w:noProof/>
          <w:sz w:val="20"/>
          <w:lang w:val="bg-BG" w:eastAsia="bg-BG" w:bidi="bg-BG"/>
        </w:rPr>
        <w:t xml:space="preserve"> за потребителите.</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В допълнение, през месец април Комисията разреши предложеното придобиване на португалския телекомуникационен оператор PT Portugal от мултинационалната кабелна и телекомуникационна компания Altice. Решението бе взето при условие, че Altic</w:t>
      </w:r>
      <w:r>
        <w:rPr>
          <w:rFonts w:ascii="Times New Roman" w:hAnsi="Times New Roman"/>
          <w:noProof/>
          <w:sz w:val="20"/>
          <w:lang w:val="bg-BG" w:eastAsia="bg-BG" w:bidi="bg-BG"/>
        </w:rPr>
        <w:t>e се ангажира да продаде две свои дъщерни дружества в Португалия.</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PT Portugal е телекомуникационен и мултимедиен оператор, осъществяващ дейност във всички сегменти на пазара на телекомуникации в Португалия. Комисията се опасяваше, че сливането във вида, оп</w:t>
      </w:r>
      <w:r>
        <w:rPr>
          <w:rFonts w:ascii="Times New Roman" w:hAnsi="Times New Roman"/>
          <w:noProof/>
          <w:sz w:val="20"/>
          <w:lang w:val="bg-BG" w:eastAsia="bg-BG" w:bidi="bg-BG"/>
        </w:rPr>
        <w:t>исан в първоначалното уведомление, ще намали конкуренцията на редица телекомуникационни пазари в Португалия. Сливането би премахнало силен конкурент от тези пазари и това би могло да доведе до по-високи цени и по-малко конкуренция за португалските потребит</w:t>
      </w:r>
      <w:r>
        <w:rPr>
          <w:rFonts w:ascii="Times New Roman" w:hAnsi="Times New Roman"/>
          <w:noProof/>
          <w:sz w:val="20"/>
          <w:lang w:val="bg-BG" w:eastAsia="bg-BG" w:bidi="bg-BG"/>
        </w:rPr>
        <w:t>ели. За да разсее тези опасения, Altice предложи да се премахне припокриването между дейностите на Altice и PT Portugal чрез продажба на своите португалски предприятия Cabovisão и ONI. При оценката на предложената сделка Комисията си сътрудничеше тясно с п</w:t>
      </w:r>
      <w:r>
        <w:rPr>
          <w:rFonts w:ascii="Times New Roman" w:hAnsi="Times New Roman"/>
          <w:noProof/>
          <w:sz w:val="20"/>
          <w:lang w:val="bg-BG" w:eastAsia="bg-BG" w:bidi="bg-BG"/>
        </w:rPr>
        <w:t>ортугалския орган за защита на конкуренцията.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Друго антитръстово разследване се отнася до трансграничното предоставяне на платени телевизионни услуги в Обединеното кралство и Ирландия. През месец юли Комисията изпрати изложение на възраженията до Sky UK и </w:t>
      </w:r>
      <w:r>
        <w:rPr>
          <w:rFonts w:ascii="Times New Roman" w:hAnsi="Times New Roman"/>
          <w:noProof/>
          <w:sz w:val="24"/>
          <w:lang w:val="bg-BG" w:eastAsia="bg-BG" w:bidi="bg-BG"/>
        </w:rPr>
        <w:t>шест големи американски филмови студия: Disney, NBC Universal, Paramount Pictures, Sony, Twentieth Century Fox и Warner Bros.</w:t>
      </w:r>
      <w:r>
        <w:rPr>
          <w:rFonts w:ascii="Times New Roman" w:hAnsi="Times New Roman"/>
          <w:noProof/>
          <w:sz w:val="24"/>
          <w:vertAlign w:val="superscript"/>
          <w:lang w:val="bg-BG" w:eastAsia="bg-BG" w:bidi="bg-BG"/>
        </w:rPr>
        <w:footnoteReference w:id="16"/>
      </w:r>
      <w:r>
        <w:rPr>
          <w:rFonts w:ascii="Times New Roman" w:hAnsi="Times New Roman"/>
          <w:noProof/>
          <w:sz w:val="24"/>
          <w:lang w:val="bg-BG" w:eastAsia="bg-BG" w:bidi="bg-BG"/>
        </w:rPr>
        <w:t xml:space="preserve"> При разследването на Комисията, започнало през месец януари 2014 г., бяха установени клаузи в лицензионните споразумения между ше</w:t>
      </w:r>
      <w:r>
        <w:rPr>
          <w:rFonts w:ascii="Times New Roman" w:hAnsi="Times New Roman"/>
          <w:noProof/>
          <w:sz w:val="24"/>
          <w:lang w:val="bg-BG" w:eastAsia="bg-BG" w:bidi="bg-BG"/>
        </w:rPr>
        <w:t xml:space="preserve">стте филмови студия и Sky UK, според които се изисква Sky UK да блокира достъпа до филми чрез своите онлайн платени телевизионни услуги или чрез своите сателитни платени телевизионни услуги за потребителите извън нейната лицензионна територия (Обединеното </w:t>
      </w:r>
      <w:r>
        <w:rPr>
          <w:rFonts w:ascii="Times New Roman" w:hAnsi="Times New Roman"/>
          <w:noProof/>
          <w:sz w:val="24"/>
          <w:lang w:val="bg-BG" w:eastAsia="bg-BG" w:bidi="bg-BG"/>
        </w:rPr>
        <w:t>кралство и Ирландия). Някои споразумения съдържат също така клаузи, изискващи филмовите студия да гарантират, че в техните лицензионни споразумения с радио- и телевизионни разпространители, различни от Sky UK, не се допуска тези разпространители да предост</w:t>
      </w:r>
      <w:r>
        <w:rPr>
          <w:rFonts w:ascii="Times New Roman" w:hAnsi="Times New Roman"/>
          <w:noProof/>
          <w:sz w:val="24"/>
          <w:lang w:val="bg-BG" w:eastAsia="bg-BG" w:bidi="bg-BG"/>
        </w:rPr>
        <w:t>авят достъп до своите платени телевизионни услуги в Обединеното кралство и Ирландия.</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Тази ситуация има отражение върху европейските потребители, които желаят да гледат платени телевизионни канали по свой избор, независимо от това къде живеят или пътуват в </w:t>
      </w:r>
      <w:r>
        <w:rPr>
          <w:rFonts w:ascii="Times New Roman" w:hAnsi="Times New Roman"/>
          <w:noProof/>
          <w:sz w:val="24"/>
          <w:lang w:val="bg-BG" w:eastAsia="bg-BG" w:bidi="bg-BG"/>
        </w:rPr>
        <w:t>ЕС. Предварителното становище на Комисията е, че при липса на убедителни основания такива клаузи представляват нарушение на правилата на ЕС, които забраняват антиконкурентни споразумения.</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i/>
          <w:noProof/>
          <w:sz w:val="24"/>
          <w:lang w:val="bg-BG" w:eastAsia="bg-BG" w:bidi="bg-BG"/>
        </w:rPr>
        <w:t>Подобряване на функционирането на иновационните пазари — мобилни уст</w:t>
      </w:r>
      <w:r>
        <w:rPr>
          <w:rFonts w:ascii="Times New Roman" w:hAnsi="Times New Roman"/>
          <w:i/>
          <w:noProof/>
          <w:sz w:val="24"/>
          <w:lang w:val="bg-BG" w:eastAsia="bg-BG" w:bidi="bg-BG"/>
        </w:rPr>
        <w:t>ройства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Мобилните устройства като смартфони и таблети вече са част от ежедневието на по-голямата част от европейските граждани. 2015 година беше повратна точка за европейските потребители на мобилни комуникации — Европейският парламент и Съветът приеха Рег</w:t>
      </w:r>
      <w:r>
        <w:rPr>
          <w:rFonts w:ascii="Times New Roman" w:hAnsi="Times New Roman"/>
          <w:noProof/>
          <w:sz w:val="24"/>
          <w:lang w:val="bg-BG" w:eastAsia="bg-BG" w:bidi="bg-BG"/>
        </w:rPr>
        <w:t>ламент (ЕС) № 2015/2120</w:t>
      </w:r>
      <w:r>
        <w:rPr>
          <w:rFonts w:ascii="Times New Roman" w:hAnsi="Times New Roman"/>
          <w:noProof/>
          <w:sz w:val="24"/>
          <w:vertAlign w:val="superscript"/>
          <w:lang w:val="bg-BG" w:eastAsia="bg-BG" w:bidi="bg-BG"/>
        </w:rPr>
        <w:footnoteReference w:id="17"/>
      </w:r>
      <w:r>
        <w:rPr>
          <w:rFonts w:ascii="Times New Roman" w:hAnsi="Times New Roman"/>
          <w:noProof/>
          <w:sz w:val="24"/>
          <w:lang w:val="bg-BG" w:eastAsia="bg-BG" w:bidi="bg-BG"/>
        </w:rPr>
        <w:t>, с който таксите за роуминг в ЕС ще бъдат премахнати от 15 юни 2017 г. Целта на прилагането на антитръстовите правила и законодателство е да се защитава конкуренцията в областта на мобилните устройства, за да се осигурят непрекъсна</w:t>
      </w:r>
      <w:r>
        <w:rPr>
          <w:rFonts w:ascii="Times New Roman" w:hAnsi="Times New Roman"/>
          <w:noProof/>
          <w:sz w:val="24"/>
          <w:lang w:val="bg-BG" w:eastAsia="bg-BG" w:bidi="bg-BG"/>
        </w:rPr>
        <w:t xml:space="preserve">ти иновации в полза на европейските потребители.  </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След като откри две отделни антитръстови разследвания през месец декември, Комисията изпрати две изложения на възраженията на Qualcomm, най-големия в света доставчик на базови чипсети (съвкупности от чипов</w:t>
      </w:r>
      <w:r>
        <w:rPr>
          <w:rFonts w:ascii="Times New Roman" w:hAnsi="Times New Roman"/>
          <w:noProof/>
          <w:sz w:val="24"/>
          <w:lang w:val="bg-BG" w:eastAsia="bg-BG" w:bidi="bg-BG"/>
        </w:rPr>
        <w:t>е), които се използват в потребителските електронни устройства. Чрез базовите чипсети се обслужват комуникационните функции на смартфони, таблети и други мобилни широколентови устройства. Те се използват за пренос на глас и данни.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Предварителното становище</w:t>
      </w:r>
      <w:r>
        <w:rPr>
          <w:rFonts w:ascii="Times New Roman" w:hAnsi="Times New Roman"/>
          <w:noProof/>
          <w:sz w:val="24"/>
          <w:lang w:val="bg-BG" w:eastAsia="bg-BG" w:bidi="bg-BG"/>
        </w:rPr>
        <w:t xml:space="preserve"> на Комисията е, че дружеството е злоупотребило с господстващото си положение на световните пазари за 3G (UMTS) и 4G (LTE) базови чипсети в нарушение на антитръстовите правила на ЕС</w:t>
      </w:r>
      <w:r>
        <w:rPr>
          <w:rFonts w:ascii="Times New Roman" w:hAnsi="Times New Roman"/>
          <w:noProof/>
          <w:sz w:val="24"/>
          <w:vertAlign w:val="superscript"/>
          <w:lang w:val="bg-BG" w:eastAsia="bg-BG" w:bidi="bg-BG"/>
        </w:rPr>
        <w:footnoteReference w:id="18"/>
      </w:r>
      <w:r>
        <w:rPr>
          <w:rFonts w:ascii="Times New Roman" w:hAnsi="Times New Roman"/>
          <w:noProof/>
          <w:sz w:val="24"/>
          <w:lang w:val="bg-BG" w:eastAsia="bg-BG" w:bidi="bg-BG"/>
        </w:rPr>
        <w:t>. В първото разследване се проучва дали Qualcomm е злоупотребило с господс</w:t>
      </w:r>
      <w:r>
        <w:rPr>
          <w:rFonts w:ascii="Times New Roman" w:hAnsi="Times New Roman"/>
          <w:noProof/>
          <w:sz w:val="24"/>
          <w:lang w:val="bg-BG" w:eastAsia="bg-BG" w:bidi="bg-BG"/>
        </w:rPr>
        <w:t xml:space="preserve">тващото си положение на пазара, като е предложило финансови стимули на важен производител на смартфони и таблети, при условие че той използва в своите смартфони и таблети изключително базови чипсети на Qualcomm. Такова поведение би намалило мотивацията на </w:t>
      </w:r>
      <w:r>
        <w:rPr>
          <w:rFonts w:ascii="Times New Roman" w:hAnsi="Times New Roman"/>
          <w:noProof/>
          <w:sz w:val="24"/>
          <w:lang w:val="bg-BG" w:eastAsia="bg-BG" w:bidi="bg-BG"/>
        </w:rPr>
        <w:t>производителя да се снабдява с чипсети от конкурентите на Qualcomm и би навредило на конкуренцията и иновациите на пазарите за UMTS и LTE базови чипсети. Второто разследване има за цел да установи дали Qualcomm е прилагало агресивно ценообразуване, определ</w:t>
      </w:r>
      <w:r>
        <w:rPr>
          <w:rFonts w:ascii="Times New Roman" w:hAnsi="Times New Roman"/>
          <w:noProof/>
          <w:sz w:val="24"/>
          <w:lang w:val="bg-BG" w:eastAsia="bg-BG" w:bidi="bg-BG"/>
        </w:rPr>
        <w:t>яйки цени под себестойността, с цел да изтласка своите конкуренти от пазара.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Пазарът за доставка на хардуер обаче е само едната страна на монетата — софтуерът, работещ на смартфони и таблети, също трябва да бъде предмет на лоялна конкуренция. Мобилните при</w:t>
      </w:r>
      <w:r>
        <w:rPr>
          <w:rFonts w:ascii="Times New Roman" w:hAnsi="Times New Roman"/>
          <w:noProof/>
          <w:sz w:val="24"/>
          <w:lang w:val="bg-BG" w:eastAsia="bg-BG" w:bidi="bg-BG"/>
        </w:rPr>
        <w:t>ложения и услуги за смартфони, таблети и други мобилни устройства са базирани на операционната система на съответното устройство. Google Android стана водещата операционна система за интелигентни мобилни устройства в Европейското икономическо пространство,</w:t>
      </w:r>
      <w:r>
        <w:rPr>
          <w:rFonts w:ascii="Times New Roman" w:hAnsi="Times New Roman"/>
          <w:noProof/>
          <w:sz w:val="24"/>
          <w:lang w:val="bg-BG" w:eastAsia="bg-BG" w:bidi="bg-BG"/>
        </w:rPr>
        <w:t xml:space="preserve"> като понастоящем Android се използва в по-голямата част от интелигентните мобилни устройства в Европа.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месец април Комисията откри официална процедура за разследване срещу Google, за да проучи дали поведението на дружеството по отношение на Android е</w:t>
      </w:r>
      <w:r>
        <w:rPr>
          <w:rFonts w:ascii="Times New Roman" w:hAnsi="Times New Roman"/>
          <w:noProof/>
          <w:sz w:val="24"/>
          <w:lang w:val="bg-BG" w:eastAsia="bg-BG" w:bidi="bg-BG"/>
        </w:rPr>
        <w:t xml:space="preserve"> в нарушение на антитръстовите правила на ЕС</w:t>
      </w:r>
      <w:r>
        <w:rPr>
          <w:rFonts w:ascii="Times New Roman" w:hAnsi="Times New Roman"/>
          <w:noProof/>
          <w:sz w:val="24"/>
          <w:vertAlign w:val="superscript"/>
          <w:lang w:val="bg-BG" w:eastAsia="bg-BG" w:bidi="bg-BG"/>
        </w:rPr>
        <w:footnoteReference w:id="19"/>
      </w:r>
      <w:r>
        <w:rPr>
          <w:rFonts w:ascii="Times New Roman" w:hAnsi="Times New Roman"/>
          <w:noProof/>
          <w:sz w:val="24"/>
          <w:lang w:val="bg-BG" w:eastAsia="bg-BG" w:bidi="bg-BG"/>
        </w:rPr>
        <w:t xml:space="preserve">. Android е операционна система за мобилни устройства с отворен код, която се разработва основно от Google. По принцип всеки може свободно да използва и доразвива Android. По-голямата част от производителите на </w:t>
      </w:r>
      <w:r>
        <w:rPr>
          <w:rFonts w:ascii="Times New Roman" w:hAnsi="Times New Roman"/>
          <w:noProof/>
          <w:sz w:val="24"/>
          <w:lang w:val="bg-BG" w:eastAsia="bg-BG" w:bidi="bg-BG"/>
        </w:rPr>
        <w:t>смартфони и таблети обаче използват операционната система Android в комбинация с редица патентовани приложения и услуги на Google и следователно трябва да сключват определени споразумения с Google.</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оценява дали чрез сключването на антиконкурентни</w:t>
      </w:r>
      <w:r>
        <w:rPr>
          <w:rFonts w:ascii="Times New Roman" w:hAnsi="Times New Roman"/>
          <w:noProof/>
          <w:sz w:val="24"/>
          <w:lang w:val="bg-BG" w:eastAsia="bg-BG" w:bidi="bg-BG"/>
        </w:rPr>
        <w:t xml:space="preserve"> споразумения и/или чрез злоупотребата с възможно господстващо положение Google е възпрепятствало неправомерно разработването и достъпа до пазара на конкурентни операционни системи за мобилни устройства, приложения и услуги за мобилни комуникации в Европей</w:t>
      </w:r>
      <w:r>
        <w:rPr>
          <w:rFonts w:ascii="Times New Roman" w:hAnsi="Times New Roman"/>
          <w:noProof/>
          <w:sz w:val="24"/>
          <w:lang w:val="bg-BG" w:eastAsia="bg-BG" w:bidi="bg-BG"/>
        </w:rPr>
        <w:t>ското икономическо пространство. Това разследване е различно и отделно от разследването на Комисията на поведението на Google по отношение на търсенето в интернет.</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i/>
          <w:noProof/>
          <w:sz w:val="24"/>
          <w:lang w:val="bg-BG" w:eastAsia="bg-BG" w:bidi="bg-BG"/>
        </w:rPr>
        <w:t>Ефективен контрол върху сливанията с цел защита на инвестициите в сектора на телекомуникации</w:t>
      </w:r>
      <w:r>
        <w:rPr>
          <w:rFonts w:ascii="Times New Roman" w:hAnsi="Times New Roman"/>
          <w:i/>
          <w:noProof/>
          <w:sz w:val="24"/>
          <w:lang w:val="bg-BG" w:eastAsia="bg-BG" w:bidi="bg-BG"/>
        </w:rPr>
        <w:t>те</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Ефективната конкуренция в сектора на телекомуникациите е основен двигател за инвестиции и подобрени пазарни резултати за потребителите и предприятията. Конкуренцията е движещата сила, която ще привлече инвестиции за изграждане на високоскоростните широк</w:t>
      </w:r>
      <w:r>
        <w:rPr>
          <w:rFonts w:ascii="Times New Roman" w:hAnsi="Times New Roman"/>
          <w:noProof/>
          <w:sz w:val="24"/>
          <w:lang w:val="bg-BG" w:eastAsia="bg-BG" w:bidi="bg-BG"/>
        </w:rPr>
        <w:t>олентови мрежи, от които се нуждаят европейските граждани. Потребителите не се възползват от самите инвестиции — те се възползват от въздействието на инвестициите върху параметрите на конкуренцията като избор, качество и цена.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В допълнение към поддържането</w:t>
      </w:r>
      <w:r>
        <w:rPr>
          <w:rFonts w:ascii="Times New Roman" w:hAnsi="Times New Roman"/>
          <w:noProof/>
          <w:sz w:val="24"/>
          <w:lang w:val="bg-BG" w:eastAsia="bg-BG" w:bidi="bg-BG"/>
        </w:rPr>
        <w:t xml:space="preserve"> на отворен и конкурентен пазар на телекомуникационни услуги, правоприлагането в областта на конкуренцията продължава да бъде ключов инструмент за преодоляване на фрагментирането на пазара в ЕС</w:t>
      </w:r>
      <w:r>
        <w:rPr>
          <w:rFonts w:ascii="Times New Roman" w:hAnsi="Times New Roman"/>
          <w:noProof/>
          <w:sz w:val="24"/>
          <w:vertAlign w:val="superscript"/>
          <w:lang w:val="bg-BG" w:eastAsia="bg-BG" w:bidi="bg-BG"/>
        </w:rPr>
        <w:footnoteReference w:id="20"/>
      </w:r>
      <w:r>
        <w:rPr>
          <w:rFonts w:ascii="Times New Roman" w:hAnsi="Times New Roman"/>
          <w:noProof/>
          <w:sz w:val="24"/>
          <w:lang w:val="bg-BG" w:eastAsia="bg-BG" w:bidi="bg-BG"/>
        </w:rPr>
        <w:t>.</w:t>
      </w:r>
      <w:r>
        <w:rPr>
          <w:rFonts w:ascii="Times New Roman" w:hAnsi="Times New Roman"/>
          <w:noProof/>
          <w:vertAlign w:val="superscript"/>
          <w:lang w:val="bg-BG" w:eastAsia="bg-BG" w:bidi="bg-BG"/>
        </w:rPr>
        <w:t xml:space="preserve"> </w:t>
      </w:r>
      <w:r>
        <w:rPr>
          <w:rFonts w:ascii="Times New Roman" w:hAnsi="Times New Roman"/>
          <w:noProof/>
          <w:lang w:val="bg-BG" w:eastAsia="bg-BG" w:bidi="bg-BG"/>
        </w:rPr>
        <w:t>П</w:t>
      </w:r>
      <w:r>
        <w:rPr>
          <w:rFonts w:ascii="Times New Roman" w:hAnsi="Times New Roman"/>
          <w:noProof/>
          <w:sz w:val="24"/>
          <w:lang w:val="bg-BG" w:eastAsia="bg-BG" w:bidi="bg-BG"/>
        </w:rPr>
        <w:t>олитиката в областта на конкуренцията допълва прегледа на р</w:t>
      </w:r>
      <w:r>
        <w:rPr>
          <w:rFonts w:ascii="Times New Roman" w:hAnsi="Times New Roman"/>
          <w:noProof/>
          <w:sz w:val="24"/>
          <w:lang w:val="bg-BG" w:eastAsia="bg-BG" w:bidi="bg-BG"/>
        </w:rPr>
        <w:t>егулаторната рамка за далекосъобщенията — една от основните мерки, планирани в рамките на стратегията за цифров единен пазар.</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В допълнение, контролът върху сливанията в тази сфера играе решаваща роля, като чрез него се оценява дали предложеното сливане би </w:t>
      </w:r>
      <w:r>
        <w:rPr>
          <w:rFonts w:ascii="Times New Roman" w:hAnsi="Times New Roman"/>
          <w:noProof/>
          <w:sz w:val="24"/>
          <w:lang w:val="bg-BG" w:eastAsia="bg-BG" w:bidi="bg-BG"/>
        </w:rPr>
        <w:t>довело до увеличаване на инвестициите в полза на потребителите, например под формата на разширяване на покритието на мрежата.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месец май, в съответствие с Регламента за сливанията на ЕС, Комисията одобри предложеното придобиване на Jazztel, телекомуник</w:t>
      </w:r>
      <w:r>
        <w:rPr>
          <w:rFonts w:ascii="Times New Roman" w:hAnsi="Times New Roman"/>
          <w:noProof/>
          <w:sz w:val="24"/>
          <w:lang w:val="bg-BG" w:eastAsia="bg-BG" w:bidi="bg-BG"/>
        </w:rPr>
        <w:t>ационно дружество, регистрирано в Обединеното кралство, но развиващо дейност основно в Испания, от конкурента му Orange SA от Франция</w:t>
      </w:r>
      <w:r>
        <w:rPr>
          <w:rFonts w:ascii="Times New Roman" w:hAnsi="Times New Roman"/>
          <w:noProof/>
          <w:sz w:val="24"/>
          <w:vertAlign w:val="superscript"/>
          <w:lang w:val="bg-BG" w:eastAsia="bg-BG" w:bidi="bg-BG"/>
        </w:rPr>
        <w:footnoteReference w:id="21"/>
      </w:r>
      <w:r>
        <w:rPr>
          <w:rFonts w:ascii="Times New Roman" w:hAnsi="Times New Roman"/>
          <w:noProof/>
          <w:sz w:val="24"/>
          <w:lang w:val="bg-BG" w:eastAsia="bg-BG" w:bidi="bg-BG"/>
        </w:rPr>
        <w:t>. Одобрението зависи от пълното изпълнение от страна на Orange на редица ангажименти, които ще гарантират ефективна конкур</w:t>
      </w:r>
      <w:r>
        <w:rPr>
          <w:rFonts w:ascii="Times New Roman" w:hAnsi="Times New Roman"/>
          <w:noProof/>
          <w:sz w:val="24"/>
          <w:lang w:val="bg-BG" w:eastAsia="bg-BG" w:bidi="bg-BG"/>
        </w:rPr>
        <w:t>енция на пазарите на услуги за стационарен достъп до интернет след поглъщането.</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имаше опасения, че поглъщането, за което първоначално е подадено уведомление, би могло да доведе до по-високи цени на услугите за стационарен достъп до интернет за по</w:t>
      </w:r>
      <w:r>
        <w:rPr>
          <w:rFonts w:ascii="Times New Roman" w:hAnsi="Times New Roman"/>
          <w:noProof/>
          <w:sz w:val="24"/>
          <w:lang w:val="bg-BG" w:eastAsia="bg-BG" w:bidi="bg-BG"/>
        </w:rPr>
        <w:t xml:space="preserve">требителите в Испания. За да отговори на тези опасения, Orange представи ангажименти, с които гарантира, че на пазара на дребно за услуги за стационарен достъп до интернет могат да навлязат нови участници и да се конкурират толкова активно, колкото Orange </w:t>
      </w:r>
      <w:r>
        <w:rPr>
          <w:rFonts w:ascii="Times New Roman" w:hAnsi="Times New Roman"/>
          <w:noProof/>
          <w:sz w:val="24"/>
          <w:lang w:val="bg-BG" w:eastAsia="bg-BG" w:bidi="bg-BG"/>
        </w:rPr>
        <w:t>и Jazztel. С ангажиментите първоначалните опасения на Комисията бяха разсеяни.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започна също така две задълбочени разследвания на сливания в сектора на телекомуникациите. Първо, тя проучва предложеното придобиване на Telefónica UK от Hutchinson</w:t>
      </w:r>
      <w:r>
        <w:rPr>
          <w:rFonts w:ascii="Times New Roman" w:hAnsi="Times New Roman"/>
          <w:noProof/>
          <w:sz w:val="24"/>
          <w:vertAlign w:val="superscript"/>
          <w:lang w:val="bg-BG" w:eastAsia="bg-BG" w:bidi="bg-BG"/>
        </w:rPr>
        <w:footnoteReference w:id="22"/>
      </w:r>
      <w:r>
        <w:rPr>
          <w:rFonts w:ascii="Times New Roman" w:hAnsi="Times New Roman"/>
          <w:noProof/>
          <w:sz w:val="24"/>
          <w:lang w:val="bg-BG" w:eastAsia="bg-BG" w:bidi="bg-BG"/>
        </w:rPr>
        <w:t xml:space="preserve">, </w:t>
      </w:r>
      <w:r>
        <w:rPr>
          <w:rFonts w:ascii="Times New Roman" w:hAnsi="Times New Roman"/>
          <w:noProof/>
          <w:sz w:val="24"/>
          <w:lang w:val="bg-BG" w:eastAsia="bg-BG" w:bidi="bg-BG"/>
        </w:rPr>
        <w:t>за да прецени дали сделката ще наруши конкуренцията. Комисията се опасява, че сделката може да доведе до увеличаване на цените, ограничаване на избора и намаляване на иновациите за клиентите на мобилни телекомуникационни услуги в Обединеното кралство. Коми</w:t>
      </w:r>
      <w:r>
        <w:rPr>
          <w:rFonts w:ascii="Times New Roman" w:hAnsi="Times New Roman"/>
          <w:noProof/>
          <w:sz w:val="24"/>
          <w:lang w:val="bg-BG" w:eastAsia="bg-BG" w:bidi="bg-BG"/>
        </w:rPr>
        <w:t>сията също така проведе задълбочено разследване на поглъщането на BASE Belgium от Liberty Global</w:t>
      </w:r>
      <w:r>
        <w:rPr>
          <w:rFonts w:ascii="Times New Roman" w:hAnsi="Times New Roman"/>
          <w:noProof/>
          <w:sz w:val="24"/>
          <w:vertAlign w:val="superscript"/>
          <w:lang w:val="bg-BG" w:eastAsia="bg-BG" w:bidi="bg-BG"/>
        </w:rPr>
        <w:footnoteReference w:id="23"/>
      </w:r>
      <w:r>
        <w:rPr>
          <w:rFonts w:ascii="Times New Roman" w:hAnsi="Times New Roman"/>
          <w:noProof/>
          <w:sz w:val="24"/>
          <w:lang w:val="bg-BG" w:eastAsia="bg-BG" w:bidi="bg-BG"/>
        </w:rPr>
        <w:t>, за да се увери, че потребителите в Белгия не понасят по-високи цени и ограничен избор в резултат на планираната сделка.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Освен това Комисията направи преглед </w:t>
      </w:r>
      <w:r>
        <w:rPr>
          <w:rFonts w:ascii="Times New Roman" w:hAnsi="Times New Roman"/>
          <w:noProof/>
          <w:sz w:val="24"/>
          <w:lang w:val="bg-BG" w:eastAsia="bg-BG" w:bidi="bg-BG"/>
        </w:rPr>
        <w:t>на предложеното сливане на датските предприятия Telenor и TeliaSonera</w:t>
      </w:r>
      <w:r>
        <w:rPr>
          <w:rFonts w:ascii="Times New Roman" w:hAnsi="Times New Roman"/>
          <w:noProof/>
          <w:sz w:val="24"/>
          <w:vertAlign w:val="superscript"/>
          <w:lang w:val="bg-BG" w:eastAsia="bg-BG" w:bidi="bg-BG"/>
        </w:rPr>
        <w:footnoteReference w:id="24"/>
      </w:r>
      <w:r>
        <w:rPr>
          <w:rFonts w:ascii="Times New Roman" w:hAnsi="Times New Roman"/>
          <w:noProof/>
          <w:sz w:val="24"/>
          <w:lang w:val="bg-BG" w:eastAsia="bg-BG" w:bidi="bg-BG"/>
        </w:rPr>
        <w:t>. Комисията имаше опасения, че в резултат на сливането ще бъде създаден най-големият мобилен оператор в Дания и това ще доведе до силно концентрирана пазарна структура, водеща до увелича</w:t>
      </w:r>
      <w:r>
        <w:rPr>
          <w:rFonts w:ascii="Times New Roman" w:hAnsi="Times New Roman"/>
          <w:noProof/>
          <w:sz w:val="24"/>
          <w:lang w:val="bg-BG" w:eastAsia="bg-BG" w:bidi="bg-BG"/>
        </w:rPr>
        <w:t>ване на цените за клиентите и намаляване на стимулите за инвестиции. През месец септември 2015 г., след подаването на два комплекта корективни мерки, които изглежда не бяха достатъчни, за да се отговори на опасенията относно конкуренцията, страните се отка</w:t>
      </w:r>
      <w:r>
        <w:rPr>
          <w:rFonts w:ascii="Times New Roman" w:hAnsi="Times New Roman"/>
          <w:noProof/>
          <w:sz w:val="24"/>
          <w:lang w:val="bg-BG" w:eastAsia="bg-BG" w:bidi="bg-BG"/>
        </w:rPr>
        <w:t>заха от сделката.</w:t>
      </w:r>
    </w:p>
    <w:p w:rsidR="00BA319C" w:rsidRDefault="008D6BD5">
      <w:pPr>
        <w:numPr>
          <w:ilvl w:val="0"/>
          <w:numId w:val="3"/>
        </w:numPr>
        <w:spacing w:line="240" w:lineRule="auto"/>
        <w:jc w:val="both"/>
        <w:rPr>
          <w:rFonts w:ascii="Times New Roman" w:hAnsi="Times New Roman"/>
          <w:b/>
          <w:noProof/>
          <w:sz w:val="24"/>
          <w:szCs w:val="24"/>
          <w:lang w:val="bg-BG" w:eastAsia="bg-BG" w:bidi="bg-BG"/>
        </w:rPr>
      </w:pPr>
      <w:r>
        <w:rPr>
          <w:rFonts w:ascii="Times New Roman" w:hAnsi="Times New Roman"/>
          <w:b/>
          <w:noProof/>
          <w:sz w:val="24"/>
          <w:lang w:val="bg-BG" w:eastAsia="bg-BG" w:bidi="bg-BG"/>
        </w:rPr>
        <w:t>Изграждане на интегриран и благоприятен за климата Европейски енергиен съюз</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Създаването на енергиен съюз е важна стъпка към интегриран, взаимосвързан и устойчив пазар на енергия в полза на потребителите, предприятията и околната среда. Пр</w:t>
      </w:r>
      <w:r>
        <w:rPr>
          <w:rFonts w:ascii="Times New Roman" w:hAnsi="Times New Roman"/>
          <w:noProof/>
          <w:sz w:val="24"/>
          <w:lang w:val="bg-BG" w:eastAsia="bg-BG" w:bidi="bg-BG"/>
        </w:rPr>
        <w:t>едприятията и домакинствата, които са в основата на енергийния съюз, трябва да могат да плащат достъпни и конкурентни цени. В същото време енергийната политика на ЕС се основава на трите стълба: устойчиво развитие, конкурентоспособност и сигурност на енерг</w:t>
      </w:r>
      <w:r>
        <w:rPr>
          <w:rFonts w:ascii="Times New Roman" w:hAnsi="Times New Roman"/>
          <w:noProof/>
          <w:sz w:val="24"/>
          <w:lang w:val="bg-BG" w:eastAsia="bg-BG" w:bidi="bg-BG"/>
        </w:rPr>
        <w:t>ийните доставки. Създаването на силен енергиен съюз с амбициозна политика в областта на климата ще изисква фундаментална трансформация на енергийната система на Европа. През 2015 г. Комисията започна работа по този ключов приоритет.</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февруари Комисията</w:t>
      </w:r>
      <w:r>
        <w:rPr>
          <w:rFonts w:ascii="Times New Roman" w:hAnsi="Times New Roman"/>
          <w:noProof/>
          <w:sz w:val="24"/>
          <w:lang w:val="bg-BG" w:eastAsia="bg-BG" w:bidi="bg-BG"/>
        </w:rPr>
        <w:t xml:space="preserve"> представи своята Рамкова стратегия за устойчив енергиен съюз с ориентирана към бъдещето политика по въпросите на изменението на климата</w:t>
      </w:r>
      <w:r>
        <w:rPr>
          <w:rFonts w:ascii="Times New Roman" w:hAnsi="Times New Roman"/>
          <w:noProof/>
          <w:sz w:val="24"/>
          <w:vertAlign w:val="superscript"/>
          <w:lang w:val="bg-BG" w:eastAsia="bg-BG" w:bidi="bg-BG"/>
        </w:rPr>
        <w:footnoteReference w:id="25"/>
      </w:r>
      <w:r>
        <w:rPr>
          <w:rFonts w:ascii="Times New Roman" w:hAnsi="Times New Roman"/>
          <w:noProof/>
          <w:sz w:val="24"/>
          <w:lang w:val="bg-BG" w:eastAsia="bg-BG" w:bidi="bg-BG"/>
        </w:rPr>
        <w:t>. В нея в пет взаимосвързани измерения на политиките („енергийна сигурност, солидарност и доверие“, „напълно интегриран</w:t>
      </w:r>
      <w:r>
        <w:rPr>
          <w:rFonts w:ascii="Times New Roman" w:hAnsi="Times New Roman"/>
          <w:noProof/>
          <w:sz w:val="24"/>
          <w:lang w:val="bg-BG" w:eastAsia="bg-BG" w:bidi="bg-BG"/>
        </w:rPr>
        <w:t xml:space="preserve"> европейски енергиен пазар“, „енергийна ефективност, допринасяща за ограничаване на потреблението“, „намаляване на въглеродните емисии на икономиката“ и „научни изследвания, иновации и конкурентоспособност“) са изложени целите на Енергийния съюз, както и с</w:t>
      </w:r>
      <w:r>
        <w:rPr>
          <w:rFonts w:ascii="Times New Roman" w:hAnsi="Times New Roman"/>
          <w:noProof/>
          <w:sz w:val="24"/>
          <w:lang w:val="bg-BG" w:eastAsia="bg-BG" w:bidi="bg-BG"/>
        </w:rPr>
        <w:t>тъпките, които Комисията ще предприеме, за да ги постигне.</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ЕС трябва да се откаже от икономика, задвижвана от изкопаемите горива, която разчита на остарели технологии и бизнес модели. Сегашната разпокъсана система, характеризираща се с некоординирани нацио</w:t>
      </w:r>
      <w:r>
        <w:rPr>
          <w:rFonts w:ascii="Times New Roman" w:hAnsi="Times New Roman"/>
          <w:noProof/>
          <w:sz w:val="24"/>
          <w:lang w:val="bg-BG" w:eastAsia="bg-BG" w:bidi="bg-BG"/>
        </w:rPr>
        <w:t>нални политики, пазарни бариери и изолирани в енергийно отношение зони, трябва да бъде преодоляна. От решаващо значение е също така да бъдат оправомощени потребителите, като им се предоставят информация и избор.</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Интегрирането на енергийните пазари е ключов</w:t>
      </w:r>
      <w:r>
        <w:rPr>
          <w:rFonts w:ascii="Times New Roman" w:hAnsi="Times New Roman"/>
          <w:noProof/>
          <w:sz w:val="24"/>
          <w:lang w:val="bg-BG" w:eastAsia="bg-BG" w:bidi="bg-BG"/>
        </w:rPr>
        <w:t>а цел на енергийния съюз. Ако газът и електрическата енергия се движат свободно в ЕС, това би довело до икономическа устойчивост, опазване на околната среда и социално включване.</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 xml:space="preserve">Прилагане на антитръстовото законодателство за по-сигурна, достъпна и </w:t>
      </w:r>
      <w:r>
        <w:rPr>
          <w:rFonts w:ascii="Times New Roman" w:hAnsi="Times New Roman"/>
          <w:i/>
          <w:noProof/>
          <w:sz w:val="24"/>
          <w:lang w:val="bg-BG" w:eastAsia="bg-BG" w:bidi="bg-BG"/>
        </w:rPr>
        <w:t>устойчива енергия</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Прилагането на антитръстовото законодателство играе ключова роля за насърчаване на интеграцията на пазара в енергийния съюз чрез справяне с нарушаване на пазара, произтичащо от поведението на пазарните участници с господстващо положение. </w:t>
      </w:r>
      <w:r>
        <w:rPr>
          <w:rFonts w:ascii="Times New Roman" w:hAnsi="Times New Roman"/>
          <w:noProof/>
          <w:sz w:val="24"/>
          <w:lang w:val="bg-BG" w:eastAsia="bg-BG" w:bidi="bg-BG"/>
        </w:rPr>
        <w:t>Отличен пример за това е антитръстовото разследване на поведението на Газпром в Централна и Източна Европа</w:t>
      </w:r>
      <w:r>
        <w:rPr>
          <w:rFonts w:ascii="Times New Roman" w:hAnsi="Times New Roman"/>
          <w:noProof/>
          <w:sz w:val="24"/>
          <w:vertAlign w:val="superscript"/>
          <w:lang w:val="bg-BG" w:eastAsia="bg-BG" w:bidi="bg-BG"/>
        </w:rPr>
        <w:footnoteReference w:id="26"/>
      </w:r>
      <w:r>
        <w:rPr>
          <w:rFonts w:ascii="Times New Roman" w:hAnsi="Times New Roman"/>
          <w:noProof/>
          <w:sz w:val="24"/>
          <w:lang w:val="bg-BG" w:eastAsia="bg-BG" w:bidi="bg-BG"/>
        </w:rPr>
        <w:t>.</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bg-BG" w:eastAsia="bg-BG" w:bidi="bg-BG"/>
        </w:rPr>
      </w:pPr>
      <w:r>
        <w:rPr>
          <w:rFonts w:ascii="Times New Roman" w:hAnsi="Times New Roman"/>
          <w:b/>
          <w:noProof/>
          <w:sz w:val="20"/>
          <w:lang w:val="bg-BG" w:eastAsia="bg-BG" w:bidi="bg-BG"/>
        </w:rPr>
        <w:t>Мерки, с които да се гарантира, че доставчиците на газ с господстващо положение спазват правилата — разследването на Газпром</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pacing w:val="-2"/>
          <w:sz w:val="20"/>
          <w:szCs w:val="20"/>
          <w:lang w:val="bg-BG" w:eastAsia="bg-BG" w:bidi="bg-BG"/>
        </w:rPr>
      </w:pPr>
      <w:r>
        <w:rPr>
          <w:rFonts w:ascii="Times New Roman" w:hAnsi="Times New Roman"/>
          <w:noProof/>
          <w:spacing w:val="-2"/>
          <w:sz w:val="20"/>
          <w:lang w:val="bg-BG" w:eastAsia="bg-BG" w:bidi="bg-BG"/>
        </w:rPr>
        <w:t>През април Комисията и</w:t>
      </w:r>
      <w:r>
        <w:rPr>
          <w:rFonts w:ascii="Times New Roman" w:hAnsi="Times New Roman"/>
          <w:noProof/>
          <w:spacing w:val="-2"/>
          <w:sz w:val="20"/>
          <w:lang w:val="bg-BG" w:eastAsia="bg-BG" w:bidi="bg-BG"/>
        </w:rPr>
        <w:t xml:space="preserve">зпрати изложение на възраженията на Газпром, в което твърди, че някои от неговите бизнес практики на централно- и източноевропейските газови пазари може да представляват злоупотреба с неговото господстващо положение на пазара в нарушение на антитръстовите </w:t>
      </w:r>
      <w:r>
        <w:rPr>
          <w:rFonts w:ascii="Times New Roman" w:hAnsi="Times New Roman"/>
          <w:noProof/>
          <w:spacing w:val="-2"/>
          <w:sz w:val="20"/>
          <w:lang w:val="bg-BG" w:eastAsia="bg-BG" w:bidi="bg-BG"/>
        </w:rPr>
        <w:t>правила на ЕС. Газът е основна стока в ежедневието на повечето граждани на ЕС и предварителното становище на Комисията е, че Газпром може да възпрепятства конкуренцията на пазарите за доставка на газ в осем държави членки от Централна и Източна Европа (Бъл</w:t>
      </w:r>
      <w:r>
        <w:rPr>
          <w:rFonts w:ascii="Times New Roman" w:hAnsi="Times New Roman"/>
          <w:noProof/>
          <w:spacing w:val="-2"/>
          <w:sz w:val="20"/>
          <w:lang w:val="bg-BG" w:eastAsia="bg-BG" w:bidi="bg-BG"/>
        </w:rPr>
        <w:t>гария, Чешката република, Естония, Унгария, Латвия, Литва, Полша и Словакия). Газпром е господстващият доставчик на природен газ в тези държави, в повечето от тях с пазарни дялове, значително надвишаващи 50 %, а в някои случаи достигащи до 100 %.</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Въз основ</w:t>
      </w:r>
      <w:r>
        <w:rPr>
          <w:rFonts w:ascii="Times New Roman" w:hAnsi="Times New Roman"/>
          <w:noProof/>
          <w:sz w:val="20"/>
          <w:lang w:val="bg-BG" w:eastAsia="bg-BG" w:bidi="bg-BG"/>
        </w:rPr>
        <w:t xml:space="preserve">а на разследването предварителното становище на Комисията гласи, че Газпром вероятно нарушава антитръстовите правила на ЕС посредством цялостна стратегия за разделяне на централно- и източноевропейските газови пазари, например като ограничава възможността </w:t>
      </w:r>
      <w:r>
        <w:rPr>
          <w:rFonts w:ascii="Times New Roman" w:hAnsi="Times New Roman"/>
          <w:noProof/>
          <w:sz w:val="20"/>
          <w:lang w:val="bg-BG" w:eastAsia="bg-BG" w:bidi="bg-BG"/>
        </w:rPr>
        <w:t>на своите клиенти да препродават закупения газ през граница. Това може да е позволило на Газпром да налага несправедливи цени в някои държави членки. Освен това е възможно Газпром да е злоупотребило с господстващото си пазарно положение като е обвързвало д</w:t>
      </w:r>
      <w:r>
        <w:rPr>
          <w:rFonts w:ascii="Times New Roman" w:hAnsi="Times New Roman"/>
          <w:noProof/>
          <w:sz w:val="20"/>
          <w:lang w:val="bg-BG" w:eastAsia="bg-BG" w:bidi="bg-BG"/>
        </w:rPr>
        <w:t>оставките на газ с получаването на несвързани ангажименти от търговците на едро по отношение на инфраструктурата за пренос на газ.</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Прилагането на антитръстовото законодателство подпомага създаването на единен пазар на енергия, също и чрез разтрогване на ан</w:t>
      </w:r>
      <w:r>
        <w:rPr>
          <w:rFonts w:ascii="Times New Roman" w:hAnsi="Times New Roman"/>
          <w:noProof/>
          <w:sz w:val="24"/>
          <w:lang w:val="bg-BG" w:eastAsia="bg-BG" w:bidi="bg-BG"/>
        </w:rPr>
        <w:t>тиконкурентни споразумения за разделяне на пазара</w:t>
      </w:r>
      <w:r>
        <w:rPr>
          <w:rFonts w:ascii="Times New Roman" w:hAnsi="Times New Roman"/>
          <w:noProof/>
          <w:vertAlign w:val="superscript"/>
          <w:lang w:val="bg-BG" w:eastAsia="bg-BG" w:bidi="bg-BG"/>
        </w:rPr>
        <w:footnoteReference w:id="27"/>
      </w:r>
      <w:r>
        <w:rPr>
          <w:rFonts w:ascii="Times New Roman" w:hAnsi="Times New Roman"/>
          <w:noProof/>
          <w:sz w:val="24"/>
          <w:lang w:val="bg-BG" w:eastAsia="bg-BG" w:bidi="bg-BG"/>
        </w:rPr>
        <w:t xml:space="preserve"> и чрез запазване на достъпа до инфраструктурата. Достъпът до инфраструктурата е важен за предотвратяване на затварянето на пазара и запазване на стимулите за инвестиции. Важни действия в тази област включват изложението на възраженията, изпратено през мес</w:t>
      </w:r>
      <w:r>
        <w:rPr>
          <w:rFonts w:ascii="Times New Roman" w:hAnsi="Times New Roman"/>
          <w:noProof/>
          <w:sz w:val="24"/>
          <w:lang w:val="bg-BG" w:eastAsia="bg-BG" w:bidi="bg-BG"/>
        </w:rPr>
        <w:t>ец март до „Български енергиен холдинг“ (БЕХ), неговото дъщерно дружество за доставка на газ „Булгаргаз“ и неговото дъщерно дружество за газова инфраструктура „Булгартрансгаз</w:t>
      </w:r>
      <w:r>
        <w:rPr>
          <w:rFonts w:ascii="Times New Roman" w:hAnsi="Times New Roman"/>
          <w:noProof/>
          <w:sz w:val="24"/>
          <w:vertAlign w:val="superscript"/>
          <w:lang w:val="bg-BG" w:eastAsia="bg-BG" w:bidi="bg-BG"/>
        </w:rPr>
        <w:footnoteReference w:id="28"/>
      </w:r>
      <w:r>
        <w:rPr>
          <w:rFonts w:ascii="Times New Roman" w:hAnsi="Times New Roman"/>
          <w:noProof/>
          <w:sz w:val="24"/>
          <w:lang w:val="bg-BG" w:eastAsia="bg-BG" w:bidi="bg-BG"/>
        </w:rPr>
        <w:t xml:space="preserve">. </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БЕХ е традиционният държавен енергиен оператор в България. То е вертикално инт</w:t>
      </w:r>
      <w:r>
        <w:rPr>
          <w:rFonts w:ascii="Times New Roman" w:hAnsi="Times New Roman"/>
          <w:noProof/>
          <w:sz w:val="24"/>
          <w:lang w:val="bg-BG" w:eastAsia="bg-BG" w:bidi="bg-BG"/>
        </w:rPr>
        <w:t>егрирано дружество, което означава, че доставя газ и неговите дъщерни дружества притежават или контролират вътрешната газопреносна мрежа, единственото газово хранилище в България, както и капацитета на главния газопровод за внос на газ в България. Комисият</w:t>
      </w:r>
      <w:r>
        <w:rPr>
          <w:rFonts w:ascii="Times New Roman" w:hAnsi="Times New Roman"/>
          <w:noProof/>
          <w:sz w:val="24"/>
          <w:lang w:val="bg-BG" w:eastAsia="bg-BG" w:bidi="bg-BG"/>
        </w:rPr>
        <w:t xml:space="preserve">а се опасява, че БЕХ и неговите дъщерни дружества може да злоупотребяват с господстващото си положение на българския газов пазар, като възпрепятстват конкурентите да получат достъп до инфраструктурата, която им е необходима, за да се конкурират успешно на </w:t>
      </w:r>
      <w:r>
        <w:rPr>
          <w:rFonts w:ascii="Times New Roman" w:hAnsi="Times New Roman"/>
          <w:noProof/>
          <w:sz w:val="24"/>
          <w:lang w:val="bg-BG" w:eastAsia="bg-BG" w:bidi="bg-BG"/>
        </w:rPr>
        <w:t>пазара за доставка на газ в България. Подобно поведение нарушава антитръстовите правила на ЕС и води до по-малко конкуренция на пазара и по-слаби пазарни резултати за засегнатите потребители.</w:t>
      </w:r>
    </w:p>
    <w:p w:rsidR="00BA319C" w:rsidRDefault="008D6BD5">
      <w:pPr>
        <w:spacing w:line="240" w:lineRule="auto"/>
        <w:jc w:val="both"/>
        <w:rPr>
          <w:rFonts w:ascii="Times New Roman" w:hAnsi="Times New Roman"/>
          <w:noProof/>
          <w:color w:val="FF0000"/>
          <w:sz w:val="24"/>
          <w:szCs w:val="24"/>
          <w:lang w:val="bg-BG" w:eastAsia="bg-BG" w:bidi="bg-BG"/>
        </w:rPr>
      </w:pPr>
      <w:r>
        <w:rPr>
          <w:rFonts w:ascii="Times New Roman" w:hAnsi="Times New Roman"/>
          <w:noProof/>
          <w:sz w:val="24"/>
          <w:lang w:val="bg-BG" w:eastAsia="bg-BG" w:bidi="bg-BG"/>
        </w:rPr>
        <w:t xml:space="preserve">Комисията също така проведе отделно антитръстово разследване на </w:t>
      </w:r>
      <w:r>
        <w:rPr>
          <w:rFonts w:ascii="Times New Roman" w:hAnsi="Times New Roman"/>
          <w:noProof/>
          <w:sz w:val="24"/>
          <w:lang w:val="bg-BG" w:eastAsia="bg-BG" w:bidi="bg-BG"/>
        </w:rPr>
        <w:t>поведението на БЕХ на нерегулирания пазар на едро на електроенергия в България</w:t>
      </w:r>
      <w:r>
        <w:rPr>
          <w:rFonts w:ascii="Times New Roman" w:hAnsi="Times New Roman"/>
          <w:noProof/>
          <w:sz w:val="24"/>
          <w:vertAlign w:val="superscript"/>
          <w:lang w:val="bg-BG" w:eastAsia="bg-BG" w:bidi="bg-BG"/>
        </w:rPr>
        <w:footnoteReference w:id="29"/>
      </w:r>
      <w:r>
        <w:rPr>
          <w:rFonts w:ascii="Times New Roman" w:hAnsi="Times New Roman"/>
          <w:noProof/>
          <w:sz w:val="24"/>
          <w:lang w:val="bg-BG" w:eastAsia="bg-BG" w:bidi="bg-BG"/>
        </w:rPr>
        <w:t xml:space="preserve">. Комисията имаше опасения, че БЕХ е създало изкуствени бариери между националните пазари. По-конкретно, БЕХ е продавало електрическа енергия на търговци, използвайки договори, </w:t>
      </w:r>
      <w:r>
        <w:rPr>
          <w:rFonts w:ascii="Times New Roman" w:hAnsi="Times New Roman"/>
          <w:noProof/>
          <w:sz w:val="24"/>
          <w:lang w:val="bg-BG" w:eastAsia="bg-BG" w:bidi="bg-BG"/>
        </w:rPr>
        <w:t>които са им забранявали препродажбата на електроенергия извън България. БЕХ предложи да отговори на опасенията на Комисията чрез създаването на независима енергийна борса в България, чрез която електроенергия да може да се търгува анонимно без възможност д</w:t>
      </w:r>
      <w:r>
        <w:rPr>
          <w:rFonts w:ascii="Times New Roman" w:hAnsi="Times New Roman"/>
          <w:noProof/>
          <w:sz w:val="24"/>
          <w:lang w:val="bg-BG" w:eastAsia="bg-BG" w:bidi="bg-BG"/>
        </w:rPr>
        <w:t>а се провери къде е препродадена. На 10 декември 2015 г. Комисията направи ангажиментите, предложени от БЕХ, правно обвързващи.</w:t>
      </w:r>
    </w:p>
    <w:p w:rsidR="00BA319C" w:rsidRDefault="008D6BD5">
      <w:pPr>
        <w:keepNext/>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Контрол върху държавната помощ с цел осигуряване на по-благоприятен за климата и устойчив енергиен пазар без неоправдано нарушав</w:t>
      </w:r>
      <w:r>
        <w:rPr>
          <w:rFonts w:ascii="Times New Roman" w:hAnsi="Times New Roman"/>
          <w:i/>
          <w:noProof/>
          <w:sz w:val="24"/>
          <w:lang w:val="bg-BG" w:eastAsia="bg-BG" w:bidi="bg-BG"/>
        </w:rPr>
        <w:t>ане на конкуренцията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Друг важен акцент на политиката в областта на конкуренцията, който придружава прехода към екологична икономика, е да се гарантира, че пазарите функционират правилно и че държавната подкрепа — включително подкрепа за улесняване на стрем</w:t>
      </w:r>
      <w:r>
        <w:rPr>
          <w:rFonts w:ascii="Times New Roman" w:hAnsi="Times New Roman"/>
          <w:noProof/>
          <w:sz w:val="24"/>
          <w:lang w:val="bg-BG" w:eastAsia="bg-BG" w:bidi="bg-BG"/>
        </w:rPr>
        <w:t>ежа към възобновяеми енергийни източници — не създава дисбаланси.</w:t>
      </w:r>
    </w:p>
    <w:p w:rsidR="00BA319C" w:rsidRDefault="008D6BD5">
      <w:pPr>
        <w:spacing w:line="240" w:lineRule="auto"/>
        <w:jc w:val="both"/>
        <w:rPr>
          <w:rFonts w:ascii="Times New Roman" w:hAnsi="Times New Roman"/>
          <w:noProof/>
          <w:spacing w:val="-2"/>
          <w:sz w:val="24"/>
          <w:szCs w:val="24"/>
          <w:lang w:val="bg-BG" w:eastAsia="bg-BG" w:bidi="bg-BG"/>
        </w:rPr>
      </w:pPr>
      <w:r>
        <w:rPr>
          <w:rFonts w:ascii="Times New Roman" w:hAnsi="Times New Roman"/>
          <w:noProof/>
          <w:spacing w:val="-2"/>
          <w:sz w:val="24"/>
          <w:lang w:val="bg-BG" w:eastAsia="bg-BG" w:bidi="bg-BG"/>
        </w:rPr>
        <w:t>Чрез своите Насоки относно държавната помощ за опазване на околната среда и за енергетика</w:t>
      </w:r>
      <w:r>
        <w:rPr>
          <w:rFonts w:ascii="Times New Roman" w:hAnsi="Times New Roman"/>
          <w:noProof/>
          <w:spacing w:val="-2"/>
          <w:sz w:val="24"/>
          <w:vertAlign w:val="superscript"/>
          <w:lang w:val="bg-BG" w:eastAsia="bg-BG" w:bidi="bg-BG"/>
        </w:rPr>
        <w:footnoteReference w:id="30"/>
      </w:r>
      <w:r>
        <w:rPr>
          <w:rFonts w:ascii="Times New Roman" w:hAnsi="Times New Roman"/>
          <w:noProof/>
          <w:spacing w:val="-2"/>
          <w:sz w:val="24"/>
          <w:lang w:val="bg-BG" w:eastAsia="bg-BG" w:bidi="bg-BG"/>
        </w:rPr>
        <w:t xml:space="preserve"> Комисията насърчава интегрирането на възобновяеми енергийни източници на пазара, за да се избегне н</w:t>
      </w:r>
      <w:r>
        <w:rPr>
          <w:rFonts w:ascii="Times New Roman" w:hAnsi="Times New Roman"/>
          <w:noProof/>
          <w:spacing w:val="-2"/>
          <w:sz w:val="24"/>
          <w:lang w:val="bg-BG" w:eastAsia="bg-BG" w:bidi="bg-BG"/>
        </w:rPr>
        <w:t>арушаване на конкуренцията. От 2016 г. производителите на енергия, използващи възобновяеми енергийни източници, трябва да продават своята електроенергия директно на пазара. Държавна подкрепа може да се предоставя само като премия върху пазарната цена. В до</w:t>
      </w:r>
      <w:r>
        <w:rPr>
          <w:rFonts w:ascii="Times New Roman" w:hAnsi="Times New Roman"/>
          <w:noProof/>
          <w:spacing w:val="-2"/>
          <w:sz w:val="24"/>
          <w:lang w:val="bg-BG" w:eastAsia="bg-BG" w:bidi="bg-BG"/>
        </w:rPr>
        <w:t xml:space="preserve">пълнение, от 2017 г. държавите членки ще трябва да предоставят оперативна помощ чрез конкурентна тръжна процедура. </w:t>
      </w:r>
    </w:p>
    <w:p w:rsidR="00BA319C" w:rsidRDefault="008D6BD5">
      <w:pPr>
        <w:spacing w:line="240" w:lineRule="auto"/>
        <w:jc w:val="both"/>
        <w:rPr>
          <w:rFonts w:ascii="Times New Roman" w:hAnsi="Times New Roman"/>
          <w:noProof/>
          <w:spacing w:val="-2"/>
          <w:sz w:val="24"/>
          <w:szCs w:val="24"/>
          <w:lang w:val="bg-BG" w:eastAsia="bg-BG" w:bidi="bg-BG"/>
        </w:rPr>
      </w:pPr>
      <w:r>
        <w:rPr>
          <w:rFonts w:ascii="Times New Roman" w:hAnsi="Times New Roman"/>
          <w:noProof/>
          <w:spacing w:val="-2"/>
          <w:sz w:val="24"/>
          <w:lang w:val="bg-BG" w:eastAsia="bg-BG" w:bidi="bg-BG"/>
        </w:rPr>
        <w:t>Освен това насоките са предназначени да допринесат за въвеждането на пазара на иновационни енергийни технологии с ниски въглеродни емисии, к</w:t>
      </w:r>
      <w:r>
        <w:rPr>
          <w:rFonts w:ascii="Times New Roman" w:hAnsi="Times New Roman"/>
          <w:noProof/>
          <w:spacing w:val="-2"/>
          <w:sz w:val="24"/>
          <w:lang w:val="bg-BG" w:eastAsia="bg-BG" w:bidi="bg-BG"/>
        </w:rPr>
        <w:t>ато се позволява предоставянето на държавна помощ в случаите, когато е налице пазарна неефективност. С насоките държавите — членки на ЕС, се насърчават също така да си сътрудничат помежду си и да вземат предвид доставките на електроенергия от други държави</w:t>
      </w:r>
      <w:r>
        <w:rPr>
          <w:rFonts w:ascii="Times New Roman" w:hAnsi="Times New Roman"/>
          <w:noProof/>
          <w:spacing w:val="-2"/>
          <w:sz w:val="24"/>
          <w:lang w:val="bg-BG" w:eastAsia="bg-BG" w:bidi="bg-BG"/>
        </w:rPr>
        <w:t xml:space="preserve"> членки. </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В допълнение контролът върху държавната помощ спомага за създаването на свързан, интегриран и сигурен енергиен пазар в Европа чрез оценка на националните мерки за гарантиране на доставките на електроенергия (известни като „механизми за осигуряван</w:t>
      </w:r>
      <w:r>
        <w:rPr>
          <w:rFonts w:ascii="Times New Roman" w:hAnsi="Times New Roman"/>
          <w:noProof/>
          <w:sz w:val="24"/>
          <w:lang w:val="bg-BG" w:eastAsia="bg-BG" w:bidi="bg-BG"/>
        </w:rPr>
        <w:t>е на капацитет“).</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bg-BG" w:eastAsia="bg-BG" w:bidi="bg-BG"/>
        </w:rPr>
      </w:pPr>
      <w:r>
        <w:rPr>
          <w:rFonts w:ascii="Times New Roman" w:hAnsi="Times New Roman"/>
          <w:b/>
          <w:noProof/>
          <w:sz w:val="20"/>
          <w:lang w:val="bg-BG" w:eastAsia="bg-BG" w:bidi="bg-BG"/>
        </w:rPr>
        <w:t>Секторното проучване на механизмите за осигуряване на капацитет — напредък по целите на енергийния съюз</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 xml:space="preserve">През април Комисията започна секторно проучване на държавната помощ, за да се събере информация за съществуващите или планираните </w:t>
      </w:r>
      <w:r>
        <w:rPr>
          <w:rFonts w:ascii="Times New Roman" w:hAnsi="Times New Roman"/>
          <w:noProof/>
          <w:sz w:val="20"/>
          <w:lang w:val="bg-BG" w:eastAsia="bg-BG" w:bidi="bg-BG"/>
        </w:rPr>
        <w:t>механизми за осигуряване на капацитет, т.е. мерките, предприети от държавите членки за гарантиране на съответствие на доставките на електрическа енергия с търсенето в средносрочен и дългосрочен план. Секторното проучване има за цел да се проучи по-специалн</w:t>
      </w:r>
      <w:r>
        <w:rPr>
          <w:rFonts w:ascii="Times New Roman" w:hAnsi="Times New Roman"/>
          <w:noProof/>
          <w:sz w:val="20"/>
          <w:lang w:val="bg-BG" w:eastAsia="bg-BG" w:bidi="bg-BG"/>
        </w:rPr>
        <w:t>о дали тези мерки гарантират сигурност на доставките на електроенергия, без да се нарушава конкуренцията между доставчиците на електроенергия или да се възпрепятства трансграничната търговия.</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 xml:space="preserve">Това секторно проучване е първото в съответствие с правилата на </w:t>
      </w:r>
      <w:r>
        <w:rPr>
          <w:rFonts w:ascii="Times New Roman" w:hAnsi="Times New Roman"/>
          <w:noProof/>
          <w:sz w:val="20"/>
          <w:lang w:val="bg-BG" w:eastAsia="bg-BG" w:bidi="bg-BG"/>
        </w:rPr>
        <w:t>ЕС за държавна помощ и обхваща представителна извадка от държавите членки, които имат въведени механизми за осигуряване на капацитет или обмислят въвеждането на такива, а именно: Белгия, Хърватия, Дания, Франция, Германия, Ирландия, Италия, Полша, Португал</w:t>
      </w:r>
      <w:r>
        <w:rPr>
          <w:rFonts w:ascii="Times New Roman" w:hAnsi="Times New Roman"/>
          <w:noProof/>
          <w:sz w:val="20"/>
          <w:lang w:val="bg-BG" w:eastAsia="bg-BG" w:bidi="bg-BG"/>
        </w:rPr>
        <w:t>ия, Испания и Швеция. Правителствата имат законен интерес да гарантират, че са налице достатъчни доставки на електроенергия, за да се избегне прекъсване на тока, но едновременно с това политиката в областта на конкуренцията трябва да гарантира, че публични</w:t>
      </w:r>
      <w:r>
        <w:rPr>
          <w:rFonts w:ascii="Times New Roman" w:hAnsi="Times New Roman"/>
          <w:noProof/>
          <w:sz w:val="20"/>
          <w:lang w:val="bg-BG" w:eastAsia="bg-BG" w:bidi="bg-BG"/>
        </w:rPr>
        <w:t>те мерки подкрепят инвестициите в доставки на електроенергия, че са в съответствие с инструментите на политиката, насочени към насърчаване на намаляването на въглеродните емисии, и че не облагодетелстват неоправдано конкретни производители или технологии.</w:t>
      </w:r>
    </w:p>
    <w:p w:rsidR="00BA319C" w:rsidRDefault="008D6BD5">
      <w:pPr>
        <w:spacing w:line="240" w:lineRule="auto"/>
        <w:jc w:val="both"/>
        <w:rPr>
          <w:rFonts w:ascii="Times New Roman" w:hAnsi="Times New Roman"/>
          <w:i/>
          <w:iCs/>
          <w:noProof/>
          <w:sz w:val="24"/>
          <w:szCs w:val="24"/>
          <w:lang w:val="bg-BG" w:eastAsia="bg-BG" w:bidi="bg-BG"/>
        </w:rPr>
      </w:pPr>
      <w:r>
        <w:rPr>
          <w:rFonts w:ascii="Times New Roman" w:hAnsi="Times New Roman"/>
          <w:i/>
          <w:noProof/>
          <w:sz w:val="24"/>
          <w:lang w:val="bg-BG" w:eastAsia="bg-BG" w:bidi="bg-BG"/>
        </w:rPr>
        <w:t>Поддържане на привлекателността на Европа като място за инвестиции — контрол върху сливанията в енергийния сектор</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За мрежови индустрии като енергийния сектор е от съществено значение да се предотврати създаването на пазарни структури, които биха могли да в</w:t>
      </w:r>
      <w:r>
        <w:rPr>
          <w:rFonts w:ascii="Times New Roman" w:hAnsi="Times New Roman"/>
          <w:noProof/>
          <w:sz w:val="24"/>
          <w:lang w:val="bg-BG" w:eastAsia="bg-BG" w:bidi="bg-BG"/>
        </w:rPr>
        <w:t>ъзпрепятстват ефективната конкуренция, като по този начин се намалят стимулите за инвестиции и иновации. Контролът на ЕС върху сливанията продължава да бъде ефективен инструмент за поддържане на отворен енергиен пазар на ЕС и за гарантиране, че инвестициит</w:t>
      </w:r>
      <w:r>
        <w:rPr>
          <w:rFonts w:ascii="Times New Roman" w:hAnsi="Times New Roman"/>
          <w:noProof/>
          <w:sz w:val="24"/>
          <w:lang w:val="bg-BG" w:eastAsia="bg-BG" w:bidi="bg-BG"/>
        </w:rPr>
        <w:t>е водят до по-добри пазарни резултати за предприятията и домакинствата в ЕС.</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В резултат на задълбочен преглед и много тясно сътрудничество с антитръстовия отдел към Министерството на правосъдието на САЩ, Комисията одобри, в съответствие с Регламента за сли</w:t>
      </w:r>
      <w:r>
        <w:rPr>
          <w:rFonts w:ascii="Times New Roman" w:hAnsi="Times New Roman"/>
          <w:noProof/>
          <w:sz w:val="24"/>
          <w:lang w:val="bg-BG" w:eastAsia="bg-BG" w:bidi="bg-BG"/>
        </w:rPr>
        <w:t>ванията на ЕС, предложеното придобиване на енергийните предприятия на Alstom от Франция от страна на General Electric (GE) със седалище в САЩ</w:t>
      </w:r>
      <w:r>
        <w:rPr>
          <w:rFonts w:ascii="Times New Roman" w:hAnsi="Times New Roman"/>
          <w:noProof/>
          <w:sz w:val="24"/>
          <w:vertAlign w:val="superscript"/>
          <w:lang w:val="bg-BG" w:eastAsia="bg-BG" w:bidi="bg-BG"/>
        </w:rPr>
        <w:footnoteReference w:id="31"/>
      </w:r>
      <w:r>
        <w:rPr>
          <w:rFonts w:ascii="Times New Roman" w:hAnsi="Times New Roman"/>
          <w:noProof/>
          <w:sz w:val="24"/>
          <w:lang w:val="bg-BG" w:eastAsia="bg-BG" w:bidi="bg-BG"/>
        </w:rPr>
        <w:t>. Сделката е добър пример за това как технология, установена в ЕС, може да се развива и привлича чуждестранни инве</w:t>
      </w:r>
      <w:r>
        <w:rPr>
          <w:rFonts w:ascii="Times New Roman" w:hAnsi="Times New Roman"/>
          <w:noProof/>
          <w:sz w:val="24"/>
          <w:lang w:val="bg-BG" w:eastAsia="bg-BG" w:bidi="bg-BG"/>
        </w:rPr>
        <w:t>стиции.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Одобрението е обвързано с условието за продажба на важни части от дейността на Alstom с мощни газови турбини, които се използват главно в електроцентрали, работещи на газ, на Ansaldo от Италия. Комисията имаше опасения, че сделката би могла да прем</w:t>
      </w:r>
      <w:r>
        <w:rPr>
          <w:rFonts w:ascii="Times New Roman" w:hAnsi="Times New Roman"/>
          <w:noProof/>
          <w:sz w:val="24"/>
          <w:lang w:val="bg-BG" w:eastAsia="bg-BG" w:bidi="bg-BG"/>
        </w:rPr>
        <w:t>ахне един от основните световни конкуренти на GE на пазара на мощни газови турбини, на който GE е най-големият производител в света, а Alstom е един от водещите световни участници. Това би довело до по-малко иновации и по-високи цени. С ангажиментите, пред</w:t>
      </w:r>
      <w:r>
        <w:rPr>
          <w:rFonts w:ascii="Times New Roman" w:hAnsi="Times New Roman"/>
          <w:noProof/>
          <w:sz w:val="24"/>
          <w:lang w:val="bg-BG" w:eastAsia="bg-BG" w:bidi="bg-BG"/>
        </w:rPr>
        <w:t>ложени от GE, тези опасения се разсейват. Освен това напредналата технология за мощни газови турбини е от особено значение за постигането на целите във връзка с изменението на климата и модернизирането на енергийните доставки на ЕС.</w:t>
      </w:r>
    </w:p>
    <w:p w:rsidR="00BA319C" w:rsidRDefault="008D6BD5">
      <w:pPr>
        <w:numPr>
          <w:ilvl w:val="0"/>
          <w:numId w:val="3"/>
        </w:numPr>
        <w:spacing w:line="240" w:lineRule="auto"/>
        <w:jc w:val="both"/>
        <w:rPr>
          <w:rFonts w:ascii="Times New Roman" w:hAnsi="Times New Roman"/>
          <w:b/>
          <w:noProof/>
          <w:sz w:val="24"/>
          <w:szCs w:val="24"/>
          <w:lang w:val="bg-BG" w:eastAsia="bg-BG" w:bidi="bg-BG"/>
        </w:rPr>
      </w:pPr>
      <w:r>
        <w:rPr>
          <w:rFonts w:ascii="Times New Roman" w:hAnsi="Times New Roman"/>
          <w:b/>
          <w:noProof/>
          <w:sz w:val="24"/>
          <w:lang w:val="bg-BG" w:eastAsia="bg-BG" w:bidi="bg-BG"/>
        </w:rPr>
        <w:t>Към по-задълбочен и по-</w:t>
      </w:r>
      <w:r>
        <w:rPr>
          <w:rFonts w:ascii="Times New Roman" w:hAnsi="Times New Roman"/>
          <w:b/>
          <w:noProof/>
          <w:sz w:val="24"/>
          <w:lang w:val="bg-BG" w:eastAsia="bg-BG" w:bidi="bg-BG"/>
        </w:rPr>
        <w:t>справедлив единен пазар на ЕС</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Във времена на нарастваща глобализация един по-задълбочен и по-справедлив единен пазар е основен актив за изграждането на по-силна икономика на ЕС, която е двигател за създаването на работни места и растежа. Това е причината, </w:t>
      </w:r>
      <w:r>
        <w:rPr>
          <w:rFonts w:ascii="Times New Roman" w:hAnsi="Times New Roman"/>
          <w:noProof/>
          <w:sz w:val="24"/>
          <w:lang w:val="bg-BG" w:eastAsia="bg-BG" w:bidi="bg-BG"/>
        </w:rPr>
        <w:t>поради която ускоряването на интеграцията на единния пазар остава водещ приоритет в програмата на Комисията. Целта на Комисията е да се разкрият нови възможности за гражданите и предприятията, като се създаде възможност за по-свободно движение на хора, сто</w:t>
      </w:r>
      <w:r>
        <w:rPr>
          <w:rFonts w:ascii="Times New Roman" w:hAnsi="Times New Roman"/>
          <w:noProof/>
          <w:sz w:val="24"/>
          <w:lang w:val="bg-BG" w:eastAsia="bg-BG" w:bidi="bg-BG"/>
        </w:rPr>
        <w:t>ки, услуги и капитали в границите на единния пазар.</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Повишаване на прозрачността на данъчното облагане и гарантиране на справедлива данъчна тежест за всички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За един пълноценно функциониращ единен пазар се изисква всички участници на пазара — независимо дали</w:t>
      </w:r>
      <w:r>
        <w:rPr>
          <w:rFonts w:ascii="Times New Roman" w:hAnsi="Times New Roman"/>
          <w:noProof/>
          <w:sz w:val="24"/>
          <w:lang w:val="bg-BG" w:eastAsia="bg-BG" w:bidi="bg-BG"/>
        </w:rPr>
        <w:t xml:space="preserve"> са малки или големи, местни или световни — да плащат </w:t>
      </w:r>
      <w:r>
        <w:rPr>
          <w:rFonts w:ascii="Times New Roman" w:hAnsi="Times New Roman"/>
          <w:noProof/>
          <w:sz w:val="24"/>
          <w:szCs w:val="24"/>
          <w:lang w:val="bg-BG" w:eastAsia="bg-BG" w:bidi="bg-BG"/>
        </w:rPr>
        <w:t xml:space="preserve">справедлив дял от данъчното бреме. Ето защо борбата с укриването на данъци и данъчните измами е един от основните приоритети на </w:t>
      </w:r>
      <w:r>
        <w:rPr>
          <w:rFonts w:ascii="Times New Roman" w:hAnsi="Times New Roman"/>
          <w:noProof/>
          <w:sz w:val="24"/>
          <w:szCs w:val="24"/>
          <w:lang w:val="bg-BG"/>
        </w:rPr>
        <w:t>Комисията, ръководена от председателя Юнкер</w:t>
      </w:r>
      <w:r>
        <w:rPr>
          <w:rFonts w:ascii="Times New Roman" w:hAnsi="Times New Roman"/>
          <w:noProof/>
          <w:sz w:val="24"/>
          <w:lang w:val="bg-BG" w:eastAsia="bg-BG" w:bidi="bg-BG"/>
        </w:rPr>
        <w:t>, и една от най-важните инициат</w:t>
      </w:r>
      <w:r>
        <w:rPr>
          <w:rFonts w:ascii="Times New Roman" w:hAnsi="Times New Roman"/>
          <w:noProof/>
          <w:sz w:val="24"/>
          <w:lang w:val="bg-BG" w:eastAsia="bg-BG" w:bidi="bg-BG"/>
        </w:rPr>
        <w:t>иви за ускоряване на изграждането на единния пазар на ЕС.</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март Комисията представи пакет от мерки за прозрачност в данъчното облагане</w:t>
      </w:r>
      <w:r>
        <w:rPr>
          <w:rFonts w:ascii="Times New Roman" w:hAnsi="Times New Roman"/>
          <w:noProof/>
          <w:sz w:val="24"/>
          <w:vertAlign w:val="superscript"/>
          <w:lang w:val="bg-BG" w:eastAsia="bg-BG" w:bidi="bg-BG"/>
        </w:rPr>
        <w:footnoteReference w:id="32"/>
      </w:r>
      <w:r>
        <w:rPr>
          <w:rFonts w:ascii="Times New Roman" w:hAnsi="Times New Roman"/>
          <w:noProof/>
          <w:sz w:val="24"/>
          <w:lang w:val="bg-BG" w:eastAsia="bg-BG" w:bidi="bg-BG"/>
        </w:rPr>
        <w:t>, който има за цел да се гарантира, че държавите членки са оборудвани с необходимата им информация, за да защитят сво</w:t>
      </w:r>
      <w:r>
        <w:rPr>
          <w:rFonts w:ascii="Times New Roman" w:hAnsi="Times New Roman"/>
          <w:noProof/>
          <w:sz w:val="24"/>
          <w:lang w:val="bg-BG" w:eastAsia="bg-BG" w:bidi="bg-BG"/>
        </w:rPr>
        <w:t>ите данъчни основи и ефективно да се насочват към дружества, които се опитват да избегнат плащането на своя справедлив дял от данъчното бреме. През месец юни пакетът бе последван от плана за действие на Комисията за справедливо и ефикасно данъчно облагане</w:t>
      </w:r>
      <w:r>
        <w:rPr>
          <w:rFonts w:ascii="Times New Roman" w:hAnsi="Times New Roman"/>
          <w:noProof/>
          <w:sz w:val="24"/>
          <w:vertAlign w:val="superscript"/>
          <w:lang w:val="bg-BG" w:eastAsia="bg-BG" w:bidi="bg-BG"/>
        </w:rPr>
        <w:footnoteReference w:id="33"/>
      </w:r>
      <w:r>
        <w:rPr>
          <w:rFonts w:ascii="Times New Roman" w:hAnsi="Times New Roman"/>
          <w:noProof/>
          <w:sz w:val="24"/>
          <w:lang w:val="bg-BG" w:eastAsia="bg-BG" w:bidi="bg-BG"/>
        </w:rPr>
        <w:t>. В този план за действие са набелязани поредица от инициативи за преодоляване на проблемите с избягването на данъчно облагане, за осигуряване на устойчиви данъчни постъпления и за укрепване на единния пазар в помощ на предприятията. Взети заедно, тези мер</w:t>
      </w:r>
      <w:r>
        <w:rPr>
          <w:rFonts w:ascii="Times New Roman" w:hAnsi="Times New Roman"/>
          <w:noProof/>
          <w:sz w:val="24"/>
          <w:lang w:val="bg-BG" w:eastAsia="bg-BG" w:bidi="bg-BG"/>
        </w:rPr>
        <w:t>ки значително ще подобрят рамката за корпоративно данъчно облагане в ЕС, допринасяйки за повече справедливост и ефикасност и правейки я по-благоприятна за растежа.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Политиката в областта на конкуренцията играе ключова роля за справянето с това предизвикател</w:t>
      </w:r>
      <w:r>
        <w:rPr>
          <w:rFonts w:ascii="Times New Roman" w:hAnsi="Times New Roman"/>
          <w:noProof/>
          <w:sz w:val="24"/>
          <w:lang w:val="bg-BG" w:eastAsia="bg-BG" w:bidi="bg-BG"/>
        </w:rPr>
        <w:t xml:space="preserve">ство. В резултат на задълбочени разследвания, които започнаха през месец юни 2014 г., Комисията заключи, че Люксембург и Нидерландия са предоставили избирателни данъчни предимства (неправомерни съгласно правилата на ЕС за държавна помощ) на </w:t>
      </w:r>
      <w:r>
        <w:rPr>
          <w:rFonts w:ascii="Times New Roman" w:hAnsi="Times New Roman"/>
          <w:noProof/>
          <w:sz w:val="24"/>
          <w:szCs w:val="24"/>
          <w:lang w:val="bg-BG"/>
        </w:rPr>
        <w:t>Fiat Finance an</w:t>
      </w:r>
      <w:r>
        <w:rPr>
          <w:rFonts w:ascii="Times New Roman" w:hAnsi="Times New Roman"/>
          <w:noProof/>
          <w:sz w:val="24"/>
          <w:szCs w:val="24"/>
          <w:lang w:val="bg-BG"/>
        </w:rPr>
        <w:t>d Trade</w:t>
      </w:r>
      <w:r>
        <w:rPr>
          <w:rFonts w:ascii="Times New Roman" w:hAnsi="Times New Roman"/>
          <w:noProof/>
          <w:sz w:val="24"/>
          <w:lang w:val="bg-BG" w:eastAsia="bg-BG" w:bidi="bg-BG"/>
        </w:rPr>
        <w:t xml:space="preserve"> </w:t>
      </w:r>
      <w:r>
        <w:rPr>
          <w:rFonts w:ascii="Times New Roman" w:hAnsi="Times New Roman"/>
          <w:noProof/>
          <w:sz w:val="24"/>
          <w:vertAlign w:val="superscript"/>
          <w:lang w:val="bg-BG" w:eastAsia="bg-BG" w:bidi="bg-BG"/>
        </w:rPr>
        <w:footnoteReference w:id="34"/>
      </w:r>
      <w:r>
        <w:rPr>
          <w:rFonts w:ascii="Times New Roman" w:hAnsi="Times New Roman"/>
          <w:noProof/>
          <w:sz w:val="24"/>
          <w:lang w:val="bg-BG" w:eastAsia="bg-BG" w:bidi="bg-BG"/>
        </w:rPr>
        <w:t xml:space="preserve"> и </w:t>
      </w:r>
      <w:r>
        <w:rPr>
          <w:rFonts w:ascii="Times New Roman" w:hAnsi="Times New Roman"/>
          <w:noProof/>
          <w:sz w:val="24"/>
          <w:szCs w:val="24"/>
          <w:lang w:val="bg-BG"/>
        </w:rPr>
        <w:t>Starbucks</w:t>
      </w:r>
      <w:r>
        <w:rPr>
          <w:rFonts w:ascii="Times New Roman" w:hAnsi="Times New Roman"/>
          <w:noProof/>
          <w:sz w:val="24"/>
          <w:lang w:val="bg-BG" w:eastAsia="bg-BG" w:bidi="bg-BG"/>
        </w:rPr>
        <w:t xml:space="preserve"> </w:t>
      </w:r>
      <w:r>
        <w:rPr>
          <w:rFonts w:ascii="Times New Roman" w:hAnsi="Times New Roman"/>
          <w:noProof/>
          <w:sz w:val="24"/>
          <w:vertAlign w:val="superscript"/>
          <w:lang w:val="bg-BG" w:eastAsia="bg-BG" w:bidi="bg-BG"/>
        </w:rPr>
        <w:footnoteReference w:id="35"/>
      </w:r>
      <w:r>
        <w:rPr>
          <w:rFonts w:ascii="Times New Roman" w:hAnsi="Times New Roman"/>
          <w:noProof/>
          <w:sz w:val="24"/>
          <w:lang w:val="bg-BG" w:eastAsia="bg-BG" w:bidi="bg-BG"/>
        </w:rPr>
        <w:t>. За всяко от тези дружества данъчните становища, издадени от съответния национален данъчен орган, изкуствено са занижили дължимия от дружеството данък</w:t>
      </w:r>
      <w:r>
        <w:rPr>
          <w:rFonts w:ascii="Times New Roman" w:hAnsi="Times New Roman"/>
          <w:noProof/>
          <w:sz w:val="24"/>
          <w:vertAlign w:val="superscript"/>
          <w:lang w:val="bg-BG" w:eastAsia="bg-BG" w:bidi="bg-BG"/>
        </w:rPr>
        <w:footnoteReference w:id="36"/>
      </w:r>
      <w:r>
        <w:rPr>
          <w:rFonts w:ascii="Times New Roman" w:hAnsi="Times New Roman"/>
          <w:noProof/>
          <w:sz w:val="24"/>
          <w:lang w:val="bg-BG" w:eastAsia="bg-BG" w:bidi="bg-BG"/>
        </w:rPr>
        <w:t>.</w:t>
      </w:r>
      <w:r>
        <w:rPr>
          <w:rFonts w:ascii="Times New Roman" w:hAnsi="Times New Roman"/>
          <w:noProof/>
          <w:lang w:val="bg-BG" w:eastAsia="bg-BG" w:bidi="bg-BG"/>
        </w:rPr>
        <w:t xml:space="preserve"> </w:t>
      </w:r>
      <w:r>
        <w:rPr>
          <w:rFonts w:ascii="Times New Roman" w:hAnsi="Times New Roman"/>
          <w:noProof/>
          <w:sz w:val="24"/>
          <w:lang w:val="bg-BG" w:eastAsia="bg-BG" w:bidi="bg-BG"/>
        </w:rPr>
        <w:t>Съгласно правилата на ЕС за държавна помощ при предварителните данъчни становищ</w:t>
      </w:r>
      <w:r>
        <w:rPr>
          <w:rFonts w:ascii="Times New Roman" w:hAnsi="Times New Roman"/>
          <w:noProof/>
          <w:sz w:val="24"/>
          <w:lang w:val="bg-BG" w:eastAsia="bg-BG" w:bidi="bg-BG"/>
        </w:rPr>
        <w:t>а не могат да се използват методи, независимо от тяхната сложност, за установяване на трансферни цени без икономическа обосновка, които неоправдано прехвърлят печалбите с цел намаляване на данъците, плащани от дружеството. Такива практики биха предоставили</w:t>
      </w:r>
      <w:r>
        <w:rPr>
          <w:rFonts w:ascii="Times New Roman" w:hAnsi="Times New Roman"/>
          <w:noProof/>
          <w:sz w:val="24"/>
          <w:lang w:val="bg-BG" w:eastAsia="bg-BG" w:bidi="bg-BG"/>
        </w:rPr>
        <w:t xml:space="preserve"> на съответното дружество несправедливо конкурентно предимство спрямо останалите дружества, обикновено малки и средни предприятия, които се облагат с данък върху действителните им печалби, защото плащат пазарни цени за стоките и услугите, които използват.</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b/>
          <w:noProof/>
          <w:sz w:val="20"/>
          <w:szCs w:val="20"/>
          <w:lang w:val="bg-BG" w:eastAsia="bg-BG" w:bidi="bg-BG"/>
        </w:rPr>
      </w:pPr>
      <w:r>
        <w:rPr>
          <w:rFonts w:ascii="Times New Roman" w:hAnsi="Times New Roman"/>
          <w:b/>
          <w:noProof/>
          <w:sz w:val="20"/>
          <w:lang w:val="bg-BG" w:eastAsia="bg-BG" w:bidi="bg-BG"/>
        </w:rPr>
        <w:t xml:space="preserve">Справяне с несправедливи данъчни предимства — решенията за </w:t>
      </w:r>
      <w:r>
        <w:rPr>
          <w:rFonts w:ascii="Times New Roman" w:hAnsi="Times New Roman"/>
          <w:b/>
          <w:noProof/>
          <w:sz w:val="20"/>
          <w:szCs w:val="20"/>
          <w:lang w:val="bg-BG"/>
        </w:rPr>
        <w:t xml:space="preserve">Starbucks </w:t>
      </w:r>
      <w:r>
        <w:rPr>
          <w:rFonts w:ascii="Times New Roman" w:hAnsi="Times New Roman"/>
          <w:b/>
          <w:noProof/>
          <w:sz w:val="20"/>
          <w:lang w:val="bg-BG" w:eastAsia="bg-BG" w:bidi="bg-BG"/>
        </w:rPr>
        <w:t xml:space="preserve">и </w:t>
      </w:r>
      <w:r>
        <w:rPr>
          <w:rFonts w:ascii="Times New Roman" w:hAnsi="Times New Roman"/>
          <w:b/>
          <w:noProof/>
          <w:sz w:val="20"/>
          <w:szCs w:val="20"/>
          <w:lang w:val="bg-BG"/>
        </w:rPr>
        <w:t>Fiat Finance &amp; Trade</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lang w:val="bg-BG" w:eastAsia="bg-BG" w:bidi="bg-BG"/>
        </w:rPr>
      </w:pPr>
      <w:r>
        <w:rPr>
          <w:rFonts w:ascii="Times New Roman" w:hAnsi="Times New Roman"/>
          <w:noProof/>
          <w:sz w:val="20"/>
          <w:lang w:val="bg-BG" w:eastAsia="bg-BG" w:bidi="bg-BG"/>
        </w:rPr>
        <w:t xml:space="preserve">Данъчните становища, като такива, са напълно законни. В случаите на </w:t>
      </w:r>
      <w:r>
        <w:rPr>
          <w:rFonts w:ascii="Times New Roman" w:hAnsi="Times New Roman"/>
          <w:noProof/>
          <w:sz w:val="20"/>
          <w:szCs w:val="20"/>
          <w:lang w:val="bg-BG"/>
        </w:rPr>
        <w:t>Starbucks</w:t>
      </w:r>
      <w:r>
        <w:rPr>
          <w:rFonts w:ascii="Times New Roman" w:hAnsi="Times New Roman"/>
          <w:noProof/>
          <w:sz w:val="20"/>
          <w:lang w:val="bg-BG" w:eastAsia="bg-BG" w:bidi="bg-BG"/>
        </w:rPr>
        <w:t xml:space="preserve"> и </w:t>
      </w:r>
      <w:r>
        <w:rPr>
          <w:rFonts w:ascii="Times New Roman" w:hAnsi="Times New Roman"/>
          <w:noProof/>
          <w:sz w:val="20"/>
          <w:szCs w:val="20"/>
          <w:lang w:val="bg-BG"/>
        </w:rPr>
        <w:t>Fiat Finance &amp; Trade</w:t>
      </w:r>
      <w:r>
        <w:rPr>
          <w:rFonts w:ascii="Times New Roman" w:hAnsi="Times New Roman"/>
          <w:noProof/>
          <w:sz w:val="20"/>
          <w:lang w:val="bg-BG" w:eastAsia="bg-BG" w:bidi="bg-BG"/>
        </w:rPr>
        <w:t xml:space="preserve"> обаче с двете данъчни становища, които са предмет на разследване, са одобрени изкуствени и сложни методи за определяне на облагаемата печалба на дружествата. Тези методи определят цени за стоките и услугите, продавани между дружествата на групите </w:t>
      </w:r>
      <w:r>
        <w:rPr>
          <w:rFonts w:ascii="Times New Roman" w:hAnsi="Times New Roman"/>
          <w:noProof/>
          <w:sz w:val="20"/>
          <w:szCs w:val="20"/>
          <w:lang w:val="bg-BG"/>
        </w:rPr>
        <w:t>Fiat</w:t>
      </w:r>
      <w:r>
        <w:rPr>
          <w:rFonts w:ascii="Times New Roman" w:hAnsi="Times New Roman"/>
          <w:noProof/>
          <w:sz w:val="20"/>
          <w:lang w:val="bg-BG" w:eastAsia="bg-BG" w:bidi="bg-BG"/>
        </w:rPr>
        <w:t xml:space="preserve"> и </w:t>
      </w:r>
      <w:r>
        <w:rPr>
          <w:rFonts w:ascii="Times New Roman" w:hAnsi="Times New Roman"/>
          <w:noProof/>
          <w:sz w:val="20"/>
          <w:szCs w:val="20"/>
          <w:lang w:val="bg-BG"/>
        </w:rPr>
        <w:t>S</w:t>
      </w:r>
      <w:r>
        <w:rPr>
          <w:rFonts w:ascii="Times New Roman" w:hAnsi="Times New Roman"/>
          <w:noProof/>
          <w:sz w:val="20"/>
          <w:szCs w:val="20"/>
          <w:lang w:val="bg-BG"/>
        </w:rPr>
        <w:t>tarbucks</w:t>
      </w:r>
      <w:r>
        <w:rPr>
          <w:rFonts w:ascii="Times New Roman" w:hAnsi="Times New Roman"/>
          <w:noProof/>
          <w:sz w:val="20"/>
          <w:lang w:val="bg-BG" w:eastAsia="bg-BG" w:bidi="bg-BG"/>
        </w:rPr>
        <w:t xml:space="preserve"> (т.нар. „трансферни цени“), които не съответстват на пазарните условия и следователно не отразява икономическата реалност.</w:t>
      </w:r>
    </w:p>
    <w:p w:rsidR="00BA319C" w:rsidRDefault="008D6BD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lang w:val="bg-BG" w:eastAsia="bg-BG" w:bidi="bg-BG"/>
        </w:rPr>
      </w:pPr>
      <w:r>
        <w:rPr>
          <w:rFonts w:ascii="Times New Roman" w:hAnsi="Times New Roman"/>
          <w:noProof/>
          <w:sz w:val="20"/>
          <w:lang w:val="bg-BG" w:eastAsia="bg-BG" w:bidi="bg-BG"/>
        </w:rPr>
        <w:t>Правилата на ЕС за държавна помощ изискват всяка несъвместима държавна помощ да бъде възстановена, за да се намали нарушаването на конкуренцията, породено от помощта. В двете си решения Комисията е изложила методиката за изчисляване на стойността на неправ</w:t>
      </w:r>
      <w:r>
        <w:rPr>
          <w:rFonts w:ascii="Times New Roman" w:hAnsi="Times New Roman"/>
          <w:noProof/>
          <w:sz w:val="20"/>
          <w:lang w:val="bg-BG" w:eastAsia="bg-BG" w:bidi="bg-BG"/>
        </w:rPr>
        <w:t xml:space="preserve">омерното конкурентно предимство, от което са се възползвали </w:t>
      </w:r>
      <w:r>
        <w:rPr>
          <w:rFonts w:ascii="Times New Roman" w:hAnsi="Times New Roman"/>
          <w:noProof/>
          <w:sz w:val="20"/>
          <w:szCs w:val="20"/>
          <w:lang w:val="bg-BG"/>
        </w:rPr>
        <w:t>Fiat</w:t>
      </w:r>
      <w:r>
        <w:rPr>
          <w:rFonts w:ascii="Times New Roman" w:hAnsi="Times New Roman"/>
          <w:noProof/>
          <w:sz w:val="20"/>
          <w:lang w:val="bg-BG" w:eastAsia="bg-BG" w:bidi="bg-BG"/>
        </w:rPr>
        <w:t xml:space="preserve"> и </w:t>
      </w:r>
      <w:r>
        <w:rPr>
          <w:rFonts w:ascii="Times New Roman" w:hAnsi="Times New Roman"/>
          <w:noProof/>
          <w:sz w:val="20"/>
          <w:szCs w:val="20"/>
          <w:lang w:val="bg-BG"/>
        </w:rPr>
        <w:t>Starbucks</w:t>
      </w:r>
      <w:r>
        <w:rPr>
          <w:rFonts w:ascii="Times New Roman" w:hAnsi="Times New Roman"/>
          <w:noProof/>
          <w:sz w:val="20"/>
          <w:lang w:val="bg-BG" w:eastAsia="bg-BG" w:bidi="bg-BG"/>
        </w:rPr>
        <w:t>, т.е. разликата между това, което дружеството е платило, и това, което е щяло да плати без данъчното становище. Тази сума възлиза на около 20—30 милиона евро за всяко от двете дру</w:t>
      </w:r>
      <w:r>
        <w:rPr>
          <w:rFonts w:ascii="Times New Roman" w:hAnsi="Times New Roman"/>
          <w:noProof/>
          <w:sz w:val="20"/>
          <w:lang w:val="bg-BG" w:eastAsia="bg-BG" w:bidi="bg-BG"/>
        </w:rPr>
        <w:t>жества, но точният размер на данъка, който следва да бъде възстановен, ще бъде определен от данъчните органи на Люксембург и Нидерландия въз основа на методиката, определена в решенията на Комисията. Освен това дружествата вече няма да се възползват от изг</w:t>
      </w:r>
      <w:r>
        <w:rPr>
          <w:rFonts w:ascii="Times New Roman" w:hAnsi="Times New Roman"/>
          <w:noProof/>
          <w:sz w:val="20"/>
          <w:lang w:val="bg-BG" w:eastAsia="bg-BG" w:bidi="bg-BG"/>
        </w:rPr>
        <w:t>одното данъчното третиране, предоставено по силата на тези данъчни становища.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декември Комисията откри официална процедура по разследване във връзка с данъчното третиране на McDonald's в Люксембург</w:t>
      </w:r>
      <w:r>
        <w:rPr>
          <w:rFonts w:ascii="Times New Roman" w:hAnsi="Times New Roman"/>
          <w:noProof/>
          <w:sz w:val="24"/>
          <w:vertAlign w:val="superscript"/>
          <w:lang w:val="bg-BG" w:eastAsia="bg-BG" w:bidi="bg-BG"/>
        </w:rPr>
        <w:footnoteReference w:id="37"/>
      </w:r>
      <w:r>
        <w:rPr>
          <w:rFonts w:ascii="Times New Roman" w:hAnsi="Times New Roman"/>
          <w:noProof/>
          <w:sz w:val="24"/>
          <w:lang w:val="bg-BG" w:eastAsia="bg-BG" w:bidi="bg-BG"/>
        </w:rPr>
        <w:t>. Предварителното становище на Комисията е, че при из</w:t>
      </w:r>
      <w:r>
        <w:rPr>
          <w:rFonts w:ascii="Times New Roman" w:hAnsi="Times New Roman"/>
          <w:noProof/>
          <w:sz w:val="24"/>
          <w:lang w:val="bg-BG" w:eastAsia="bg-BG" w:bidi="bg-BG"/>
        </w:rPr>
        <w:t>даването на данъчното становище органите на Люксембург избирателно са се отклонили от разпоредбите на своето данъчно законодателство и спогодбата между Люксембург и САЩ за избягване на двойното данъчно облагане, като по този начин са предоставили на McDona</w:t>
      </w:r>
      <w:r>
        <w:rPr>
          <w:rFonts w:ascii="Times New Roman" w:hAnsi="Times New Roman"/>
          <w:noProof/>
          <w:sz w:val="24"/>
          <w:lang w:val="bg-BG" w:eastAsia="bg-BG" w:bidi="bg-BG"/>
        </w:rPr>
        <w:t>ld's предимство, което други предприятия в сходно фактическо и правно положение не са получили.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Комисията също така изрази опасения, че данъчните становища могат да доведат до проблеми, свързани с държавна </w:t>
      </w:r>
      <w:r>
        <w:rPr>
          <w:rFonts w:ascii="Times New Roman" w:hAnsi="Times New Roman"/>
          <w:noProof/>
          <w:sz w:val="24"/>
          <w:szCs w:val="24"/>
          <w:lang w:val="bg-BG" w:eastAsia="bg-BG" w:bidi="bg-BG"/>
        </w:rPr>
        <w:t>помощ, по отношение на Apple в Ирландия</w:t>
      </w:r>
      <w:r>
        <w:rPr>
          <w:rFonts w:ascii="Times New Roman" w:hAnsi="Times New Roman"/>
          <w:noProof/>
          <w:sz w:val="24"/>
          <w:szCs w:val="24"/>
          <w:vertAlign w:val="superscript"/>
          <w:lang w:val="bg-BG" w:eastAsia="bg-BG" w:bidi="bg-BG"/>
        </w:rPr>
        <w:footnoteReference w:id="38"/>
      </w:r>
      <w:r>
        <w:rPr>
          <w:rFonts w:ascii="Times New Roman" w:hAnsi="Times New Roman"/>
          <w:noProof/>
          <w:sz w:val="24"/>
          <w:szCs w:val="24"/>
          <w:lang w:val="bg-BG" w:eastAsia="bg-BG" w:bidi="bg-BG"/>
        </w:rPr>
        <w:t xml:space="preserve"> и Amazon </w:t>
      </w:r>
      <w:r>
        <w:rPr>
          <w:rFonts w:ascii="Times New Roman" w:hAnsi="Times New Roman"/>
          <w:noProof/>
          <w:sz w:val="24"/>
          <w:szCs w:val="24"/>
          <w:lang w:val="bg-BG" w:eastAsia="bg-BG" w:bidi="bg-BG"/>
        </w:rPr>
        <w:t>в Люксембург</w:t>
      </w:r>
      <w:r>
        <w:rPr>
          <w:rFonts w:ascii="Times New Roman" w:hAnsi="Times New Roman"/>
          <w:noProof/>
          <w:sz w:val="24"/>
          <w:szCs w:val="24"/>
          <w:vertAlign w:val="superscript"/>
          <w:lang w:val="bg-BG" w:eastAsia="bg-BG" w:bidi="bg-BG"/>
        </w:rPr>
        <w:footnoteReference w:id="39"/>
      </w:r>
      <w:r>
        <w:rPr>
          <w:rFonts w:ascii="Times New Roman" w:hAnsi="Times New Roman"/>
          <w:noProof/>
          <w:sz w:val="24"/>
          <w:szCs w:val="24"/>
          <w:lang w:val="bg-BG" w:eastAsia="bg-BG" w:bidi="bg-BG"/>
        </w:rPr>
        <w:t xml:space="preserve">. През февруари 2015 г. започна допълнително задълбочено разследване на </w:t>
      </w:r>
      <w:r>
        <w:rPr>
          <w:rFonts w:ascii="Times New Roman" w:hAnsi="Times New Roman"/>
          <w:noProof/>
          <w:sz w:val="24"/>
          <w:szCs w:val="24"/>
          <w:lang w:val="bg-BG"/>
        </w:rPr>
        <w:t>белгийския данъчен режим, уреждащ „свръхпечалбата“</w:t>
      </w:r>
      <w:r>
        <w:rPr>
          <w:rFonts w:ascii="Times New Roman" w:hAnsi="Times New Roman"/>
          <w:noProof/>
          <w:sz w:val="24"/>
          <w:vertAlign w:val="superscript"/>
          <w:lang w:val="bg-BG" w:eastAsia="bg-BG" w:bidi="bg-BG"/>
        </w:rPr>
        <w:footnoteReference w:id="40"/>
      </w:r>
      <w:r>
        <w:rPr>
          <w:rFonts w:ascii="Times New Roman" w:hAnsi="Times New Roman"/>
          <w:noProof/>
          <w:sz w:val="24"/>
          <w:lang w:val="bg-BG" w:eastAsia="bg-BG" w:bidi="bg-BG"/>
        </w:rPr>
        <w:t xml:space="preserve">. На 11 януари 2016 г. Комисията издаде отрицателно решение с възстановяване, в което заключава, че избирателните </w:t>
      </w:r>
      <w:r>
        <w:rPr>
          <w:rFonts w:ascii="Times New Roman" w:hAnsi="Times New Roman"/>
          <w:noProof/>
          <w:sz w:val="24"/>
          <w:szCs w:val="24"/>
          <w:lang w:val="bg-BG" w:eastAsia="bg-BG" w:bidi="bg-BG"/>
        </w:rPr>
        <w:t xml:space="preserve">данъчни предимства, предоставени от Белгия по линия на нейния </w:t>
      </w:r>
      <w:r>
        <w:rPr>
          <w:rFonts w:ascii="Times New Roman" w:hAnsi="Times New Roman"/>
          <w:noProof/>
          <w:sz w:val="24"/>
          <w:szCs w:val="24"/>
          <w:lang w:val="bg-BG"/>
        </w:rPr>
        <w:t>данъчен режим, уреждащ „свръхпечалбата“</w:t>
      </w:r>
      <w:r>
        <w:rPr>
          <w:rFonts w:ascii="Times New Roman" w:hAnsi="Times New Roman"/>
          <w:noProof/>
          <w:sz w:val="24"/>
          <w:szCs w:val="24"/>
          <w:lang w:val="bg-BG" w:eastAsia="bg-BG" w:bidi="bg-BG"/>
        </w:rPr>
        <w:t>, са неправомерни съгласно правилата на ЕС за държавната помощ, и разпорежда тяхното възстановяване</w:t>
      </w:r>
      <w:r>
        <w:rPr>
          <w:rFonts w:ascii="Times New Roman" w:hAnsi="Times New Roman"/>
          <w:noProof/>
          <w:sz w:val="24"/>
          <w:vertAlign w:val="superscript"/>
          <w:lang w:val="bg-BG" w:eastAsia="bg-BG" w:bidi="bg-BG"/>
        </w:rPr>
        <w:footnoteReference w:id="41"/>
      </w:r>
      <w:r>
        <w:rPr>
          <w:rFonts w:ascii="Times New Roman" w:hAnsi="Times New Roman"/>
          <w:noProof/>
          <w:sz w:val="24"/>
          <w:lang w:val="bg-BG" w:eastAsia="bg-BG" w:bidi="bg-BG"/>
        </w:rPr>
        <w:t xml:space="preserve">. В същото време Комисията продължава разследването си </w:t>
      </w:r>
      <w:r>
        <w:rPr>
          <w:rFonts w:ascii="Times New Roman" w:hAnsi="Times New Roman"/>
          <w:noProof/>
          <w:sz w:val="24"/>
          <w:lang w:val="bg-BG" w:eastAsia="bg-BG" w:bidi="bg-BG"/>
        </w:rPr>
        <w:t>на практиките на данъчни становища във всички държави — членки на ЕС</w:t>
      </w:r>
      <w:r>
        <w:rPr>
          <w:rFonts w:ascii="Times New Roman" w:hAnsi="Times New Roman"/>
          <w:noProof/>
          <w:sz w:val="24"/>
          <w:vertAlign w:val="superscript"/>
          <w:lang w:val="bg-BG" w:eastAsia="bg-BG" w:bidi="bg-BG"/>
        </w:rPr>
        <w:footnoteReference w:id="42"/>
      </w:r>
      <w:r>
        <w:rPr>
          <w:rFonts w:ascii="Times New Roman" w:hAnsi="Times New Roman"/>
          <w:noProof/>
          <w:sz w:val="24"/>
          <w:lang w:val="bg-BG" w:eastAsia="bg-BG" w:bidi="bg-BG"/>
        </w:rPr>
        <w:t xml:space="preserve">. </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Създаване на условия за по-ефективно правоприлагане за националните органи за защита на конкуренцията в ЕС</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Друг съществен аспект за създаването на истински условия на равнопоставеност </w:t>
      </w:r>
      <w:r>
        <w:rPr>
          <w:rFonts w:ascii="Times New Roman" w:hAnsi="Times New Roman"/>
          <w:noProof/>
          <w:sz w:val="24"/>
          <w:lang w:val="bg-BG" w:eastAsia="bg-BG" w:bidi="bg-BG"/>
        </w:rPr>
        <w:t>за дружествата в рамките на единния пазар е да се гарантира, че предприятията могат да разчитат на последователното прилагане на правилата за конкуренция на ЕС, независимо от държавата членка, в която осъществяват дейност. В това отношение от решаващо знач</w:t>
      </w:r>
      <w:r>
        <w:rPr>
          <w:rFonts w:ascii="Times New Roman" w:hAnsi="Times New Roman"/>
          <w:noProof/>
          <w:sz w:val="24"/>
          <w:lang w:val="bg-BG" w:eastAsia="bg-BG" w:bidi="bg-BG"/>
        </w:rPr>
        <w:t>ение е ролята на националните органи за защита на конкуренцията. С влизането в сила на Регламент (ЕО) № 1/2003</w:t>
      </w:r>
      <w:r>
        <w:rPr>
          <w:rFonts w:ascii="Times New Roman" w:hAnsi="Times New Roman"/>
          <w:noProof/>
          <w:sz w:val="24"/>
          <w:vertAlign w:val="superscript"/>
          <w:lang w:val="bg-BG" w:eastAsia="bg-BG" w:bidi="bg-BG"/>
        </w:rPr>
        <w:footnoteReference w:id="43"/>
      </w:r>
      <w:r>
        <w:rPr>
          <w:rFonts w:ascii="Times New Roman" w:hAnsi="Times New Roman"/>
          <w:noProof/>
          <w:sz w:val="24"/>
          <w:lang w:val="bg-BG" w:eastAsia="bg-BG" w:bidi="bg-BG"/>
        </w:rPr>
        <w:t xml:space="preserve"> през 2004 г. правоприлагането в областта на конкуренцията беше променено, като наред с Комисията на националните органи за защита на конкуренция</w:t>
      </w:r>
      <w:r>
        <w:rPr>
          <w:rFonts w:ascii="Times New Roman" w:hAnsi="Times New Roman"/>
          <w:noProof/>
          <w:sz w:val="24"/>
          <w:lang w:val="bg-BG" w:eastAsia="bg-BG" w:bidi="bg-BG"/>
        </w:rPr>
        <w:t>та и на националните съдилища бе поверена ключова роля в изпълнението на антитръстовите правила на ЕС. Правилата за конкуренция на ЕС в момента се прилагат в мащаб, който Комисията никога не би могла да постигне самостоятелно, и по по-задълбочен и ефективе</w:t>
      </w:r>
      <w:r>
        <w:rPr>
          <w:rFonts w:ascii="Times New Roman" w:hAnsi="Times New Roman"/>
          <w:noProof/>
          <w:sz w:val="24"/>
          <w:lang w:val="bg-BG" w:eastAsia="bg-BG" w:bidi="bg-BG"/>
        </w:rPr>
        <w:t>н начин, който при други обстоятелства не би бил възможен.</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В Съобщението на Комисията </w:t>
      </w:r>
      <w:r>
        <w:rPr>
          <w:rFonts w:ascii="Times New Roman" w:hAnsi="Times New Roman"/>
          <w:noProof/>
          <w:sz w:val="24"/>
          <w:szCs w:val="24"/>
          <w:lang w:val="bg-BG"/>
        </w:rPr>
        <w:t>„Десет години прилагане на антитръстовото законодателство съгласно Регламент № 1/2003: постижения и перспективи“</w:t>
      </w:r>
      <w:r>
        <w:rPr>
          <w:rFonts w:ascii="Times New Roman" w:hAnsi="Times New Roman"/>
          <w:noProof/>
          <w:sz w:val="24"/>
          <w:vertAlign w:val="superscript"/>
          <w:lang w:val="bg-BG" w:eastAsia="bg-BG" w:bidi="bg-BG"/>
        </w:rPr>
        <w:footnoteReference w:id="44"/>
      </w:r>
      <w:r>
        <w:rPr>
          <w:rFonts w:ascii="Times New Roman" w:hAnsi="Times New Roman"/>
          <w:noProof/>
          <w:sz w:val="24"/>
          <w:lang w:val="bg-BG" w:eastAsia="bg-BG" w:bidi="bg-BG"/>
        </w:rPr>
        <w:t xml:space="preserve"> от 2014 г. са определени редица конкретни области на дей</w:t>
      </w:r>
      <w:r>
        <w:rPr>
          <w:rFonts w:ascii="Times New Roman" w:hAnsi="Times New Roman"/>
          <w:noProof/>
          <w:sz w:val="24"/>
          <w:lang w:val="bg-BG" w:eastAsia="bg-BG" w:bidi="bg-BG"/>
        </w:rPr>
        <w:t>ствие за засилване на правомощията за правоприлагане на националните органи за защита на конкуренцията и за подобряване на хармонизирането между националните системи. Понастоящем Комисията обмисля въпроса дали наличният инструментариум за националните орга</w:t>
      </w:r>
      <w:r>
        <w:rPr>
          <w:rFonts w:ascii="Times New Roman" w:hAnsi="Times New Roman"/>
          <w:noProof/>
          <w:sz w:val="24"/>
          <w:lang w:val="bg-BG" w:eastAsia="bg-BG" w:bidi="bg-BG"/>
        </w:rPr>
        <w:t>ни за защита на конкуренцията може да бъде допълнително подобрен. През месец ноември 2015 г. Комисията започна специална обществена консултация, като покани широката общественост и заинтересованите страни да споделят своя опит и да предоставят обратна инфо</w:t>
      </w:r>
      <w:r>
        <w:rPr>
          <w:rFonts w:ascii="Times New Roman" w:hAnsi="Times New Roman"/>
          <w:noProof/>
          <w:sz w:val="24"/>
          <w:lang w:val="bg-BG" w:eastAsia="bg-BG" w:bidi="bg-BG"/>
        </w:rPr>
        <w:t>рмация относно потенциални законодателни действия на ЕС за по-нататъшно засилване на инструментите за правоприлагане и налагане на санкции на националните органи за защита на конкуренцията.</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Укрепване на правата на потребителите в ЕС чрез разбиване на карте</w:t>
      </w:r>
      <w:r>
        <w:rPr>
          <w:rFonts w:ascii="Times New Roman" w:hAnsi="Times New Roman"/>
          <w:i/>
          <w:noProof/>
          <w:sz w:val="24"/>
          <w:lang w:val="bg-BG" w:eastAsia="bg-BG" w:bidi="bg-BG"/>
        </w:rPr>
        <w:t>лите</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Поддържането на справедлив, прозрачен и отворен единен пазар е от полза за предприятията в ЕС и икономиките на държавите членки, но на първо място то е важно за европейските граждани. Ясен пример за това е работата на Комисията по прилагане на антикар</w:t>
      </w:r>
      <w:r>
        <w:rPr>
          <w:rFonts w:ascii="Times New Roman" w:hAnsi="Times New Roman"/>
          <w:noProof/>
          <w:sz w:val="24"/>
          <w:lang w:val="bg-BG" w:eastAsia="bg-BG" w:bidi="bg-BG"/>
        </w:rPr>
        <w:t>телното законодателство. В един добре функциониращ единен пазар дружествата са насърчавани да бъдат по-ефективни и изобретателни от своите конкуренти и от това в крайна сметка се облагодетелстват потребителите в ЕС чрез по-добри продукти и по-ниски цени. К</w:t>
      </w:r>
      <w:r>
        <w:rPr>
          <w:rFonts w:ascii="Times New Roman" w:hAnsi="Times New Roman"/>
          <w:noProof/>
          <w:sz w:val="24"/>
          <w:lang w:val="bg-BG" w:eastAsia="bg-BG" w:bidi="bg-BG"/>
        </w:rPr>
        <w:t>артелите вредят на потребителите и на икономиката като цяло, когато цените се определят от дружествата, вместо от пазара.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юни Комисията наложи глоби на обща стойност над 115 милиона евро на осем производители и двама дистрибутори на опаковъчни тарелки</w:t>
      </w:r>
      <w:r>
        <w:rPr>
          <w:rFonts w:ascii="Times New Roman" w:hAnsi="Times New Roman"/>
          <w:noProof/>
          <w:sz w:val="24"/>
          <w:lang w:val="bg-BG" w:eastAsia="bg-BG" w:bidi="bg-BG"/>
        </w:rPr>
        <w:t xml:space="preserve"> за продажба на хранителни продукти на дребно заради участието им в най-малко един от пет отделни картела</w:t>
      </w:r>
      <w:r>
        <w:rPr>
          <w:rFonts w:ascii="Times New Roman" w:hAnsi="Times New Roman"/>
          <w:noProof/>
          <w:sz w:val="24"/>
          <w:vertAlign w:val="superscript"/>
          <w:lang w:val="bg-BG" w:eastAsia="bg-BG" w:bidi="bg-BG"/>
        </w:rPr>
        <w:footnoteReference w:id="45"/>
      </w:r>
      <w:r>
        <w:rPr>
          <w:rFonts w:ascii="Times New Roman" w:hAnsi="Times New Roman"/>
          <w:noProof/>
          <w:sz w:val="24"/>
          <w:lang w:val="bg-BG" w:eastAsia="bg-BG" w:bidi="bg-BG"/>
        </w:rPr>
        <w:t>. Осемте производители са Huhtamäki от Финландия, Nespak и Vitembal от Франция, Silver Plastics от Германия, Coopbox, Magic Pack и Sirap-Gema от Итали</w:t>
      </w:r>
      <w:r>
        <w:rPr>
          <w:rFonts w:ascii="Times New Roman" w:hAnsi="Times New Roman"/>
          <w:noProof/>
          <w:sz w:val="24"/>
          <w:lang w:val="bg-BG" w:eastAsia="bg-BG" w:bidi="bg-BG"/>
        </w:rPr>
        <w:t>я и Linpac от Обединеното кралство. Двата дистрибутори са Ovarpack от Португалия и Propack от Обединеното кралство.</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 xml:space="preserve">Вместо да се конкурират въз основа на </w:t>
      </w:r>
      <w:r>
        <w:rPr>
          <w:rFonts w:ascii="Times New Roman" w:hAnsi="Times New Roman"/>
          <w:noProof/>
          <w:sz w:val="24"/>
          <w:szCs w:val="24"/>
          <w:lang w:val="bg-BG" w:eastAsia="bg-BG" w:bidi="bg-BG"/>
        </w:rPr>
        <w:t xml:space="preserve">своите качества, дружествата са определяли цените и са си разпределяли клиентите на </w:t>
      </w:r>
      <w:r>
        <w:rPr>
          <w:rFonts w:ascii="Times New Roman" w:hAnsi="Times New Roman"/>
          <w:noProof/>
          <w:sz w:val="24"/>
          <w:szCs w:val="24"/>
          <w:lang w:val="bg-BG"/>
        </w:rPr>
        <w:t>тарелките от полис</w:t>
      </w:r>
      <w:r>
        <w:rPr>
          <w:rFonts w:ascii="Times New Roman" w:hAnsi="Times New Roman"/>
          <w:noProof/>
          <w:sz w:val="24"/>
          <w:szCs w:val="24"/>
          <w:lang w:val="bg-BG"/>
        </w:rPr>
        <w:t>тиренова пяна</w:t>
      </w:r>
      <w:r>
        <w:rPr>
          <w:rFonts w:ascii="Times New Roman" w:hAnsi="Times New Roman"/>
          <w:noProof/>
          <w:sz w:val="24"/>
          <w:szCs w:val="24"/>
          <w:lang w:val="bg-BG" w:eastAsia="bg-BG" w:bidi="bg-BG"/>
        </w:rPr>
        <w:t xml:space="preserve"> и </w:t>
      </w:r>
      <w:r>
        <w:rPr>
          <w:rFonts w:ascii="Times New Roman" w:hAnsi="Times New Roman"/>
          <w:noProof/>
          <w:sz w:val="24"/>
          <w:szCs w:val="24"/>
          <w:lang w:val="bg-BG"/>
        </w:rPr>
        <w:t>тарелките от полипропиленова пластмаса</w:t>
      </w:r>
      <w:r>
        <w:rPr>
          <w:rFonts w:ascii="Times New Roman" w:hAnsi="Times New Roman"/>
          <w:noProof/>
          <w:sz w:val="24"/>
          <w:szCs w:val="24"/>
          <w:lang w:val="bg-BG" w:eastAsia="bg-BG" w:bidi="bg-BG"/>
        </w:rPr>
        <w:t xml:space="preserve"> в нарушение на антитръстовите правила на ЕС, като са засегнали милиони потребители, купуващи хранителни продукти. </w:t>
      </w:r>
      <w:r>
        <w:rPr>
          <w:rFonts w:ascii="Times New Roman" w:hAnsi="Times New Roman"/>
          <w:noProof/>
          <w:sz w:val="24"/>
          <w:szCs w:val="24"/>
          <w:lang w:val="bg-BG"/>
        </w:rPr>
        <w:t>Тарелките от полистиренова пяна</w:t>
      </w:r>
      <w:r>
        <w:rPr>
          <w:rFonts w:ascii="Times New Roman" w:hAnsi="Times New Roman"/>
          <w:noProof/>
          <w:sz w:val="24"/>
          <w:szCs w:val="24"/>
          <w:lang w:val="bg-BG" w:eastAsia="bg-BG" w:bidi="bg-BG"/>
        </w:rPr>
        <w:t xml:space="preserve"> и </w:t>
      </w:r>
      <w:r>
        <w:rPr>
          <w:rFonts w:ascii="Times New Roman" w:hAnsi="Times New Roman"/>
          <w:noProof/>
          <w:sz w:val="24"/>
          <w:szCs w:val="24"/>
          <w:lang w:val="bg-BG"/>
        </w:rPr>
        <w:t>тарелките от полипропиленова пластмаса</w:t>
      </w:r>
      <w:r>
        <w:rPr>
          <w:rFonts w:ascii="Times New Roman" w:hAnsi="Times New Roman"/>
          <w:noProof/>
          <w:sz w:val="24"/>
          <w:szCs w:val="24"/>
          <w:lang w:val="bg-BG" w:eastAsia="bg-BG" w:bidi="bg-BG"/>
        </w:rPr>
        <w:t xml:space="preserve"> се използват з</w:t>
      </w:r>
      <w:r>
        <w:rPr>
          <w:rFonts w:ascii="Times New Roman" w:hAnsi="Times New Roman"/>
          <w:noProof/>
          <w:sz w:val="24"/>
          <w:szCs w:val="24"/>
          <w:lang w:val="bg-BG" w:eastAsia="bg-BG" w:bidi="bg-BG"/>
        </w:rPr>
        <w:t>а опаковане на хранителни продукти като сирене, месо, риба или сладкиши</w:t>
      </w:r>
      <w:r>
        <w:rPr>
          <w:rFonts w:ascii="Times New Roman" w:hAnsi="Times New Roman"/>
          <w:noProof/>
          <w:sz w:val="24"/>
          <w:lang w:val="bg-BG" w:eastAsia="bg-BG" w:bidi="bg-BG"/>
        </w:rPr>
        <w:t>, продавани в магазините или супермаркетите.</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също така наложи глоби на обща стойност 116 милиона евро на осем доставчици на оптични дискови устройства за това, че са координир</w:t>
      </w:r>
      <w:r>
        <w:rPr>
          <w:rFonts w:ascii="Times New Roman" w:hAnsi="Times New Roman"/>
          <w:noProof/>
          <w:sz w:val="24"/>
          <w:lang w:val="bg-BG" w:eastAsia="bg-BG" w:bidi="bg-BG"/>
        </w:rPr>
        <w:t xml:space="preserve">али поведението си във връзка с търговете за обществени поръчки, организирани от две дружества производители на компютри </w:t>
      </w:r>
      <w:r>
        <w:rPr>
          <w:rFonts w:ascii="Times New Roman" w:hAnsi="Times New Roman"/>
          <w:i/>
          <w:noProof/>
          <w:sz w:val="24"/>
          <w:lang w:val="bg-BG" w:eastAsia="bg-BG" w:bidi="bg-BG"/>
        </w:rPr>
        <w:t>—</w:t>
      </w:r>
      <w:r>
        <w:rPr>
          <w:rFonts w:ascii="Times New Roman" w:hAnsi="Times New Roman"/>
          <w:noProof/>
          <w:sz w:val="24"/>
          <w:lang w:val="bg-BG" w:eastAsia="bg-BG" w:bidi="bg-BG"/>
        </w:rPr>
        <w:t xml:space="preserve"> Dell и Hewlett Packard</w:t>
      </w:r>
      <w:r>
        <w:rPr>
          <w:rFonts w:ascii="Times New Roman" w:hAnsi="Times New Roman"/>
          <w:noProof/>
          <w:sz w:val="24"/>
          <w:vertAlign w:val="superscript"/>
          <w:lang w:val="bg-BG" w:eastAsia="bg-BG" w:bidi="bg-BG"/>
        </w:rPr>
        <w:footnoteReference w:id="46"/>
      </w:r>
      <w:r>
        <w:rPr>
          <w:rFonts w:ascii="Times New Roman" w:hAnsi="Times New Roman"/>
          <w:noProof/>
          <w:sz w:val="24"/>
          <w:lang w:val="bg-BG" w:eastAsia="bg-BG" w:bidi="bg-BG"/>
        </w:rPr>
        <w:t>. Доставчиците, на които беше наложена глоба, са Philips, Lite-On, тяхното съвместно предприятие Philips &amp; Lit</w:t>
      </w:r>
      <w:r>
        <w:rPr>
          <w:rFonts w:ascii="Times New Roman" w:hAnsi="Times New Roman"/>
          <w:noProof/>
          <w:sz w:val="24"/>
          <w:lang w:val="bg-BG" w:eastAsia="bg-BG" w:bidi="bg-BG"/>
        </w:rPr>
        <w:t>e-On Digital Solutions, Hitachi</w:t>
      </w:r>
      <w:r>
        <w:rPr>
          <w:rFonts w:ascii="Times New Roman" w:hAnsi="Times New Roman"/>
          <w:noProof/>
          <w:lang w:val="bg-BG" w:eastAsia="bg-BG" w:bidi="bg-BG"/>
        </w:rPr>
        <w:noBreakHyphen/>
      </w:r>
      <w:r>
        <w:rPr>
          <w:rFonts w:ascii="Times New Roman" w:hAnsi="Times New Roman"/>
          <w:noProof/>
          <w:sz w:val="24"/>
          <w:lang w:val="bg-BG" w:eastAsia="bg-BG" w:bidi="bg-BG"/>
        </w:rPr>
        <w:t xml:space="preserve">LG Data Storage, Toshiba Samsung Storage Technology, Sony, Sony Optiarc и Quanta Storage. Въпреки че картелните споразумения са били сключени извън територията на Европейското икономическо пространство (ЕИП), те са се </w:t>
      </w:r>
      <w:r>
        <w:rPr>
          <w:rFonts w:ascii="Times New Roman" w:hAnsi="Times New Roman"/>
          <w:noProof/>
          <w:sz w:val="24"/>
          <w:lang w:val="bg-BG" w:eastAsia="bg-BG" w:bidi="bg-BG"/>
        </w:rPr>
        <w:t>прилагали в целия свят, включително на територията на ЕИП.</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Оптичните дискови устройства се използват например в персонални компютри, CD и DVD плейъри и конзоли за видео игри за четене и запис на данни, съхранявани на оптични дискове като CD, DVD или Blu-ra</w:t>
      </w:r>
      <w:r>
        <w:rPr>
          <w:rFonts w:ascii="Times New Roman" w:hAnsi="Times New Roman"/>
          <w:noProof/>
          <w:sz w:val="24"/>
          <w:lang w:val="bg-BG" w:eastAsia="bg-BG" w:bidi="bg-BG"/>
        </w:rPr>
        <w:t xml:space="preserve">y дискове. Картелът се отнася за оптични дискови устройства за настолни и преносими компютри. Вземането на мерки за запазване на конкуренцията на тези видове пазари е особено важно, за да се гарантират справедливи цени за днешните потребители и новаторски </w:t>
      </w:r>
      <w:r>
        <w:rPr>
          <w:rFonts w:ascii="Times New Roman" w:hAnsi="Times New Roman"/>
          <w:noProof/>
          <w:sz w:val="24"/>
          <w:lang w:val="bg-BG" w:eastAsia="bg-BG" w:bidi="bg-BG"/>
        </w:rPr>
        <w:t>продукти за потребителите на бъдещето.</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Разбиването на картели наподобява отмяната на скрит данък, който милиони нищо неподозиращи потребители в Европа са били принудени да плащат. Нещо повече, картелите премахват стимулите за иновации на предприятията, кат</w:t>
      </w:r>
      <w:r>
        <w:rPr>
          <w:rFonts w:ascii="Times New Roman" w:hAnsi="Times New Roman"/>
          <w:noProof/>
          <w:sz w:val="24"/>
          <w:lang w:val="bg-BG" w:eastAsia="bg-BG" w:bidi="bg-BG"/>
        </w:rPr>
        <w:t>о силно затрудняват динамиката и бъдещия растеж на ЕС.</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Подобряване на функционирането на пазарите на финансови услуги — новости в политиката в областта на конкуренцията в секторите на финансовите и платежните услуги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прие решение в областта на кар</w:t>
      </w:r>
      <w:r>
        <w:rPr>
          <w:rFonts w:ascii="Times New Roman" w:hAnsi="Times New Roman"/>
          <w:noProof/>
          <w:sz w:val="24"/>
          <w:lang w:val="bg-BG" w:eastAsia="bg-BG" w:bidi="bg-BG"/>
        </w:rPr>
        <w:t>телите също и във финансовия сектор, една от приоритетните области на Комисията за постигане на по-справедлив и по-интегриран единен пазар. През февруари Комисията наложи глоба в размер на около 15 милиона евро на ICAP — брокер, установен в Обединеното кра</w:t>
      </w:r>
      <w:r>
        <w:rPr>
          <w:rFonts w:ascii="Times New Roman" w:hAnsi="Times New Roman"/>
          <w:noProof/>
          <w:sz w:val="24"/>
          <w:lang w:val="bg-BG" w:eastAsia="bg-BG" w:bidi="bg-BG"/>
        </w:rPr>
        <w:t>лство, за нарушаване на антитръстовите правила на ЕС чрез улесняване на няколко картела в сектора на лихвените деривати в йени (YIRD)</w:t>
      </w:r>
      <w:r>
        <w:rPr>
          <w:rFonts w:ascii="Times New Roman" w:hAnsi="Times New Roman"/>
          <w:noProof/>
          <w:sz w:val="24"/>
          <w:vertAlign w:val="superscript"/>
          <w:lang w:val="bg-BG" w:eastAsia="bg-BG" w:bidi="bg-BG"/>
        </w:rPr>
        <w:footnoteReference w:id="47"/>
      </w:r>
      <w:r>
        <w:rPr>
          <w:rFonts w:ascii="Times New Roman" w:hAnsi="Times New Roman"/>
          <w:noProof/>
          <w:sz w:val="24"/>
          <w:lang w:val="bg-BG" w:eastAsia="bg-BG" w:bidi="bg-BG"/>
        </w:rPr>
        <w:t xml:space="preserve">. В тази връзка през декември 2013 г. бяха наложени глоби на няколко от големите банки в следствие на приемането на </w:t>
      </w:r>
      <w:r>
        <w:rPr>
          <w:rFonts w:ascii="Times New Roman" w:hAnsi="Times New Roman"/>
          <w:noProof/>
          <w:sz w:val="24"/>
          <w:szCs w:val="24"/>
          <w:lang w:val="bg-BG"/>
        </w:rPr>
        <w:t>решени</w:t>
      </w:r>
      <w:r>
        <w:rPr>
          <w:rFonts w:ascii="Times New Roman" w:hAnsi="Times New Roman"/>
          <w:noProof/>
          <w:sz w:val="24"/>
          <w:szCs w:val="24"/>
          <w:lang w:val="bg-BG"/>
        </w:rPr>
        <w:t>е за „постигане на споразумение“</w:t>
      </w:r>
      <w:r>
        <w:rPr>
          <w:rFonts w:ascii="Times New Roman" w:hAnsi="Times New Roman"/>
          <w:noProof/>
          <w:sz w:val="24"/>
          <w:szCs w:val="24"/>
          <w:lang w:val="bg-BG" w:eastAsia="bg-BG" w:bidi="bg-BG"/>
        </w:rPr>
        <w:t>.</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Разследването по делото за лихвените деривати в йени е само един пример за усилията на Комисията за борба с антиконкурентните практики на финансовите пазари. Секторът на платежните услуги предлага друг съответен пример. Пр</w:t>
      </w:r>
      <w:r>
        <w:rPr>
          <w:rFonts w:ascii="Times New Roman" w:hAnsi="Times New Roman"/>
          <w:noProof/>
          <w:sz w:val="24"/>
          <w:lang w:val="bg-BG" w:eastAsia="bg-BG" w:bidi="bg-BG"/>
        </w:rPr>
        <w:t>ез месец юли 2015 г. Комисията изпрати на MasterCard изложение на възраженията във връзка с предполагаемо завишаване на разходите за плащания с карта, което е в ущърб на потребителите и търговците на дребно в ЕС</w:t>
      </w:r>
      <w:r>
        <w:rPr>
          <w:rFonts w:ascii="Times New Roman" w:hAnsi="Times New Roman"/>
          <w:noProof/>
          <w:sz w:val="24"/>
          <w:vertAlign w:val="superscript"/>
          <w:lang w:val="bg-BG" w:eastAsia="bg-BG" w:bidi="bg-BG"/>
        </w:rPr>
        <w:footnoteReference w:id="48"/>
      </w:r>
      <w:r>
        <w:rPr>
          <w:rFonts w:ascii="Times New Roman" w:hAnsi="Times New Roman"/>
          <w:noProof/>
          <w:sz w:val="24"/>
          <w:lang w:val="bg-BG" w:eastAsia="bg-BG" w:bidi="bg-BG"/>
        </w:rPr>
        <w:t>. Плащанията с карта имат ключова роля за ед</w:t>
      </w:r>
      <w:r>
        <w:rPr>
          <w:rFonts w:ascii="Times New Roman" w:hAnsi="Times New Roman"/>
          <w:noProof/>
          <w:sz w:val="24"/>
          <w:lang w:val="bg-BG" w:eastAsia="bg-BG" w:bidi="bg-BG"/>
        </w:rPr>
        <w:t>инния пазар, както във връзка с местните, така и с трансграничните покупки, включително по интернет. Годишно над 40 % от безпаричните плащания на европейските потребители и предприятия се извършват с карта.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В изложението на възраженията е очертано предвари</w:t>
      </w:r>
      <w:r>
        <w:rPr>
          <w:rFonts w:ascii="Times New Roman" w:hAnsi="Times New Roman"/>
          <w:noProof/>
          <w:sz w:val="24"/>
          <w:lang w:val="bg-BG" w:eastAsia="bg-BG" w:bidi="bg-BG"/>
        </w:rPr>
        <w:t>телното становище на Комисията, че правилата на MasterCard не позволяват на банките да предлагат по-ниски обменни такси на търговците на дребно, установени в друга държава — членка на Европейското икономическо пространство (ЕИП), в която обменните такси мо</w:t>
      </w:r>
      <w:r>
        <w:rPr>
          <w:rFonts w:ascii="Times New Roman" w:hAnsi="Times New Roman"/>
          <w:noProof/>
          <w:sz w:val="24"/>
          <w:lang w:val="bg-BG" w:eastAsia="bg-BG" w:bidi="bg-BG"/>
        </w:rPr>
        <w:t>гат да бъдат по-високи. В резултат на това търговците на дребно не могат да се възползват от по-ниски такси другаде и трансграничната конкуренция между банките може да бъде ограничена, което представлява нарушение на европейските антитръстови правила. В из</w:t>
      </w:r>
      <w:r>
        <w:rPr>
          <w:rFonts w:ascii="Times New Roman" w:hAnsi="Times New Roman"/>
          <w:noProof/>
          <w:sz w:val="24"/>
          <w:lang w:val="bg-BG" w:eastAsia="bg-BG" w:bidi="bg-BG"/>
        </w:rPr>
        <w:t xml:space="preserve">ложението на възраженията се твърди също така, че обменните такси на MasterCard за трансакции в ЕС, извършвани с карти на MasterCard, издадени в други региони на света, нарушават европейските антитръстови правила, като създават изкуствено висока минимална </w:t>
      </w:r>
      <w:r>
        <w:rPr>
          <w:rFonts w:ascii="Times New Roman" w:hAnsi="Times New Roman"/>
          <w:noProof/>
          <w:sz w:val="24"/>
          <w:lang w:val="bg-BG" w:eastAsia="bg-BG" w:bidi="bg-BG"/>
        </w:rPr>
        <w:t>цена за обработването на тези трансакции.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Един от двата въпроса в рамките на това разследване засяга междурегионалните трансакции, които не са обхванати от Регламента относно обменните такси</w:t>
      </w:r>
      <w:r>
        <w:rPr>
          <w:rFonts w:ascii="Times New Roman" w:hAnsi="Times New Roman"/>
          <w:noProof/>
          <w:sz w:val="24"/>
          <w:vertAlign w:val="superscript"/>
          <w:lang w:val="bg-BG" w:eastAsia="bg-BG" w:bidi="bg-BG"/>
        </w:rPr>
        <w:footnoteReference w:id="49"/>
      </w:r>
      <w:r>
        <w:rPr>
          <w:rFonts w:ascii="Times New Roman" w:hAnsi="Times New Roman"/>
          <w:noProof/>
          <w:sz w:val="24"/>
          <w:lang w:val="bg-BG" w:eastAsia="bg-BG" w:bidi="bg-BG"/>
        </w:rPr>
        <w:t>, приет през април 2015 г. Въз основа на почти десет години антит</w:t>
      </w:r>
      <w:r>
        <w:rPr>
          <w:rFonts w:ascii="Times New Roman" w:hAnsi="Times New Roman"/>
          <w:noProof/>
          <w:sz w:val="24"/>
          <w:lang w:val="bg-BG" w:eastAsia="bg-BG" w:bidi="bg-BG"/>
        </w:rPr>
        <w:t>ръстова съдебна практика в сектора на разплащателните услуги в Регламента се определят тавани на обменните такси за карти, издадени и използвани в ЕС, с което се облагодетелстват потребителите и предприятията и се насърчават растежът и иновациите. Тъй като</w:t>
      </w:r>
      <w:r>
        <w:rPr>
          <w:rFonts w:ascii="Times New Roman" w:hAnsi="Times New Roman"/>
          <w:noProof/>
          <w:sz w:val="24"/>
          <w:lang w:val="bg-BG" w:eastAsia="bg-BG" w:bidi="bg-BG"/>
        </w:rPr>
        <w:t xml:space="preserve"> картите са най-широко използваният метод за плащания онлайн, Регламентът представлява също така важен градивен елемент за завършване на цифровия единен пазар.</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Правилата за държавна помощ в банковия сектор — в подкрепа на икономическото възстановяване и св</w:t>
      </w:r>
      <w:r>
        <w:rPr>
          <w:rFonts w:ascii="Times New Roman" w:hAnsi="Times New Roman"/>
          <w:i/>
          <w:noProof/>
          <w:sz w:val="24"/>
          <w:lang w:val="bg-BG" w:eastAsia="bg-BG" w:bidi="bg-BG"/>
        </w:rPr>
        <w:t>еждането до минимум на нарушаването на конкуренцията</w:t>
      </w:r>
    </w:p>
    <w:p w:rsidR="00BA319C" w:rsidRDefault="008D6BD5">
      <w:pPr>
        <w:spacing w:before="100" w:beforeAutospacing="1" w:after="100" w:afterAutospacing="1" w:line="240" w:lineRule="auto"/>
        <w:jc w:val="both"/>
        <w:rPr>
          <w:rFonts w:ascii="Times New Roman" w:eastAsia="Times New Roman" w:hAnsi="Times New Roman"/>
          <w:iCs/>
          <w:noProof/>
          <w:sz w:val="24"/>
          <w:szCs w:val="24"/>
          <w:lang w:val="bg-BG" w:eastAsia="bg-BG" w:bidi="bg-BG"/>
        </w:rPr>
      </w:pPr>
      <w:r>
        <w:rPr>
          <w:rFonts w:ascii="Times New Roman" w:eastAsia="Times New Roman" w:hAnsi="Times New Roman"/>
          <w:noProof/>
          <w:sz w:val="24"/>
          <w:szCs w:val="24"/>
          <w:lang w:val="bg-BG" w:eastAsia="bg-BG" w:bidi="bg-BG"/>
        </w:rPr>
        <w:t>В банковия сектор контролът върху държавната помощ продължава да ограничава нарушаването на конкуренцията и да гарантира условия на равнопоставеност, като в същото време намалява използването на парите н</w:t>
      </w:r>
      <w:r>
        <w:rPr>
          <w:rFonts w:ascii="Times New Roman" w:eastAsia="Times New Roman" w:hAnsi="Times New Roman"/>
          <w:noProof/>
          <w:sz w:val="24"/>
          <w:szCs w:val="24"/>
          <w:lang w:val="bg-BG" w:eastAsia="bg-BG" w:bidi="bg-BG"/>
        </w:rPr>
        <w:t>а данъкоплатците до необходимия минимум. В допълнение, през януари 2015 г. влезе в сила Директивата за възстановяване и преструктуриране на кредитни институции (ДВПКИ)</w:t>
      </w:r>
      <w:r>
        <w:rPr>
          <w:rFonts w:ascii="Times New Roman" w:eastAsia="Times New Roman" w:hAnsi="Times New Roman"/>
          <w:noProof/>
          <w:sz w:val="24"/>
          <w:szCs w:val="24"/>
          <w:vertAlign w:val="superscript"/>
          <w:lang w:val="bg-BG" w:eastAsia="bg-BG" w:bidi="bg-BG"/>
        </w:rPr>
        <w:footnoteReference w:id="50"/>
      </w:r>
      <w:r>
        <w:rPr>
          <w:rFonts w:ascii="Times New Roman" w:eastAsia="Times New Roman" w:hAnsi="Times New Roman"/>
          <w:noProof/>
          <w:sz w:val="24"/>
          <w:szCs w:val="24"/>
          <w:lang w:val="bg-BG" w:eastAsia="bg-BG" w:bidi="bg-BG"/>
        </w:rPr>
        <w:t xml:space="preserve">, в която са определени правилата за възстановяване на банки и големи инвестиционни </w:t>
      </w:r>
      <w:r>
        <w:rPr>
          <w:rFonts w:ascii="Times New Roman" w:eastAsia="Times New Roman" w:hAnsi="Times New Roman"/>
          <w:noProof/>
          <w:sz w:val="24"/>
          <w:szCs w:val="24"/>
          <w:lang w:val="bg-BG" w:eastAsia="bg-BG" w:bidi="bg-BG"/>
        </w:rPr>
        <w:t>дружества във всички държави членки. Държавна помощ за банка в затруднение, за която уведомление до Комисията е подадено след 1 януари 2015 г., може да се предоставя само ако по отношение на банката е започнала процедура за преструктуриране, в съответствие</w:t>
      </w:r>
      <w:r>
        <w:rPr>
          <w:rFonts w:ascii="Times New Roman" w:eastAsia="Times New Roman" w:hAnsi="Times New Roman"/>
          <w:noProof/>
          <w:sz w:val="24"/>
          <w:szCs w:val="24"/>
          <w:lang w:val="bg-BG" w:eastAsia="bg-BG" w:bidi="bg-BG"/>
        </w:rPr>
        <w:t xml:space="preserve"> с разпоредбите на ДВПКИ, в допълнение към правилата на ЕС за държавна помощ.</w:t>
      </w:r>
    </w:p>
    <w:p w:rsidR="00BA319C" w:rsidRDefault="008D6BD5">
      <w:pPr>
        <w:spacing w:before="100" w:beforeAutospacing="1" w:after="100" w:afterAutospacing="1" w:line="240" w:lineRule="auto"/>
        <w:jc w:val="both"/>
        <w:rPr>
          <w:rFonts w:ascii="Times New Roman" w:hAnsi="Times New Roman"/>
          <w:noProof/>
          <w:sz w:val="24"/>
          <w:szCs w:val="24"/>
          <w:lang w:val="bg-BG" w:eastAsia="bg-BG" w:bidi="bg-BG"/>
        </w:rPr>
      </w:pPr>
      <w:r>
        <w:rPr>
          <w:rFonts w:ascii="Times New Roman" w:eastAsia="Times New Roman" w:hAnsi="Times New Roman"/>
          <w:noProof/>
          <w:sz w:val="24"/>
          <w:szCs w:val="24"/>
          <w:lang w:val="bg-BG" w:eastAsia="bg-BG" w:bidi="bg-BG"/>
        </w:rPr>
        <w:t>През ноември Комисията заключи, че плановете за преструктуриране на Banca delle Marche,</w:t>
      </w:r>
      <w:r>
        <w:rPr>
          <w:rFonts w:ascii="Times New Roman" w:eastAsia="Times New Roman" w:hAnsi="Times New Roman"/>
          <w:noProof/>
          <w:sz w:val="24"/>
          <w:szCs w:val="24"/>
          <w:vertAlign w:val="superscript"/>
          <w:lang w:val="bg-BG" w:eastAsia="bg-BG" w:bidi="bg-BG"/>
        </w:rPr>
        <w:t xml:space="preserve"> </w:t>
      </w:r>
      <w:r>
        <w:rPr>
          <w:rFonts w:ascii="Times New Roman" w:eastAsia="Times New Roman" w:hAnsi="Times New Roman"/>
          <w:noProof/>
          <w:sz w:val="24"/>
          <w:szCs w:val="24"/>
          <w:lang w:val="bg-BG" w:eastAsia="bg-BG" w:bidi="bg-BG"/>
        </w:rPr>
        <w:t>Banca Popolare dell’Etruria e del Lazio,</w:t>
      </w:r>
      <w:r>
        <w:rPr>
          <w:rFonts w:ascii="Times New Roman" w:eastAsia="Times New Roman" w:hAnsi="Times New Roman"/>
          <w:noProof/>
          <w:sz w:val="24"/>
          <w:szCs w:val="24"/>
          <w:vertAlign w:val="superscript"/>
          <w:lang w:val="bg-BG" w:eastAsia="bg-BG" w:bidi="bg-BG"/>
        </w:rPr>
        <w:t xml:space="preserve"> </w:t>
      </w:r>
      <w:r>
        <w:rPr>
          <w:rFonts w:ascii="Times New Roman" w:eastAsia="Times New Roman" w:hAnsi="Times New Roman"/>
          <w:noProof/>
          <w:sz w:val="24"/>
          <w:szCs w:val="24"/>
          <w:lang w:val="bg-BG" w:eastAsia="bg-BG" w:bidi="bg-BG"/>
        </w:rPr>
        <w:t>Cassa di Risparmio di Ferrara и Cassa di Risparmi</w:t>
      </w:r>
      <w:r>
        <w:rPr>
          <w:rFonts w:ascii="Times New Roman" w:eastAsia="Times New Roman" w:hAnsi="Times New Roman"/>
          <w:noProof/>
          <w:sz w:val="24"/>
          <w:szCs w:val="24"/>
          <w:lang w:val="bg-BG" w:eastAsia="bg-BG" w:bidi="bg-BG"/>
        </w:rPr>
        <w:t>o della Provincia di Chieti (с комбиниран пазарен дял в Италия около 1 %) са в съответствие с правилата на ЕС за държавна помощ</w:t>
      </w:r>
      <w:r>
        <w:rPr>
          <w:rFonts w:ascii="Times New Roman" w:eastAsia="Times New Roman" w:hAnsi="Times New Roman"/>
          <w:noProof/>
          <w:sz w:val="24"/>
          <w:szCs w:val="24"/>
          <w:vertAlign w:val="superscript"/>
          <w:lang w:val="bg-BG" w:eastAsia="bg-BG" w:bidi="bg-BG"/>
        </w:rPr>
        <w:footnoteReference w:id="51"/>
      </w:r>
      <w:r>
        <w:rPr>
          <w:rFonts w:ascii="Times New Roman" w:eastAsia="Times New Roman" w:hAnsi="Times New Roman"/>
          <w:noProof/>
          <w:sz w:val="24"/>
          <w:szCs w:val="24"/>
          <w:lang w:val="bg-BG" w:eastAsia="bg-BG" w:bidi="bg-BG"/>
        </w:rPr>
        <w:t>. По отношение на всички четири банки, които вече са били поставени под специално управление, бе предприета процедура на престру</w:t>
      </w:r>
      <w:r>
        <w:rPr>
          <w:rFonts w:ascii="Times New Roman" w:eastAsia="Times New Roman" w:hAnsi="Times New Roman"/>
          <w:noProof/>
          <w:sz w:val="24"/>
          <w:szCs w:val="24"/>
          <w:lang w:val="bg-BG" w:eastAsia="bg-BG" w:bidi="bg-BG"/>
        </w:rPr>
        <w:t>ктуриране от централната банка на Италия в съответствие с ДВПКИ. Комисията установи, че плановете на Италия да използва националния фонд за преструктуриране свеждат до минимум използването на публични средства и евентуалното нарушаване на конкуренцията в р</w:t>
      </w:r>
      <w:r>
        <w:rPr>
          <w:rFonts w:ascii="Times New Roman" w:eastAsia="Times New Roman" w:hAnsi="Times New Roman"/>
          <w:noProof/>
          <w:sz w:val="24"/>
          <w:szCs w:val="24"/>
          <w:lang w:val="bg-BG" w:eastAsia="bg-BG" w:bidi="bg-BG"/>
        </w:rPr>
        <w:t>езултат на мерките, като същевременно се запазва финансовата стабилност.</w:t>
      </w:r>
    </w:p>
    <w:p w:rsidR="00BA319C" w:rsidRDefault="008D6BD5">
      <w:pPr>
        <w:spacing w:before="100" w:beforeAutospacing="1" w:after="100" w:afterAutospacing="1" w:line="240" w:lineRule="auto"/>
        <w:jc w:val="both"/>
        <w:rPr>
          <w:rFonts w:ascii="Times New Roman" w:hAnsi="Times New Roman"/>
          <w:noProof/>
          <w:sz w:val="24"/>
          <w:szCs w:val="24"/>
          <w:lang w:val="bg-BG" w:eastAsia="bg-BG" w:bidi="bg-BG"/>
        </w:rPr>
      </w:pPr>
      <w:r>
        <w:rPr>
          <w:rFonts w:ascii="Times New Roman" w:eastAsia="Times New Roman" w:hAnsi="Times New Roman"/>
          <w:noProof/>
          <w:sz w:val="24"/>
          <w:szCs w:val="24"/>
          <w:lang w:val="bg-BG" w:eastAsia="bg-BG" w:bidi="bg-BG"/>
        </w:rPr>
        <w:t xml:space="preserve">Освен това правилата за държавна помощ играят ключова роля за подпомагане на усилията на четирите най-големи гръцки банки за справяне с недостига на капитал, установен от Европейския </w:t>
      </w:r>
      <w:r>
        <w:rPr>
          <w:rFonts w:ascii="Times New Roman" w:eastAsia="Times New Roman" w:hAnsi="Times New Roman"/>
          <w:noProof/>
          <w:sz w:val="24"/>
          <w:szCs w:val="24"/>
          <w:lang w:val="bg-BG" w:eastAsia="bg-BG" w:bidi="bg-BG"/>
        </w:rPr>
        <w:t>орган за банков надзор</w:t>
      </w:r>
      <w:r>
        <w:rPr>
          <w:rFonts w:ascii="Times New Roman" w:eastAsia="Times New Roman" w:hAnsi="Times New Roman"/>
          <w:noProof/>
          <w:sz w:val="24"/>
          <w:szCs w:val="24"/>
          <w:vertAlign w:val="superscript"/>
          <w:lang w:val="bg-BG" w:eastAsia="bg-BG" w:bidi="bg-BG"/>
        </w:rPr>
        <w:footnoteReference w:id="52"/>
      </w:r>
      <w:r>
        <w:rPr>
          <w:rFonts w:ascii="Times New Roman" w:eastAsia="Times New Roman" w:hAnsi="Times New Roman"/>
          <w:noProof/>
          <w:sz w:val="24"/>
          <w:szCs w:val="24"/>
          <w:lang w:val="bg-BG" w:eastAsia="bg-BG" w:bidi="bg-BG"/>
        </w:rPr>
        <w:t>. Между ноември и декември Комисията одобри мерки за държавна помощ за рекапитализация на Piraeus Bank</w:t>
      </w:r>
      <w:r>
        <w:rPr>
          <w:rFonts w:ascii="Times New Roman" w:eastAsia="Times New Roman" w:hAnsi="Times New Roman"/>
          <w:noProof/>
          <w:sz w:val="24"/>
          <w:szCs w:val="24"/>
          <w:vertAlign w:val="superscript"/>
          <w:lang w:val="bg-BG" w:eastAsia="bg-BG" w:bidi="bg-BG"/>
        </w:rPr>
        <w:footnoteReference w:id="53"/>
      </w:r>
      <w:r>
        <w:rPr>
          <w:rFonts w:ascii="Times New Roman" w:eastAsia="Times New Roman" w:hAnsi="Times New Roman"/>
          <w:noProof/>
          <w:sz w:val="24"/>
          <w:szCs w:val="24"/>
          <w:lang w:val="bg-BG" w:eastAsia="bg-BG" w:bidi="bg-BG"/>
        </w:rPr>
        <w:t xml:space="preserve"> и на Националната банка на Гърция</w:t>
      </w:r>
      <w:r>
        <w:rPr>
          <w:rFonts w:ascii="Times New Roman" w:eastAsia="Times New Roman" w:hAnsi="Times New Roman"/>
          <w:noProof/>
          <w:sz w:val="24"/>
          <w:szCs w:val="24"/>
          <w:vertAlign w:val="superscript"/>
          <w:lang w:val="bg-BG" w:eastAsia="bg-BG" w:bidi="bg-BG"/>
        </w:rPr>
        <w:footnoteReference w:id="54"/>
      </w:r>
      <w:r>
        <w:rPr>
          <w:rFonts w:ascii="Times New Roman" w:eastAsia="Times New Roman" w:hAnsi="Times New Roman"/>
          <w:noProof/>
          <w:sz w:val="24"/>
          <w:szCs w:val="24"/>
          <w:lang w:val="bg-BG" w:eastAsia="bg-BG" w:bidi="bg-BG"/>
        </w:rPr>
        <w:t xml:space="preserve"> </w:t>
      </w:r>
      <w:r>
        <w:rPr>
          <w:rFonts w:ascii="Times New Roman" w:eastAsia="Times New Roman" w:hAnsi="Times New Roman"/>
          <w:iCs/>
          <w:noProof/>
          <w:sz w:val="24"/>
          <w:szCs w:val="24"/>
          <w:lang w:val="bg-BG" w:eastAsia="bg-BG" w:bidi="bg-BG"/>
        </w:rPr>
        <w:t xml:space="preserve">Банките представиха планове за преструктуриране, насочени към осигуряване на дългосрочната им </w:t>
      </w:r>
      <w:r>
        <w:rPr>
          <w:rFonts w:ascii="Times New Roman" w:eastAsia="Times New Roman" w:hAnsi="Times New Roman"/>
          <w:iCs/>
          <w:noProof/>
          <w:sz w:val="24"/>
          <w:szCs w:val="24"/>
          <w:lang w:val="bg-BG" w:eastAsia="bg-BG" w:bidi="bg-BG"/>
        </w:rPr>
        <w:t>жизнеспособност, които ще им позволят отново да се съсредоточат върху кредитиране на гръцките предприятия и подпомагане на възстановяването на гръцката икономика.</w:t>
      </w:r>
    </w:p>
    <w:p w:rsidR="00BA319C" w:rsidRDefault="008D6BD5">
      <w:pPr>
        <w:spacing w:before="100" w:beforeAutospacing="1" w:after="100" w:afterAutospacing="1" w:line="240" w:lineRule="auto"/>
        <w:jc w:val="both"/>
        <w:rPr>
          <w:rFonts w:ascii="Times New Roman" w:eastAsia="Times New Roman" w:hAnsi="Times New Roman"/>
          <w:noProof/>
          <w:sz w:val="24"/>
          <w:szCs w:val="24"/>
          <w:lang w:val="bg-BG" w:eastAsia="bg-BG" w:bidi="bg-BG"/>
        </w:rPr>
      </w:pPr>
      <w:r>
        <w:rPr>
          <w:rFonts w:ascii="Times New Roman" w:eastAsia="Times New Roman" w:hAnsi="Times New Roman"/>
          <w:noProof/>
          <w:sz w:val="24"/>
          <w:szCs w:val="24"/>
          <w:lang w:val="bg-BG" w:eastAsia="bg-BG" w:bidi="bg-BG"/>
        </w:rPr>
        <w:t xml:space="preserve">Комисията също така гарантира последователното прилагане на правилата за държавна помощ за </w:t>
      </w:r>
      <w:r>
        <w:rPr>
          <w:rFonts w:ascii="Times New Roman" w:eastAsia="Times New Roman" w:hAnsi="Times New Roman"/>
          <w:noProof/>
          <w:sz w:val="24"/>
          <w:szCs w:val="24"/>
          <w:lang w:val="bg-BG" w:eastAsia="bg-BG" w:bidi="bg-BG"/>
        </w:rPr>
        <w:t>банковия сектор в рамките на програмата за икономически реформи в Кипър. По-конкретно, през месец декември 2015 г. Комисията констатира, че вливането на капитал в размер на 175 милиона евро в Cypriot Cooperative Central Bank Ltd и нейните дъщерни дружества</w:t>
      </w:r>
      <w:r>
        <w:rPr>
          <w:rFonts w:ascii="Times New Roman" w:eastAsia="Times New Roman" w:hAnsi="Times New Roman"/>
          <w:noProof/>
          <w:sz w:val="24"/>
          <w:szCs w:val="24"/>
          <w:lang w:val="bg-BG" w:eastAsia="bg-BG" w:bidi="bg-BG"/>
        </w:rPr>
        <w:t xml:space="preserve"> е в съответствие с правилата на ЕС за държавна помощ</w:t>
      </w:r>
      <w:r>
        <w:rPr>
          <w:rFonts w:ascii="Times New Roman" w:eastAsia="Times New Roman" w:hAnsi="Times New Roman"/>
          <w:noProof/>
          <w:sz w:val="24"/>
          <w:szCs w:val="24"/>
          <w:vertAlign w:val="superscript"/>
          <w:lang w:val="bg-BG" w:eastAsia="bg-BG" w:bidi="bg-BG"/>
        </w:rPr>
        <w:footnoteReference w:id="55"/>
      </w:r>
      <w:r>
        <w:rPr>
          <w:rFonts w:ascii="Times New Roman" w:eastAsia="Times New Roman" w:hAnsi="Times New Roman"/>
          <w:noProof/>
          <w:sz w:val="24"/>
          <w:szCs w:val="24"/>
          <w:lang w:val="bg-BG" w:eastAsia="bg-BG" w:bidi="bg-BG"/>
        </w:rPr>
        <w:t>. Комисията стигна до заключението, че мерките за преструктуриране, с чието прилагане се е ангажирала банката, ще сведат до минимум нарушаването на конкуренцията, като същевременно се гарантира, че банк</w:t>
      </w:r>
      <w:r>
        <w:rPr>
          <w:rFonts w:ascii="Times New Roman" w:eastAsia="Times New Roman" w:hAnsi="Times New Roman"/>
          <w:noProof/>
          <w:sz w:val="24"/>
          <w:szCs w:val="24"/>
          <w:lang w:val="bg-BG" w:eastAsia="bg-BG" w:bidi="bg-BG"/>
        </w:rPr>
        <w:t>ата ще възстанови жизнеспособността си в дългосрочен план.</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В периода след приключване на програмата в Португалия</w:t>
      </w:r>
      <w:r>
        <w:rPr>
          <w:rFonts w:ascii="Times New Roman" w:hAnsi="Times New Roman"/>
          <w:noProof/>
          <w:sz w:val="24"/>
          <w:vertAlign w:val="superscript"/>
          <w:lang w:val="bg-BG" w:eastAsia="bg-BG" w:bidi="bg-BG"/>
        </w:rPr>
        <w:footnoteReference w:id="56"/>
      </w:r>
      <w:r>
        <w:rPr>
          <w:rFonts w:ascii="Times New Roman" w:hAnsi="Times New Roman"/>
          <w:noProof/>
          <w:sz w:val="24"/>
          <w:lang w:val="bg-BG" w:eastAsia="bg-BG" w:bidi="bg-BG"/>
        </w:rPr>
        <w:t xml:space="preserve"> Комисията одобри, в съответствие с правилата на ЕС за държавната помощ, удължаване на срока на действие на португалските държавни гаранции по </w:t>
      </w:r>
      <w:r>
        <w:rPr>
          <w:rFonts w:ascii="Times New Roman" w:hAnsi="Times New Roman"/>
          <w:noProof/>
          <w:sz w:val="24"/>
          <w:lang w:val="bg-BG" w:eastAsia="bg-BG" w:bidi="bg-BG"/>
        </w:rPr>
        <w:t>облигации, емитирани от Novo Banco</w:t>
      </w:r>
      <w:r>
        <w:rPr>
          <w:rFonts w:ascii="Times New Roman" w:hAnsi="Times New Roman"/>
          <w:noProof/>
          <w:sz w:val="24"/>
          <w:vertAlign w:val="superscript"/>
          <w:lang w:val="bg-BG" w:eastAsia="bg-BG" w:bidi="bg-BG"/>
        </w:rPr>
        <w:footnoteReference w:id="57"/>
      </w:r>
      <w:r>
        <w:rPr>
          <w:rFonts w:ascii="Times New Roman" w:hAnsi="Times New Roman"/>
          <w:noProof/>
          <w:sz w:val="24"/>
          <w:lang w:val="bg-BG" w:eastAsia="bg-BG" w:bidi="bg-BG"/>
        </w:rPr>
        <w:t>, и мерките за държавна помощ за покриване на недостига на финансиране за преструктурирането на Banif</w:t>
      </w:r>
      <w:r>
        <w:rPr>
          <w:rFonts w:ascii="Times New Roman" w:hAnsi="Times New Roman"/>
          <w:noProof/>
          <w:sz w:val="24"/>
          <w:vertAlign w:val="superscript"/>
          <w:lang w:val="bg-BG" w:eastAsia="bg-BG" w:bidi="bg-BG"/>
        </w:rPr>
        <w:footnoteReference w:id="58"/>
      </w:r>
      <w:r>
        <w:rPr>
          <w:rFonts w:ascii="Times New Roman" w:hAnsi="Times New Roman"/>
          <w:noProof/>
          <w:sz w:val="24"/>
          <w:lang w:val="bg-BG" w:eastAsia="bg-BG" w:bidi="bg-BG"/>
        </w:rPr>
        <w:t>. Предложените мерки за помощ имаха за цел съответно да се гарантира поддържането на достатъчна ликвидност за Novo Banc</w:t>
      </w:r>
      <w:r>
        <w:rPr>
          <w:rFonts w:ascii="Times New Roman" w:hAnsi="Times New Roman"/>
          <w:noProof/>
          <w:sz w:val="24"/>
          <w:lang w:val="bg-BG" w:eastAsia="bg-BG" w:bidi="bg-BG"/>
        </w:rPr>
        <w:t>o и да се позволи на Banif организирано оттегляне от пазара, като по този начин се укрепи финансовата стабилност на португалския банков сектор.</w:t>
      </w:r>
    </w:p>
    <w:p w:rsidR="00BA319C" w:rsidRDefault="008D6BD5">
      <w:pPr>
        <w:numPr>
          <w:ilvl w:val="0"/>
          <w:numId w:val="3"/>
        </w:numPr>
        <w:spacing w:line="240" w:lineRule="auto"/>
        <w:jc w:val="both"/>
        <w:rPr>
          <w:rFonts w:ascii="Times New Roman" w:hAnsi="Times New Roman"/>
          <w:b/>
          <w:noProof/>
          <w:sz w:val="24"/>
          <w:szCs w:val="24"/>
          <w:lang w:val="bg-BG" w:eastAsia="bg-BG" w:bidi="bg-BG"/>
        </w:rPr>
      </w:pPr>
      <w:r>
        <w:rPr>
          <w:rFonts w:ascii="Times New Roman" w:hAnsi="Times New Roman"/>
          <w:b/>
          <w:noProof/>
          <w:sz w:val="24"/>
          <w:lang w:val="bg-BG" w:eastAsia="bg-BG" w:bidi="bg-BG"/>
        </w:rPr>
        <w:t xml:space="preserve">Насърчаване на ползотворно международно сътрудничество и конструктивен диалог между институциите в областта на </w:t>
      </w:r>
      <w:r>
        <w:rPr>
          <w:rFonts w:ascii="Times New Roman" w:hAnsi="Times New Roman"/>
          <w:b/>
          <w:noProof/>
          <w:sz w:val="24"/>
          <w:lang w:val="bg-BG" w:eastAsia="bg-BG" w:bidi="bg-BG"/>
        </w:rPr>
        <w:t>конкуренцията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и по-специално Маргрете Вестегер, комисарят, отговарящ за конкуренцията, е изцяло ангажирана с открития и конструктивен обмен по въпросите на конкуренцията в световен план, както и с други институции на ЕС.</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Засилване на международн</w:t>
      </w:r>
      <w:r>
        <w:rPr>
          <w:rFonts w:ascii="Times New Roman" w:hAnsi="Times New Roman"/>
          <w:i/>
          <w:noProof/>
          <w:sz w:val="24"/>
          <w:lang w:val="bg-BG" w:eastAsia="bg-BG" w:bidi="bg-BG"/>
        </w:rPr>
        <w:t>ото сътрудничество с традиционните и с нови стопански субекти</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Постепенното интегриране на световните икономики има важни последици за работата на правоприлагащите органи в областта на конкуренцията. Глобализацията е свързана преди всичко с взаимозависимост</w:t>
      </w:r>
      <w:r>
        <w:rPr>
          <w:rFonts w:ascii="Times New Roman" w:hAnsi="Times New Roman"/>
          <w:noProof/>
          <w:sz w:val="24"/>
          <w:lang w:val="bg-BG" w:eastAsia="bg-BG" w:bidi="bg-BG"/>
        </w:rPr>
        <w:t>. През последните 25 години броят на режимите в областта на конкуренцията по света се е увеличил драстично от около 20 в началото на деветдесетте години на 20</w:t>
      </w:r>
      <w:r>
        <w:rPr>
          <w:rFonts w:ascii="Times New Roman" w:hAnsi="Times New Roman"/>
          <w:noProof/>
          <w:sz w:val="24"/>
          <w:vertAlign w:val="superscript"/>
          <w:lang w:val="bg-BG" w:eastAsia="bg-BG" w:bidi="bg-BG"/>
        </w:rPr>
        <w:t>-ти</w:t>
      </w:r>
      <w:r>
        <w:rPr>
          <w:rFonts w:ascii="Times New Roman" w:hAnsi="Times New Roman"/>
          <w:noProof/>
          <w:sz w:val="24"/>
          <w:lang w:val="bg-BG" w:eastAsia="bg-BG" w:bidi="bg-BG"/>
        </w:rPr>
        <w:t xml:space="preserve"> век до около 130 през 2015 г., обхващайки 85 % от населението на света. Въпреки че нарастванет</w:t>
      </w:r>
      <w:r>
        <w:rPr>
          <w:rFonts w:ascii="Times New Roman" w:hAnsi="Times New Roman"/>
          <w:noProof/>
          <w:sz w:val="24"/>
          <w:lang w:val="bg-BG" w:eastAsia="bg-BG" w:bidi="bg-BG"/>
        </w:rPr>
        <w:t>о на броя на антитръстовите органи е знак, че културата на конкуренция се развива все повече по целия свят, усилията на Комисията са насочени и към преодоляването на предизвикателствата, които я съпътстват.</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За тази цел Комисията участва активно в междунаро</w:t>
      </w:r>
      <w:r>
        <w:rPr>
          <w:rFonts w:ascii="Times New Roman" w:hAnsi="Times New Roman"/>
          <w:noProof/>
          <w:sz w:val="24"/>
          <w:lang w:val="bg-BG" w:eastAsia="bg-BG" w:bidi="bg-BG"/>
        </w:rPr>
        <w:t>дното двустранно и многостранно сътрудничество по въпросите на конкуренцията на съответни форуми като Комитета по конкуренция на ОИСР, Конференцията на ООН за търговия и развитие (УНКТАД) и Международната мрежа по конкуренцията (ММК).</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Като съпредседател на</w:t>
      </w:r>
      <w:r>
        <w:rPr>
          <w:rFonts w:ascii="Times New Roman" w:hAnsi="Times New Roman"/>
          <w:noProof/>
          <w:sz w:val="24"/>
          <w:lang w:val="bg-BG" w:eastAsia="bg-BG" w:bidi="bg-BG"/>
        </w:rPr>
        <w:t xml:space="preserve"> работната група по сливанията към МКК, Комисията даде своя принос за разработването на Практическото ръководство за международно сътрудничество по въпросите на правоприлагането в областта на сливанията, прието през 2015 г. В практическото ръководство се п</w:t>
      </w:r>
      <w:r>
        <w:rPr>
          <w:rFonts w:ascii="Times New Roman" w:hAnsi="Times New Roman"/>
          <w:noProof/>
          <w:sz w:val="24"/>
          <w:lang w:val="bg-BG" w:eastAsia="bg-BG" w:bidi="bg-BG"/>
        </w:rPr>
        <w:t>редоставят преки и основани на конкретни случаи насоки за членовете на МКК за това как агенциите могат да съгласуват графиците си, да споделят информация и да си сътрудничат, както по същество, така и относно коригиращи мерки за избягване на несъответствия</w:t>
      </w:r>
      <w:r>
        <w:rPr>
          <w:rFonts w:ascii="Times New Roman" w:hAnsi="Times New Roman"/>
          <w:noProof/>
          <w:sz w:val="24"/>
          <w:lang w:val="bg-BG" w:eastAsia="bg-BG" w:bidi="bg-BG"/>
        </w:rPr>
        <w:t>та.</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Успешното сътрудничество при осъществяването на контрол върху сливанията през 2015 г. обхваща също така и двустранните отношения. През октомври Комисията и министерството на търговията на Китайската народна република подписаха практически насоки за сът</w:t>
      </w:r>
      <w:r>
        <w:rPr>
          <w:rFonts w:ascii="Times New Roman" w:hAnsi="Times New Roman"/>
          <w:noProof/>
          <w:sz w:val="24"/>
          <w:lang w:val="bg-BG" w:eastAsia="bg-BG" w:bidi="bg-BG"/>
        </w:rPr>
        <w:t>рудничество при разглеждането на дела на сливания. С практическите насоки ще се даде възможност за по-голяма прозрачност по отношение на сроковете и съдържанието на обсъжданията между Комисията и министерството на търговията на Китайската народна република</w:t>
      </w:r>
      <w:r>
        <w:rPr>
          <w:rFonts w:ascii="Times New Roman" w:hAnsi="Times New Roman"/>
          <w:noProof/>
          <w:sz w:val="24"/>
          <w:lang w:val="bg-BG" w:eastAsia="bg-BG" w:bidi="bg-BG"/>
        </w:rPr>
        <w:t>, което ще доведе до по-ефективно, съгласувано и безконфликтно разглеждане, когато дадено сливане трябва да бъде оценено и от двата органа. Насоките представляват допълнителен елемент на сътрудничеството между ЕС и Китай към дейностите по техническо сътруд</w:t>
      </w:r>
      <w:r>
        <w:rPr>
          <w:rFonts w:ascii="Times New Roman" w:hAnsi="Times New Roman"/>
          <w:noProof/>
          <w:sz w:val="24"/>
          <w:lang w:val="bg-BG" w:eastAsia="bg-BG" w:bidi="bg-BG"/>
        </w:rPr>
        <w:t>ничество, които в момента се разработват като част от специална програма за сътрудничество (EUCTP II</w:t>
      </w:r>
      <w:r>
        <w:rPr>
          <w:rFonts w:ascii="Times New Roman" w:hAnsi="Times New Roman"/>
          <w:noProof/>
          <w:sz w:val="24"/>
          <w:vertAlign w:val="superscript"/>
          <w:lang w:val="bg-BG" w:eastAsia="bg-BG" w:bidi="bg-BG"/>
        </w:rPr>
        <w:footnoteReference w:id="59"/>
      </w:r>
      <w:r>
        <w:rPr>
          <w:rFonts w:ascii="Times New Roman" w:hAnsi="Times New Roman"/>
          <w:noProof/>
          <w:sz w:val="24"/>
          <w:lang w:val="bg-BG" w:eastAsia="bg-BG" w:bidi="bg-BG"/>
        </w:rPr>
        <w:t>).</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продължава своята работа за включване на разпоредби относно конкуренцията и държавната помощ в преговорите по споразуменията за свободна търго</w:t>
      </w:r>
      <w:r>
        <w:rPr>
          <w:rFonts w:ascii="Times New Roman" w:hAnsi="Times New Roman"/>
          <w:noProof/>
          <w:sz w:val="24"/>
          <w:lang w:val="bg-BG" w:eastAsia="bg-BG" w:bidi="bg-BG"/>
        </w:rPr>
        <w:t>вия (ССТ). През 2015 г. беше постигнат значителен напредък по отношение на разпоредбите относно конкуренцията в споразуменията за свободна търговия с Япония и Виетнам. Комисията също така постигна напредък в своите преговори със САЩ за трансатлантическо сп</w:t>
      </w:r>
      <w:r>
        <w:rPr>
          <w:rFonts w:ascii="Times New Roman" w:hAnsi="Times New Roman"/>
          <w:noProof/>
          <w:sz w:val="24"/>
          <w:lang w:val="bg-BG" w:eastAsia="bg-BG" w:bidi="bg-BG"/>
        </w:rPr>
        <w:t xml:space="preserve">оразумение за партньорство в областта на търговията и инвестициите (ТПТИ), което ще включва глава за конкуренцията. </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Структуриран диалог с Европейския парламент</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2015 г. Комисията продължи успешните си работни отношения с Европейския парламент, и по-сп</w:t>
      </w:r>
      <w:r>
        <w:rPr>
          <w:rFonts w:ascii="Times New Roman" w:hAnsi="Times New Roman"/>
          <w:noProof/>
          <w:sz w:val="24"/>
          <w:lang w:val="bg-BG" w:eastAsia="bg-BG" w:bidi="bg-BG"/>
        </w:rPr>
        <w:t>ециално с неговата Комисия по икономически и парични въпроси (ECON).</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Като част от структурирания диалог с Парламента, комисар Вестегер посети ECON през юли и ноември. Тя приветства възможността да присъства на заседание на комисията и се включи в конструкт</w:t>
      </w:r>
      <w:r>
        <w:rPr>
          <w:rFonts w:ascii="Times New Roman" w:hAnsi="Times New Roman"/>
          <w:noProof/>
          <w:sz w:val="24"/>
          <w:lang w:val="bg-BG" w:eastAsia="bg-BG" w:bidi="bg-BG"/>
        </w:rPr>
        <w:t xml:space="preserve">ивен дебат с членовете на Парламента относно политиката в областта на конкуренцията.  </w:t>
      </w:r>
    </w:p>
    <w:p w:rsidR="008D6BD5" w:rsidRDefault="008D6BD5">
      <w:pPr>
        <w:spacing w:line="240" w:lineRule="auto"/>
        <w:jc w:val="both"/>
        <w:rPr>
          <w:rFonts w:ascii="Times New Roman" w:hAnsi="Times New Roman"/>
          <w:noProof/>
          <w:sz w:val="24"/>
          <w:lang w:val="bg-BG" w:eastAsia="bg-BG" w:bidi="bg-BG"/>
        </w:rPr>
      </w:pPr>
      <w:r>
        <w:rPr>
          <w:rFonts w:ascii="Times New Roman" w:hAnsi="Times New Roman"/>
          <w:noProof/>
          <w:sz w:val="24"/>
          <w:lang w:val="bg-BG" w:eastAsia="bg-BG" w:bidi="bg-BG"/>
        </w:rPr>
        <w:t>Комисар Вестегер присъства и на заседание на работната група по конкуренцията на комисията ECON през април, както и на заседания на Специалната комисия относно данъчните</w:t>
      </w:r>
      <w:r>
        <w:rPr>
          <w:rFonts w:ascii="Times New Roman" w:hAnsi="Times New Roman"/>
          <w:noProof/>
          <w:sz w:val="24"/>
          <w:lang w:val="bg-BG" w:eastAsia="bg-BG" w:bidi="bg-BG"/>
        </w:rPr>
        <w:t xml:space="preserve"> постановления и другите мерки, сходни по естество или въздействие (TAXE), през май и септември. През юни тя присъства на заседание на Комисията по земеделие и развитие на селските райони (AGRI), за да обсъди проекта за насоки относно съвместната продажба </w:t>
      </w:r>
      <w:r>
        <w:rPr>
          <w:rFonts w:ascii="Times New Roman" w:hAnsi="Times New Roman"/>
          <w:noProof/>
          <w:sz w:val="24"/>
          <w:lang w:val="bg-BG" w:eastAsia="bg-BG" w:bidi="bg-BG"/>
        </w:rPr>
        <w:t>в сектора на говеждото и телешкото месо, маслиновото масло и полските култури.</w:t>
      </w:r>
    </w:p>
    <w:p w:rsidR="008D6BD5" w:rsidRDefault="008D6BD5" w:rsidP="008D6BD5">
      <w:pPr>
        <w:rPr>
          <w:noProof/>
          <w:lang w:val="bg-BG" w:eastAsia="bg-BG" w:bidi="bg-BG"/>
        </w:rPr>
      </w:pPr>
      <w:r>
        <w:rPr>
          <w:noProof/>
          <w:lang w:val="bg-BG" w:eastAsia="bg-BG" w:bidi="bg-BG"/>
        </w:rPr>
        <w:br w:type="page"/>
      </w:r>
    </w:p>
    <w:p w:rsidR="00BA319C" w:rsidRDefault="00BA319C">
      <w:pPr>
        <w:spacing w:line="240" w:lineRule="auto"/>
        <w:jc w:val="both"/>
        <w:rPr>
          <w:rFonts w:ascii="Times New Roman" w:hAnsi="Times New Roman"/>
          <w:noProof/>
          <w:sz w:val="24"/>
          <w:szCs w:val="24"/>
          <w:lang w:val="bg-BG" w:eastAsia="bg-BG" w:bidi="bg-BG"/>
        </w:rPr>
      </w:pPr>
      <w:bookmarkStart w:id="1" w:name="_GoBack"/>
      <w:bookmarkEnd w:id="1"/>
    </w:p>
    <w:p w:rsidR="00BA319C" w:rsidRDefault="008D6BD5">
      <w:pPr>
        <w:pBdr>
          <w:top w:val="single" w:sz="4" w:space="1" w:color="auto"/>
          <w:left w:val="single" w:sz="4" w:space="4" w:color="auto"/>
          <w:bottom w:val="single" w:sz="4" w:space="1" w:color="auto"/>
          <w:right w:val="single" w:sz="4" w:space="4" w:color="auto"/>
        </w:pBdr>
        <w:jc w:val="both"/>
        <w:rPr>
          <w:rFonts w:ascii="Times New Roman" w:hAnsi="Times New Roman"/>
          <w:b/>
          <w:noProof/>
          <w:sz w:val="20"/>
          <w:szCs w:val="20"/>
          <w:lang w:val="bg-BG" w:eastAsia="bg-BG" w:bidi="bg-BG"/>
        </w:rPr>
      </w:pPr>
      <w:r>
        <w:rPr>
          <w:rFonts w:ascii="Times New Roman" w:hAnsi="Times New Roman"/>
          <w:b/>
          <w:noProof/>
          <w:sz w:val="20"/>
          <w:lang w:val="bg-BG" w:eastAsia="bg-BG" w:bidi="bg-BG"/>
        </w:rPr>
        <w:t>Насърчаване на участието на Парламента в инициативи, свързани с политиката в областта на конкуренцията</w:t>
      </w:r>
    </w:p>
    <w:p w:rsidR="00BA319C" w:rsidRDefault="008D6BD5">
      <w:pPr>
        <w:pBdr>
          <w:top w:val="single" w:sz="4" w:space="1" w:color="auto"/>
          <w:left w:val="single" w:sz="4" w:space="4" w:color="auto"/>
          <w:bottom w:val="single" w:sz="4" w:space="1" w:color="auto"/>
          <w:right w:val="single" w:sz="4" w:space="4" w:color="auto"/>
        </w:pBdr>
        <w:jc w:val="both"/>
        <w:rPr>
          <w:rFonts w:ascii="Times New Roman" w:hAnsi="Times New Roman"/>
          <w:noProof/>
          <w:sz w:val="20"/>
          <w:szCs w:val="20"/>
          <w:lang w:val="bg-BG" w:eastAsia="bg-BG" w:bidi="bg-BG"/>
        </w:rPr>
      </w:pPr>
      <w:r>
        <w:rPr>
          <w:rFonts w:ascii="Times New Roman" w:hAnsi="Times New Roman"/>
          <w:noProof/>
          <w:sz w:val="20"/>
          <w:lang w:val="bg-BG" w:eastAsia="bg-BG" w:bidi="bg-BG"/>
        </w:rPr>
        <w:t xml:space="preserve">След публикуването на своето съобщение „Десет години прилагане на </w:t>
      </w:r>
      <w:r>
        <w:rPr>
          <w:rFonts w:ascii="Times New Roman" w:hAnsi="Times New Roman"/>
          <w:noProof/>
          <w:sz w:val="20"/>
          <w:lang w:val="bg-BG" w:eastAsia="bg-BG" w:bidi="bg-BG"/>
        </w:rPr>
        <w:t>антитръстовото законодателство съгласно Регламент № 1/2003: постижения и перспективи“ Комисията обмисля как да се даде възможност на националните органи за защита на конкуренцията да бъдат по-ефективни при прилагането на антитръстовите правила на ЕС. Комис</w:t>
      </w:r>
      <w:r>
        <w:rPr>
          <w:rFonts w:ascii="Times New Roman" w:hAnsi="Times New Roman"/>
          <w:noProof/>
          <w:sz w:val="20"/>
          <w:lang w:val="bg-BG" w:eastAsia="bg-BG" w:bidi="bg-BG"/>
        </w:rPr>
        <w:t>ията ECON беше информирана относно обществената консултация, която стартира през ноември 2015 г., с цел получаване на обратна връзка от широк кръг заинтересовани страни. Освен това комисар Вестегер пое ангажимента да насърчава пълното участие на Парламента</w:t>
      </w:r>
      <w:r>
        <w:rPr>
          <w:rFonts w:ascii="Times New Roman" w:hAnsi="Times New Roman"/>
          <w:noProof/>
          <w:sz w:val="20"/>
          <w:lang w:val="bg-BG" w:eastAsia="bg-BG" w:bidi="bg-BG"/>
        </w:rPr>
        <w:t xml:space="preserve"> в тази инициатива, доколкото конкретното съдържание на предложението позволява това.</w:t>
      </w:r>
    </w:p>
    <w:p w:rsidR="00BA319C" w:rsidRDefault="008D6BD5">
      <w:pPr>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По-нататъшно подобряване на комуникацията между ГД „Конкуренция“ и Европейския парламент</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През юли 2015 г. се състоя редовният информационен семинар на ГД „Конкуренция“ за</w:t>
      </w:r>
      <w:r>
        <w:rPr>
          <w:rFonts w:ascii="Times New Roman" w:hAnsi="Times New Roman"/>
          <w:noProof/>
          <w:sz w:val="24"/>
          <w:lang w:val="bg-BG" w:eastAsia="bg-BG" w:bidi="bg-BG"/>
        </w:rPr>
        <w:t xml:space="preserve"> асистенти и политически съветници от комисията ECON по основните теми в доклада за политиката в областта на конкуренцията от 2014 г. Също така, ГД „Конкуренция“ осигури основна информация относно политиката и процедурите в областта на държавната помощ за </w:t>
      </w:r>
      <w:r>
        <w:rPr>
          <w:rFonts w:ascii="Times New Roman" w:hAnsi="Times New Roman"/>
          <w:noProof/>
          <w:sz w:val="24"/>
          <w:lang w:val="bg-BG" w:eastAsia="bg-BG" w:bidi="bg-BG"/>
        </w:rPr>
        <w:t xml:space="preserve">членовете на TAXE и за свързания персонал. </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ГД „Конкуренция“ работи съвместно с работната група по конкуренцията по подготовката на работна среща през май 2015 г. по въпросите на международното сътрудничество за правоприлагане в областта на конкуренцията и</w:t>
      </w:r>
      <w:r>
        <w:rPr>
          <w:rFonts w:ascii="Times New Roman" w:hAnsi="Times New Roman"/>
          <w:noProof/>
          <w:sz w:val="24"/>
          <w:lang w:val="bg-BG" w:eastAsia="bg-BG" w:bidi="bg-BG"/>
        </w:rPr>
        <w:t xml:space="preserve"> отношенията между ЕС и САЩ в тази област. Нещо повече, новоназначеният генерален директор на ГД „Конкуренция“ Йоханес Лайтенбергер стана първият генерален директор, присъствал на срещи на работна група на Парламента относно политиката на конкуренция през </w:t>
      </w:r>
      <w:r>
        <w:rPr>
          <w:rFonts w:ascii="Times New Roman" w:hAnsi="Times New Roman"/>
          <w:noProof/>
          <w:sz w:val="24"/>
          <w:lang w:val="bg-BG" w:eastAsia="bg-BG" w:bidi="bg-BG"/>
        </w:rPr>
        <w:t>декември 2015 г.</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ГД „Конкуренция“ беше водещата генерална дирекция по 331 писмени парламентарни въпроса и 7 петиции, изготвени от службите на Комисията.</w:t>
      </w:r>
    </w:p>
    <w:p w:rsidR="00BA319C" w:rsidRDefault="008D6BD5">
      <w:pPr>
        <w:keepNext/>
        <w:spacing w:line="240" w:lineRule="auto"/>
        <w:jc w:val="both"/>
        <w:rPr>
          <w:rFonts w:ascii="Times New Roman" w:hAnsi="Times New Roman"/>
          <w:i/>
          <w:noProof/>
          <w:sz w:val="24"/>
          <w:szCs w:val="24"/>
          <w:lang w:val="bg-BG" w:eastAsia="bg-BG" w:bidi="bg-BG"/>
        </w:rPr>
      </w:pPr>
      <w:r>
        <w:rPr>
          <w:rFonts w:ascii="Times New Roman" w:hAnsi="Times New Roman"/>
          <w:i/>
          <w:noProof/>
          <w:sz w:val="24"/>
          <w:lang w:val="bg-BG" w:eastAsia="bg-BG" w:bidi="bg-BG"/>
        </w:rPr>
        <w:t xml:space="preserve">Ангажименти на ГД „Конкуренция“ към Европейския икономически и социален комитет (ЕИСК) и Комитета на </w:t>
      </w:r>
      <w:r>
        <w:rPr>
          <w:rFonts w:ascii="Times New Roman" w:hAnsi="Times New Roman"/>
          <w:i/>
          <w:noProof/>
          <w:sz w:val="24"/>
          <w:lang w:val="bg-BG" w:eastAsia="bg-BG" w:bidi="bg-BG"/>
        </w:rPr>
        <w:t>регионите (КР)</w:t>
      </w:r>
    </w:p>
    <w:p w:rsidR="00BA319C" w:rsidRDefault="008D6BD5">
      <w:pPr>
        <w:spacing w:line="240" w:lineRule="auto"/>
        <w:jc w:val="both"/>
        <w:rPr>
          <w:rFonts w:ascii="Times New Roman" w:hAnsi="Times New Roman"/>
          <w:noProof/>
          <w:sz w:val="24"/>
          <w:szCs w:val="24"/>
          <w:lang w:val="bg-BG" w:eastAsia="bg-BG" w:bidi="bg-BG"/>
        </w:rPr>
      </w:pPr>
      <w:r>
        <w:rPr>
          <w:rFonts w:ascii="Times New Roman" w:hAnsi="Times New Roman"/>
          <w:noProof/>
          <w:sz w:val="24"/>
          <w:lang w:val="bg-BG" w:eastAsia="bg-BG" w:bidi="bg-BG"/>
        </w:rPr>
        <w:t>Комисията информира ЕИСК и КР относно основните инициативи на политиката и взе участие в проучвателни групи и в заседанията на специализираните секции. Бившият генерален директор на ГД „Конкуренция“ Alexander Italianer съответно присъства на</w:t>
      </w:r>
      <w:r>
        <w:rPr>
          <w:rFonts w:ascii="Times New Roman" w:hAnsi="Times New Roman"/>
          <w:noProof/>
          <w:sz w:val="24"/>
          <w:lang w:val="bg-BG" w:eastAsia="bg-BG" w:bidi="bg-BG"/>
        </w:rPr>
        <w:t xml:space="preserve"> заседанието на специализираната секция на ЕИСК „Единен пазар, производство и потребление“, провело се на 14 юли. На свой ред, ЕИСК, издаде 2 становища: на 16 септември становище, озаглавено „Ефикасна и ефективна ли е държавната помощ за предприятията?“ (с</w:t>
      </w:r>
      <w:r>
        <w:rPr>
          <w:rFonts w:ascii="Times New Roman" w:hAnsi="Times New Roman"/>
          <w:noProof/>
          <w:sz w:val="24"/>
          <w:lang w:val="bg-BG" w:eastAsia="bg-BG" w:bidi="bg-BG"/>
        </w:rPr>
        <w:t>тановище по собствена инициатива) и на 9 декември относно Доклада за политиката на конкуренция за 2014 г. На 14 октомври КР издаде становище относно финансовите инструменти в подкрепа на териториалното развитие.</w:t>
      </w:r>
    </w:p>
    <w:p w:rsidR="00BA319C" w:rsidRDefault="00BA319C">
      <w:pPr>
        <w:pStyle w:val="Typedudocument"/>
        <w:rPr>
          <w:noProof/>
          <w:szCs w:val="24"/>
          <w:lang w:val="bg-BG"/>
        </w:rPr>
      </w:pPr>
    </w:p>
    <w:sectPr w:rsidR="00BA319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9C" w:rsidRDefault="008D6BD5">
      <w:pPr>
        <w:spacing w:after="0" w:line="240" w:lineRule="auto"/>
      </w:pPr>
      <w:r>
        <w:separator/>
      </w:r>
    </w:p>
  </w:endnote>
  <w:endnote w:type="continuationSeparator" w:id="0">
    <w:p w:rsidR="00BA319C" w:rsidRDefault="008D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9C" w:rsidRDefault="008D6BD5">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9C" w:rsidRDefault="00BA31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9C" w:rsidRDefault="008D6BD5">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23</w:t>
    </w:r>
    <w:r>
      <w:rPr>
        <w:rFonts w:ascii="Times New Roman" w:hAnsi="Times New Roman"/>
      </w:rPr>
      <w:fldChar w:fldCharType="end"/>
    </w:r>
  </w:p>
  <w:p w:rsidR="00BA319C" w:rsidRDefault="00BA31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9C" w:rsidRDefault="00BA3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9C" w:rsidRDefault="008D6BD5">
      <w:pPr>
        <w:spacing w:after="0" w:line="240" w:lineRule="auto"/>
      </w:pPr>
      <w:r>
        <w:separator/>
      </w:r>
    </w:p>
  </w:footnote>
  <w:footnote w:type="continuationSeparator" w:id="0">
    <w:p w:rsidR="00BA319C" w:rsidRDefault="008D6BD5">
      <w:pPr>
        <w:spacing w:after="0" w:line="240" w:lineRule="auto"/>
      </w:pPr>
      <w:r>
        <w:continuationSeparator/>
      </w:r>
    </w:p>
  </w:footnote>
  <w:footnote w:id="1">
    <w:p w:rsidR="00BA319C" w:rsidRDefault="008D6BD5">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Вж.</w:t>
      </w:r>
      <w:r>
        <w:rPr>
          <w:rFonts w:ascii="Times New Roman" w:hAnsi="Times New Roman"/>
        </w:rPr>
        <w:t xml:space="preserve"> например брой 5 за 2015 г. на Competition Policy Brief, </w:t>
      </w:r>
      <w:r>
        <w:rPr>
          <w:rFonts w:ascii="Times New Roman" w:hAnsi="Times New Roman"/>
          <w:i/>
        </w:rPr>
        <w:t>Improving competition in the Member States to boost growth</w:t>
      </w:r>
      <w:r>
        <w:rPr>
          <w:rFonts w:ascii="Times New Roman" w:hAnsi="Times New Roman"/>
        </w:rPr>
        <w:t xml:space="preserve"> (</w:t>
      </w:r>
      <w:r>
        <w:rPr>
          <w:rFonts w:ascii="Times New Roman" w:hAnsi="Times New Roman"/>
          <w:i/>
        </w:rPr>
        <w:t>Засилване на конкуренцията в държавите членки с цел насърчаване на растежа</w:t>
      </w:r>
      <w:r>
        <w:rPr>
          <w:rFonts w:ascii="Times New Roman" w:hAnsi="Times New Roman"/>
        </w:rPr>
        <w:t>).</w:t>
      </w:r>
    </w:p>
  </w:footnote>
  <w:footnote w:id="2">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Dierx A., Ilzkovitz, F., Pataracchia, B., Ratto, M., Thum-Thysen, A.,Varga, J., „Distributional macroeconomic effects of EU competition policy – a general equilibrium analysis“ (Макроикономически ефекти на разпределение от политиката на ЕС в областта на к</w:t>
      </w:r>
      <w:r>
        <w:rPr>
          <w:rFonts w:ascii="Times New Roman" w:hAnsi="Times New Roman"/>
        </w:rPr>
        <w:t xml:space="preserve">онкуренцията — анализ въз основа на общото равновесие), </w:t>
      </w:r>
      <w:r>
        <w:rPr>
          <w:rFonts w:ascii="Times New Roman" w:hAnsi="Times New Roman"/>
          <w:i/>
        </w:rPr>
        <w:t>Competition Policy and Shared Prosperity (Политика в областта на конкуренцията и споделено благоденствие)</w:t>
      </w:r>
      <w:r>
        <w:rPr>
          <w:rFonts w:ascii="Times New Roman" w:hAnsi="Times New Roman"/>
        </w:rPr>
        <w:t xml:space="preserve"> (предстои да се публикува), Световна банка.</w:t>
      </w:r>
    </w:p>
  </w:footnote>
  <w:footnote w:id="3">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w:t>
      </w:r>
      <w:r>
        <w:t xml:space="preserve"> </w:t>
      </w:r>
      <w:hyperlink r:id="rId1">
        <w:r>
          <w:rPr>
            <w:rStyle w:val="Hyperlink"/>
            <w:rFonts w:ascii="Times New Roman" w:hAnsi="Times New Roman"/>
          </w:rPr>
          <w:t>http://ec.europa.eu/priorities/jobs-growth-and-investment/investment-plan_bg</w:t>
        </w:r>
      </w:hyperlink>
      <w:r>
        <w:rPr>
          <w:rFonts w:ascii="Times New Roman" w:hAnsi="Times New Roman"/>
        </w:rPr>
        <w:t xml:space="preserve">. </w:t>
      </w:r>
    </w:p>
  </w:footnote>
  <w:footnote w:id="4">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w:t>
      </w:r>
      <w:hyperlink r:id="rId2">
        <w:r>
          <w:rPr>
            <w:rStyle w:val="Hyperlink"/>
            <w:rFonts w:ascii="Times New Roman" w:hAnsi="Times New Roman"/>
          </w:rPr>
          <w:t>http://ec.europa.eu/pri</w:t>
        </w:r>
        <w:r>
          <w:rPr>
            <w:rStyle w:val="Hyperlink"/>
            <w:rFonts w:ascii="Times New Roman" w:hAnsi="Times New Roman"/>
          </w:rPr>
          <w:t>orities/jobs-growth-and-investment/investment-plan_bg</w:t>
        </w:r>
      </w:hyperlink>
      <w:r>
        <w:rPr>
          <w:rFonts w:ascii="Times New Roman" w:hAnsi="Times New Roman"/>
        </w:rPr>
        <w:t xml:space="preserve">. </w:t>
      </w:r>
    </w:p>
  </w:footnote>
  <w:footnote w:id="5">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w:t>
      </w:r>
      <w:hyperlink r:id="rId3">
        <w:r>
          <w:rPr>
            <w:rStyle w:val="Hyperlink"/>
            <w:rFonts w:ascii="Times New Roman" w:hAnsi="Times New Roman"/>
          </w:rPr>
          <w:t>http://ec.europa.eu/competition/state_aid/modernisation/index_en.html</w:t>
        </w:r>
      </w:hyperlink>
      <w:r>
        <w:rPr>
          <w:rFonts w:ascii="Times New Roman" w:hAnsi="Times New Roman"/>
        </w:rPr>
        <w:t xml:space="preserve">. </w:t>
      </w:r>
    </w:p>
  </w:footnote>
  <w:footnote w:id="6">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 651/2014 на Ко</w:t>
      </w:r>
      <w:r>
        <w:rPr>
          <w:rFonts w:ascii="Times New Roman" w:hAnsi="Times New Roman"/>
        </w:rPr>
        <w:t>мисията от 17 юни 2014 г. за обявяване на някои категории помощи за съвместими с вътрешния пазар в приложение на членове 107 и 108 от Договора</w:t>
      </w:r>
      <w:r>
        <w:rPr>
          <w:rFonts w:ascii="Times New Roman" w:hAnsi="Times New Roman"/>
          <w:lang w:val="bg-BG"/>
        </w:rPr>
        <w:t xml:space="preserve"> (</w:t>
      </w:r>
      <w:r>
        <w:rPr>
          <w:rFonts w:ascii="Times New Roman" w:hAnsi="Times New Roman"/>
        </w:rPr>
        <w:t>ОВ L 187, 26.6.2014 г.</w:t>
      </w:r>
      <w:r>
        <w:rPr>
          <w:rFonts w:ascii="Times New Roman" w:hAnsi="Times New Roman"/>
          <w:lang w:val="bg-BG"/>
        </w:rPr>
        <w:t>)</w:t>
      </w:r>
      <w:r>
        <w:rPr>
          <w:rFonts w:ascii="Times New Roman" w:hAnsi="Times New Roman"/>
        </w:rPr>
        <w:t xml:space="preserve">, публикуван на </w:t>
      </w:r>
      <w:hyperlink r:id="rId4">
        <w:r>
          <w:rPr>
            <w:rStyle w:val="Hyperlink"/>
            <w:rFonts w:ascii="Times New Roman" w:hAnsi="Times New Roman"/>
          </w:rPr>
          <w:t>http://eur-lex.europa.eu/legal-content/BG/TXT/HTML/?uri=CELEX:32014R0651&amp;from=BG</w:t>
        </w:r>
      </w:hyperlink>
      <w:r>
        <w:rPr>
          <w:rStyle w:val="Hyperlink"/>
          <w:rFonts w:ascii="Times New Roman" w:hAnsi="Times New Roman"/>
          <w:lang w:val="bg-BG"/>
        </w:rPr>
        <w:t>.</w:t>
      </w:r>
      <w:r>
        <w:rPr>
          <w:rFonts w:ascii="Times New Roman" w:hAnsi="Times New Roman"/>
        </w:rPr>
        <w:t xml:space="preserve"> </w:t>
      </w:r>
    </w:p>
  </w:footnote>
  <w:footnote w:id="7">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rPr>
        <w:t xml:space="preserve"> Съобщение на Комисията </w:t>
      </w:r>
      <w:r>
        <w:rPr>
          <w:rFonts w:ascii="Times New Roman" w:hAnsi="Times New Roman"/>
          <w:i/>
        </w:rPr>
        <w:t>Рамка за държавна помощ за научни изследвания, развитие и иновации</w:t>
      </w:r>
      <w:r>
        <w:rPr>
          <w:rFonts w:ascii="Times New Roman" w:hAnsi="Times New Roman"/>
          <w:lang w:val="bg-BG"/>
        </w:rPr>
        <w:t xml:space="preserve"> (</w:t>
      </w:r>
      <w:r>
        <w:rPr>
          <w:rFonts w:ascii="Times New Roman" w:hAnsi="Times New Roman"/>
        </w:rPr>
        <w:t>ОВ C 198, 27.6.2014 г.</w:t>
      </w:r>
      <w:r>
        <w:rPr>
          <w:rFonts w:ascii="Times New Roman" w:hAnsi="Times New Roman"/>
          <w:lang w:val="bg-BG"/>
        </w:rPr>
        <w:t>)</w:t>
      </w:r>
      <w:r>
        <w:rPr>
          <w:rFonts w:ascii="Times New Roman" w:hAnsi="Times New Roman"/>
        </w:rPr>
        <w:t xml:space="preserve">, публикувано на </w:t>
      </w:r>
      <w:hyperlink r:id="rId5">
        <w:r>
          <w:rPr>
            <w:rStyle w:val="Hyperlink"/>
            <w:rFonts w:ascii="Times New Roman" w:hAnsi="Times New Roman"/>
          </w:rPr>
          <w:t>http://eur-lex.europa.eu/legal-content/BG/TXT/</w:t>
        </w:r>
        <w:r>
          <w:rPr>
            <w:rStyle w:val="Hyperlink"/>
            <w:rFonts w:ascii="Times New Roman" w:hAnsi="Times New Roman"/>
          </w:rPr>
          <w:br/>
          <w:t>HTML/?uri=CELEX:52014XC0627(01)&amp;from=BG</w:t>
        </w:r>
      </w:hyperlink>
      <w:r>
        <w:rPr>
          <w:rStyle w:val="Hyperlink"/>
          <w:rFonts w:ascii="Times New Roman" w:hAnsi="Times New Roman"/>
          <w:lang w:val="bg-BG"/>
        </w:rPr>
        <w:t>.</w:t>
      </w:r>
    </w:p>
  </w:footnote>
  <w:footnote w:id="8">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Съобщение на Комисията</w:t>
      </w:r>
      <w:r>
        <w:rPr>
          <w:lang w:val="bg-BG"/>
        </w:rPr>
        <w:t xml:space="preserve"> </w:t>
      </w:r>
      <w:r>
        <w:rPr>
          <w:rFonts w:ascii="Times New Roman" w:hAnsi="Times New Roman"/>
          <w:i/>
          <w:lang w:val="bg-BG"/>
        </w:rPr>
        <w:t xml:space="preserve">Насоки относно държавните помощи за насърчаване на </w:t>
      </w:r>
      <w:r>
        <w:rPr>
          <w:rFonts w:ascii="Times New Roman" w:hAnsi="Times New Roman"/>
          <w:i/>
          <w:lang w:val="bg-BG"/>
        </w:rPr>
        <w:t>инвестициите в рисково финансиране</w:t>
      </w:r>
      <w:r>
        <w:rPr>
          <w:rFonts w:ascii="Times New Roman" w:hAnsi="Times New Roman"/>
          <w:lang w:val="bg-BG"/>
        </w:rPr>
        <w:t xml:space="preserve"> О(В </w:t>
      </w:r>
      <w:r>
        <w:rPr>
          <w:rFonts w:ascii="Times New Roman" w:hAnsi="Times New Roman"/>
        </w:rPr>
        <w:t>C </w:t>
      </w:r>
      <w:r>
        <w:rPr>
          <w:rFonts w:ascii="Times New Roman" w:hAnsi="Times New Roman"/>
          <w:lang w:val="bg-BG"/>
        </w:rPr>
        <w:t>19, 22.1.2014</w:t>
      </w:r>
      <w:r>
        <w:rPr>
          <w:rFonts w:ascii="Times New Roman" w:hAnsi="Times New Roman"/>
        </w:rPr>
        <w:t> </w:t>
      </w:r>
      <w:r>
        <w:rPr>
          <w:rFonts w:ascii="Times New Roman" w:hAnsi="Times New Roman"/>
          <w:lang w:val="bg-BG"/>
        </w:rPr>
        <w:t xml:space="preserve">г.), публикувано на адрес </w:t>
      </w:r>
      <w:hyperlink r:id="rId6">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w:t>
        </w:r>
        <w:r>
          <w:rPr>
            <w:rStyle w:val="Hyperlink"/>
            <w:rFonts w:ascii="Times New Roman" w:hAnsi="Times New Roman"/>
            <w:lang w:val="bg-BG"/>
          </w:rPr>
          <w:t>-</w:t>
        </w:r>
        <w:r>
          <w:rPr>
            <w:rStyle w:val="Hyperlink"/>
            <w:rFonts w:ascii="Times New Roman" w:hAnsi="Times New Roman"/>
          </w:rPr>
          <w:t>lex</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legal</w:t>
        </w:r>
        <w:r>
          <w:rPr>
            <w:rStyle w:val="Hyperlink"/>
            <w:rFonts w:ascii="Times New Roman" w:hAnsi="Times New Roman"/>
            <w:lang w:val="bg-BG"/>
          </w:rPr>
          <w:t>-</w:t>
        </w:r>
        <w:r>
          <w:rPr>
            <w:rStyle w:val="Hyperlink"/>
            <w:rFonts w:ascii="Times New Roman" w:hAnsi="Times New Roman"/>
          </w:rPr>
          <w:t>content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TXT</w:t>
        </w:r>
        <w:r>
          <w:rPr>
            <w:rStyle w:val="Hyperlink"/>
            <w:rFonts w:ascii="Times New Roman" w:hAnsi="Times New Roman"/>
            <w:lang w:val="bg-BG"/>
          </w:rPr>
          <w:t>/</w:t>
        </w:r>
        <w:r>
          <w:rPr>
            <w:rStyle w:val="Hyperlink"/>
            <w:rFonts w:ascii="Times New Roman" w:hAnsi="Times New Roman"/>
          </w:rPr>
          <w:t>HTML</w:t>
        </w:r>
        <w:r>
          <w:rPr>
            <w:rStyle w:val="Hyperlink"/>
            <w:rFonts w:ascii="Times New Roman" w:hAnsi="Times New Roman"/>
            <w:lang w:val="bg-BG"/>
          </w:rPr>
          <w:t>/?</w:t>
        </w:r>
        <w:r>
          <w:rPr>
            <w:rStyle w:val="Hyperlink"/>
            <w:rFonts w:ascii="Times New Roman" w:hAnsi="Times New Roman"/>
          </w:rPr>
          <w:t>uri</w:t>
        </w:r>
        <w:r>
          <w:rPr>
            <w:rStyle w:val="Hyperlink"/>
            <w:rFonts w:ascii="Times New Roman" w:hAnsi="Times New Roman"/>
            <w:lang w:val="bg-BG"/>
          </w:rPr>
          <w:t>=</w:t>
        </w:r>
        <w:r>
          <w:rPr>
            <w:rStyle w:val="Hyperlink"/>
            <w:rFonts w:ascii="Times New Roman" w:hAnsi="Times New Roman"/>
          </w:rPr>
          <w:t>CELEX</w:t>
        </w:r>
        <w:r>
          <w:rPr>
            <w:rStyle w:val="Hyperlink"/>
            <w:rFonts w:ascii="Times New Roman" w:hAnsi="Times New Roman"/>
            <w:lang w:val="bg-BG"/>
          </w:rPr>
          <w:t>:52014</w:t>
        </w:r>
        <w:r>
          <w:rPr>
            <w:rStyle w:val="Hyperlink"/>
            <w:rFonts w:ascii="Times New Roman" w:hAnsi="Times New Roman"/>
          </w:rPr>
          <w:t>XC</w:t>
        </w:r>
        <w:r>
          <w:rPr>
            <w:rStyle w:val="Hyperlink"/>
            <w:rFonts w:ascii="Times New Roman" w:hAnsi="Times New Roman"/>
            <w:lang w:val="bg-BG"/>
          </w:rPr>
          <w:t>0122(04)&amp;</w:t>
        </w:r>
        <w:r>
          <w:rPr>
            <w:rStyle w:val="Hyperlink"/>
            <w:rFonts w:ascii="Times New Roman" w:hAnsi="Times New Roman"/>
          </w:rPr>
          <w:t>from</w:t>
        </w:r>
        <w:r>
          <w:rPr>
            <w:rStyle w:val="Hyperlink"/>
            <w:rFonts w:ascii="Times New Roman" w:hAnsi="Times New Roman"/>
            <w:lang w:val="bg-BG"/>
          </w:rPr>
          <w:t>=</w:t>
        </w:r>
        <w:r>
          <w:rPr>
            <w:rStyle w:val="Hyperlink"/>
            <w:rFonts w:ascii="Times New Roman" w:hAnsi="Times New Roman"/>
          </w:rPr>
          <w:t>EN</w:t>
        </w:r>
      </w:hyperlink>
      <w:r>
        <w:rPr>
          <w:rStyle w:val="Hyperlink"/>
          <w:rFonts w:ascii="Times New Roman" w:hAnsi="Times New Roman"/>
          <w:lang w:val="bg-BG"/>
        </w:rPr>
        <w:t>.</w:t>
      </w:r>
    </w:p>
  </w:footnote>
  <w:footnote w:id="9">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Съобщение на Комисията</w:t>
      </w:r>
      <w:r>
        <w:rPr>
          <w:rFonts w:ascii="Times New Roman" w:hAnsi="Times New Roman"/>
          <w:i/>
          <w:lang w:val="bg-BG"/>
        </w:rPr>
        <w:t xml:space="preserve"> Насоки на ЕС относно прилагането на правилата за държавна помощ във връзка с бързото разполагане на широколентови мрежи </w:t>
      </w:r>
      <w:r>
        <w:rPr>
          <w:rFonts w:ascii="Times New Roman" w:hAnsi="Times New Roman"/>
          <w:lang w:val="bg-BG"/>
        </w:rPr>
        <w:t>(</w:t>
      </w:r>
      <w:r>
        <w:rPr>
          <w:rFonts w:ascii="Times New Roman" w:hAnsi="Times New Roman"/>
        </w:rPr>
        <w:t>O</w:t>
      </w:r>
      <w:r>
        <w:rPr>
          <w:rFonts w:ascii="Times New Roman" w:hAnsi="Times New Roman"/>
          <w:lang w:val="bg-BG"/>
        </w:rPr>
        <w:t>В</w:t>
      </w:r>
      <w:r>
        <w:rPr>
          <w:rFonts w:ascii="Times New Roman" w:hAnsi="Times New Roman"/>
        </w:rPr>
        <w:t> </w:t>
      </w:r>
      <w:r>
        <w:rPr>
          <w:rFonts w:ascii="Times New Roman" w:hAnsi="Times New Roman"/>
          <w:lang w:val="bg-BG"/>
        </w:rPr>
        <w:t>2013</w:t>
      </w:r>
      <w:r>
        <w:rPr>
          <w:rFonts w:ascii="Times New Roman" w:hAnsi="Times New Roman"/>
        </w:rPr>
        <w:t> C </w:t>
      </w:r>
      <w:r>
        <w:rPr>
          <w:rFonts w:ascii="Times New Roman" w:hAnsi="Times New Roman"/>
          <w:lang w:val="bg-BG"/>
        </w:rPr>
        <w:t>25, 26.1.2013</w:t>
      </w:r>
      <w:r>
        <w:rPr>
          <w:rFonts w:ascii="Times New Roman" w:hAnsi="Times New Roman"/>
        </w:rPr>
        <w:t> </w:t>
      </w:r>
      <w:r>
        <w:rPr>
          <w:rFonts w:ascii="Times New Roman" w:hAnsi="Times New Roman"/>
          <w:lang w:val="bg-BG"/>
        </w:rPr>
        <w:t xml:space="preserve">г.), публикувано на адрес </w:t>
      </w:r>
      <w:hyperlink r:id="rId7">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w:t>
        </w:r>
        <w:r>
          <w:rPr>
            <w:rStyle w:val="Hyperlink"/>
            <w:rFonts w:ascii="Times New Roman" w:hAnsi="Times New Roman"/>
            <w:lang w:val="bg-BG"/>
          </w:rPr>
          <w:t>-</w:t>
        </w:r>
        <w:r>
          <w:rPr>
            <w:rStyle w:val="Hyperlink"/>
            <w:rFonts w:ascii="Times New Roman" w:hAnsi="Times New Roman"/>
          </w:rPr>
          <w:t>lex</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LexUriServ</w:t>
        </w:r>
        <w:r>
          <w:rPr>
            <w:rStyle w:val="Hyperlink"/>
            <w:rFonts w:ascii="Times New Roman" w:hAnsi="Times New Roman"/>
            <w:lang w:val="bg-BG"/>
          </w:rPr>
          <w:t>/</w:t>
        </w:r>
        <w:r>
          <w:rPr>
            <w:rStyle w:val="Hyperlink"/>
            <w:rFonts w:ascii="Times New Roman" w:hAnsi="Times New Roman"/>
          </w:rPr>
          <w:t>LexUriServ</w:t>
        </w:r>
        <w:r>
          <w:rPr>
            <w:rStyle w:val="Hyperlink"/>
            <w:rFonts w:ascii="Times New Roman" w:hAnsi="Times New Roman"/>
            <w:lang w:val="bg-BG"/>
          </w:rPr>
          <w:t>.</w:t>
        </w:r>
        <w:r>
          <w:rPr>
            <w:rStyle w:val="Hyperlink"/>
            <w:rFonts w:ascii="Times New Roman" w:hAnsi="Times New Roman"/>
          </w:rPr>
          <w:t>do</w:t>
        </w:r>
        <w:r>
          <w:rPr>
            <w:rStyle w:val="Hyperlink"/>
            <w:rFonts w:ascii="Times New Roman" w:hAnsi="Times New Roman"/>
            <w:lang w:val="bg-BG"/>
          </w:rPr>
          <w:t>?</w:t>
        </w:r>
        <w:r>
          <w:rPr>
            <w:rStyle w:val="Hyperlink"/>
            <w:rFonts w:ascii="Times New Roman" w:hAnsi="Times New Roman"/>
          </w:rPr>
          <w:t>uri</w:t>
        </w:r>
        <w:r>
          <w:rPr>
            <w:rStyle w:val="Hyperlink"/>
            <w:rFonts w:ascii="Times New Roman" w:hAnsi="Times New Roman"/>
            <w:lang w:val="bg-BG"/>
          </w:rPr>
          <w:t>=</w:t>
        </w:r>
        <w:r>
          <w:rPr>
            <w:rStyle w:val="Hyperlink"/>
            <w:rFonts w:ascii="Times New Roman" w:hAnsi="Times New Roman"/>
          </w:rPr>
          <w:t>OJ</w:t>
        </w:r>
        <w:r>
          <w:rPr>
            <w:rStyle w:val="Hyperlink"/>
            <w:rFonts w:ascii="Times New Roman" w:hAnsi="Times New Roman"/>
            <w:lang w:val="bg-BG"/>
          </w:rPr>
          <w:t>:</w:t>
        </w:r>
        <w:r>
          <w:rPr>
            <w:rStyle w:val="Hyperlink"/>
            <w:rFonts w:ascii="Times New Roman" w:hAnsi="Times New Roman"/>
          </w:rPr>
          <w:t>C</w:t>
        </w:r>
        <w:r>
          <w:rPr>
            <w:rStyle w:val="Hyperlink"/>
            <w:rFonts w:ascii="Times New Roman" w:hAnsi="Times New Roman"/>
            <w:lang w:val="bg-BG"/>
          </w:rPr>
          <w:t>:2013:025:0001:0026:</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PDF</w:t>
        </w:r>
      </w:hyperlink>
      <w:r>
        <w:rPr>
          <w:rStyle w:val="Hyperlink"/>
          <w:rFonts w:ascii="Times New Roman" w:hAnsi="Times New Roman"/>
          <w:lang w:val="bg-BG"/>
        </w:rPr>
        <w:t>.</w:t>
      </w:r>
    </w:p>
  </w:footnote>
  <w:footnote w:id="10">
    <w:p w:rsidR="00BA319C" w:rsidRDefault="008D6BD5">
      <w:pPr>
        <w:pStyle w:val="FootnoteText"/>
        <w:spacing w:after="0"/>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w:t>
      </w:r>
      <w:hyperlink r:id="rId8">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priorities</w:t>
        </w:r>
        <w:r>
          <w:rPr>
            <w:rStyle w:val="Hyperlink"/>
            <w:rFonts w:ascii="Times New Roman" w:hAnsi="Times New Roman"/>
            <w:lang w:val="bg-BG"/>
          </w:rPr>
          <w:t>/</w:t>
        </w:r>
        <w:r>
          <w:rPr>
            <w:rStyle w:val="Hyperlink"/>
            <w:rFonts w:ascii="Times New Roman" w:hAnsi="Times New Roman"/>
          </w:rPr>
          <w:t>digital</w:t>
        </w:r>
        <w:r>
          <w:rPr>
            <w:rStyle w:val="Hyperlink"/>
            <w:rFonts w:ascii="Times New Roman" w:hAnsi="Times New Roman"/>
            <w:lang w:val="bg-BG"/>
          </w:rPr>
          <w:t>-</w:t>
        </w:r>
        <w:r>
          <w:rPr>
            <w:rStyle w:val="Hyperlink"/>
            <w:rFonts w:ascii="Times New Roman" w:hAnsi="Times New Roman"/>
          </w:rPr>
          <w:t>single</w:t>
        </w:r>
        <w:r>
          <w:rPr>
            <w:rStyle w:val="Hyperlink"/>
            <w:rFonts w:ascii="Times New Roman" w:hAnsi="Times New Roman"/>
            <w:lang w:val="bg-BG"/>
          </w:rPr>
          <w:t>-</w:t>
        </w:r>
        <w:r>
          <w:rPr>
            <w:rStyle w:val="Hyperlink"/>
            <w:rFonts w:ascii="Times New Roman" w:hAnsi="Times New Roman"/>
          </w:rPr>
          <w:t>market</w:t>
        </w:r>
        <w:r>
          <w:rPr>
            <w:rStyle w:val="Hyperlink"/>
            <w:rFonts w:ascii="Times New Roman" w:hAnsi="Times New Roman"/>
            <w:lang w:val="bg-BG"/>
          </w:rPr>
          <w:t>_</w:t>
        </w:r>
        <w:r>
          <w:rPr>
            <w:rStyle w:val="Hyperlink"/>
            <w:rFonts w:ascii="Times New Roman" w:hAnsi="Times New Roman"/>
          </w:rPr>
          <w:t>en</w:t>
        </w:r>
      </w:hyperlink>
      <w:r>
        <w:rPr>
          <w:rFonts w:ascii="Times New Roman" w:hAnsi="Times New Roman"/>
          <w:lang w:val="bg-BG"/>
        </w:rPr>
        <w:t xml:space="preserve">. </w:t>
      </w:r>
    </w:p>
  </w:footnote>
  <w:footnote w:id="11">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Съобщение от 6 май 2015</w:t>
      </w:r>
      <w:r>
        <w:rPr>
          <w:rFonts w:ascii="Times New Roman" w:hAnsi="Times New Roman"/>
        </w:rPr>
        <w:t> </w:t>
      </w:r>
      <w:r>
        <w:rPr>
          <w:rFonts w:ascii="Times New Roman" w:hAnsi="Times New Roman"/>
          <w:lang w:val="bg-BG"/>
        </w:rPr>
        <w:t>г. на Комисията до Европейския парламент, Съвета, Европейския икономически и социален комитет и Комитета на регионите</w:t>
      </w:r>
      <w:r>
        <w:rPr>
          <w:rFonts w:ascii="Times New Roman" w:hAnsi="Times New Roman"/>
          <w:i/>
          <w:lang w:val="bg-BG"/>
        </w:rPr>
        <w:t xml:space="preserve"> Стратегия за цифров единен пазар за Европа</w:t>
      </w:r>
      <w:r>
        <w:rPr>
          <w:rFonts w:ascii="Times New Roman" w:hAnsi="Times New Roman"/>
          <w:lang w:val="bg-BG"/>
        </w:rPr>
        <w:t xml:space="preserve">, </w:t>
      </w:r>
      <w:r>
        <w:rPr>
          <w:rFonts w:ascii="Times New Roman" w:hAnsi="Times New Roman"/>
        </w:rPr>
        <w:t>COM</w:t>
      </w:r>
      <w:r>
        <w:rPr>
          <w:rFonts w:ascii="Times New Roman" w:hAnsi="Times New Roman"/>
          <w:lang w:val="bg-BG"/>
        </w:rPr>
        <w:t xml:space="preserve">(2015) 192 </w:t>
      </w:r>
      <w:r>
        <w:rPr>
          <w:rFonts w:ascii="Times New Roman" w:hAnsi="Times New Roman"/>
        </w:rPr>
        <w:t>final</w:t>
      </w:r>
      <w:r>
        <w:rPr>
          <w:rFonts w:ascii="Times New Roman" w:hAnsi="Times New Roman"/>
          <w:lang w:val="bg-BG"/>
        </w:rPr>
        <w:t>, публикува</w:t>
      </w:r>
      <w:r>
        <w:rPr>
          <w:rFonts w:ascii="Times New Roman" w:hAnsi="Times New Roman"/>
          <w:lang w:val="bg-BG"/>
        </w:rPr>
        <w:t xml:space="preserve">но на </w:t>
      </w:r>
      <w:hyperlink r:id="rId9">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w:t>
        </w:r>
        <w:r>
          <w:rPr>
            <w:rStyle w:val="Hyperlink"/>
            <w:rFonts w:ascii="Times New Roman" w:hAnsi="Times New Roman"/>
            <w:lang w:val="bg-BG"/>
          </w:rPr>
          <w:t>-</w:t>
        </w:r>
        <w:r>
          <w:rPr>
            <w:rStyle w:val="Hyperlink"/>
            <w:rFonts w:ascii="Times New Roman" w:hAnsi="Times New Roman"/>
          </w:rPr>
          <w:t>lex</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legal</w:t>
        </w:r>
        <w:r>
          <w:rPr>
            <w:rStyle w:val="Hyperlink"/>
            <w:rFonts w:ascii="Times New Roman" w:hAnsi="Times New Roman"/>
            <w:lang w:val="bg-BG"/>
          </w:rPr>
          <w:t>-</w:t>
        </w:r>
        <w:r>
          <w:rPr>
            <w:rStyle w:val="Hyperlink"/>
            <w:rFonts w:ascii="Times New Roman" w:hAnsi="Times New Roman"/>
          </w:rPr>
          <w:t>content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TXT</w:t>
        </w:r>
        <w:r>
          <w:rPr>
            <w:rStyle w:val="Hyperlink"/>
            <w:rFonts w:ascii="Times New Roman" w:hAnsi="Times New Roman"/>
            <w:lang w:val="bg-BG"/>
          </w:rPr>
          <w:t>/?</w:t>
        </w:r>
        <w:r>
          <w:rPr>
            <w:rStyle w:val="Hyperlink"/>
            <w:rFonts w:ascii="Times New Roman" w:hAnsi="Times New Roman"/>
          </w:rPr>
          <w:t>uri</w:t>
        </w:r>
        <w:r>
          <w:rPr>
            <w:rStyle w:val="Hyperlink"/>
            <w:rFonts w:ascii="Times New Roman" w:hAnsi="Times New Roman"/>
            <w:lang w:val="bg-BG"/>
          </w:rPr>
          <w:t>=</w:t>
        </w:r>
        <w:r>
          <w:rPr>
            <w:rStyle w:val="Hyperlink"/>
            <w:rFonts w:ascii="Times New Roman" w:hAnsi="Times New Roman"/>
          </w:rPr>
          <w:t>celex</w:t>
        </w:r>
        <w:r>
          <w:rPr>
            <w:rStyle w:val="Hyperlink"/>
            <w:rFonts w:ascii="Times New Roman" w:hAnsi="Times New Roman"/>
            <w:lang w:val="bg-BG"/>
          </w:rPr>
          <w:t>%3</w:t>
        </w:r>
        <w:r>
          <w:rPr>
            <w:rStyle w:val="Hyperlink"/>
            <w:rFonts w:ascii="Times New Roman" w:hAnsi="Times New Roman"/>
          </w:rPr>
          <w:t>A</w:t>
        </w:r>
        <w:r>
          <w:rPr>
            <w:rStyle w:val="Hyperlink"/>
            <w:rFonts w:ascii="Times New Roman" w:hAnsi="Times New Roman"/>
            <w:lang w:val="bg-BG"/>
          </w:rPr>
          <w:t>52015</w:t>
        </w:r>
        <w:r>
          <w:rPr>
            <w:rStyle w:val="Hyperlink"/>
            <w:rFonts w:ascii="Times New Roman" w:hAnsi="Times New Roman"/>
          </w:rPr>
          <w:t>DC</w:t>
        </w:r>
        <w:r>
          <w:rPr>
            <w:rStyle w:val="Hyperlink"/>
            <w:rFonts w:ascii="Times New Roman" w:hAnsi="Times New Roman"/>
            <w:lang w:val="bg-BG"/>
          </w:rPr>
          <w:t>0192</w:t>
        </w:r>
      </w:hyperlink>
      <w:r>
        <w:rPr>
          <w:rFonts w:ascii="Times New Roman" w:hAnsi="Times New Roman"/>
          <w:lang w:val="bg-BG"/>
        </w:rPr>
        <w:t xml:space="preserve">. </w:t>
      </w:r>
    </w:p>
  </w:footnote>
  <w:footnote w:id="12">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неотдавнашно проучване на Европейския парламент, публикувано на: </w:t>
      </w:r>
      <w:hyperlink r:id="rId10">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www</w:t>
        </w:r>
        <w:r>
          <w:rPr>
            <w:rStyle w:val="Hyperlink"/>
            <w:rFonts w:ascii="Times New Roman" w:hAnsi="Times New Roman"/>
            <w:lang w:val="bg-BG"/>
          </w:rPr>
          <w:t>.</w:t>
        </w:r>
        <w:r>
          <w:rPr>
            <w:rStyle w:val="Hyperlink"/>
            <w:rFonts w:ascii="Times New Roman" w:hAnsi="Times New Roman"/>
          </w:rPr>
          <w:t>europarl</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RegData</w:t>
        </w:r>
        <w:r>
          <w:rPr>
            <w:rStyle w:val="Hyperlink"/>
            <w:rFonts w:ascii="Times New Roman" w:hAnsi="Times New Roman"/>
            <w:lang w:val="bg-BG"/>
          </w:rPr>
          <w:t>/</w:t>
        </w:r>
        <w:r>
          <w:rPr>
            <w:rStyle w:val="Hyperlink"/>
            <w:rFonts w:ascii="Times New Roman" w:hAnsi="Times New Roman"/>
          </w:rPr>
          <w:t>etudes</w:t>
        </w:r>
        <w:r>
          <w:rPr>
            <w:rStyle w:val="Hyperlink"/>
            <w:rFonts w:ascii="Times New Roman" w:hAnsi="Times New Roman"/>
            <w:lang w:val="bg-BG"/>
          </w:rPr>
          <w:t>/</w:t>
        </w:r>
        <w:r>
          <w:rPr>
            <w:rStyle w:val="Hyperlink"/>
            <w:rFonts w:ascii="Times New Roman" w:hAnsi="Times New Roman"/>
          </w:rPr>
          <w:t>STUD</w:t>
        </w:r>
        <w:r>
          <w:rPr>
            <w:rStyle w:val="Hyperlink"/>
            <w:rFonts w:ascii="Times New Roman" w:hAnsi="Times New Roman"/>
            <w:lang w:val="bg-BG"/>
          </w:rPr>
          <w:t>/2015/542235/</w:t>
        </w:r>
        <w:r>
          <w:rPr>
            <w:rStyle w:val="Hyperlink"/>
            <w:rFonts w:ascii="Times New Roman" w:hAnsi="Times New Roman"/>
          </w:rPr>
          <w:t>IPOL</w:t>
        </w:r>
        <w:r>
          <w:rPr>
            <w:rStyle w:val="Hyperlink"/>
            <w:rFonts w:ascii="Times New Roman" w:hAnsi="Times New Roman"/>
            <w:lang w:val="bg-BG"/>
          </w:rPr>
          <w:t>_</w:t>
        </w:r>
        <w:r>
          <w:rPr>
            <w:rStyle w:val="Hyperlink"/>
            <w:rFonts w:ascii="Times New Roman" w:hAnsi="Times New Roman"/>
          </w:rPr>
          <w:t>STU</w:t>
        </w:r>
        <w:r>
          <w:rPr>
            <w:rStyle w:val="Hyperlink"/>
            <w:rFonts w:ascii="Times New Roman" w:hAnsi="Times New Roman"/>
            <w:lang w:val="bg-BG"/>
          </w:rPr>
          <w:t>%282015%29542235_</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pdf</w:t>
        </w:r>
      </w:hyperlink>
      <w:r>
        <w:rPr>
          <w:rFonts w:ascii="Times New Roman" w:hAnsi="Times New Roman"/>
          <w:lang w:val="bg-BG"/>
        </w:rPr>
        <w:t>.</w:t>
      </w:r>
    </w:p>
  </w:footnote>
  <w:footnote w:id="13">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AT</w:t>
      </w:r>
      <w:r>
        <w:rPr>
          <w:rFonts w:ascii="Times New Roman" w:hAnsi="Times New Roman"/>
          <w:lang w:val="bg-BG"/>
        </w:rPr>
        <w:t xml:space="preserve">.39740, </w:t>
      </w:r>
      <w:r>
        <w:rPr>
          <w:rFonts w:ascii="Times New Roman" w:hAnsi="Times New Roman"/>
          <w:i/>
          <w:lang w:val="bg-BG"/>
        </w:rPr>
        <w:t xml:space="preserve">Търсене с </w:t>
      </w:r>
      <w:r>
        <w:rPr>
          <w:rFonts w:ascii="Times New Roman" w:hAnsi="Times New Roman"/>
          <w:i/>
        </w:rPr>
        <w:t>Google</w:t>
      </w:r>
      <w:r>
        <w:rPr>
          <w:rFonts w:ascii="Times New Roman" w:hAnsi="Times New Roman"/>
          <w:lang w:val="bg-BG"/>
        </w:rPr>
        <w:t xml:space="preserve">, вж. </w:t>
      </w:r>
      <w:r>
        <w:rPr>
          <w:rFonts w:ascii="Times New Roman" w:hAnsi="Times New Roman"/>
        </w:rPr>
        <w:t>IP</w:t>
      </w:r>
      <w:r>
        <w:rPr>
          <w:rFonts w:ascii="Times New Roman" w:hAnsi="Times New Roman"/>
          <w:lang w:val="bg-BG"/>
        </w:rPr>
        <w:t>/15/4780 от 15</w:t>
      </w:r>
      <w:r>
        <w:rPr>
          <w:rFonts w:ascii="Times New Roman" w:hAnsi="Times New Roman"/>
        </w:rPr>
        <w:t> </w:t>
      </w:r>
      <w:r>
        <w:rPr>
          <w:rFonts w:ascii="Times New Roman" w:hAnsi="Times New Roman"/>
          <w:lang w:val="bg-BG"/>
        </w:rPr>
        <w:t>април</w:t>
      </w:r>
      <w:r>
        <w:rPr>
          <w:rFonts w:ascii="Times New Roman" w:hAnsi="Times New Roman"/>
        </w:rPr>
        <w:t> </w:t>
      </w:r>
      <w:r>
        <w:rPr>
          <w:rFonts w:ascii="Times New Roman" w:hAnsi="Times New Roman"/>
          <w:lang w:val="bg-BG"/>
        </w:rPr>
        <w:t>2015</w:t>
      </w:r>
      <w:r>
        <w:rPr>
          <w:rFonts w:ascii="Times New Roman" w:hAnsi="Times New Roman"/>
        </w:rPr>
        <w:t> </w:t>
      </w:r>
      <w:r>
        <w:rPr>
          <w:rFonts w:ascii="Times New Roman" w:hAnsi="Times New Roman"/>
          <w:lang w:val="bg-BG"/>
        </w:rPr>
        <w:t xml:space="preserve">г., публикувано на </w:t>
      </w:r>
      <w:hyperlink r:id="rId11">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-15-4780_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 xml:space="preserve">.  </w:t>
      </w:r>
    </w:p>
  </w:footnote>
  <w:footnote w:id="14">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Дело AT.40153 </w:t>
      </w:r>
      <w:r>
        <w:rPr>
          <w:rFonts w:ascii="Times New Roman" w:hAnsi="Times New Roman"/>
          <w:i/>
        </w:rPr>
        <w:t>E-book MFNs and related matters</w:t>
      </w:r>
      <w:r>
        <w:rPr>
          <w:rFonts w:ascii="Times New Roman" w:hAnsi="Times New Roman"/>
        </w:rPr>
        <w:t xml:space="preserve">, вж. IP/15/5166 от 11 юни 2015 г., публикувано на </w:t>
      </w:r>
      <w:hyperlink r:id="rId12">
        <w:r>
          <w:rPr>
            <w:rStyle w:val="Hyperlink"/>
            <w:rFonts w:ascii="Times New Roman" w:hAnsi="Times New Roman"/>
          </w:rPr>
          <w:t>http://europa.eu/rapid/press-release_IP-15-5166_en.htm</w:t>
        </w:r>
      </w:hyperlink>
      <w:r>
        <w:rPr>
          <w:rFonts w:ascii="Times New Roman" w:hAnsi="Times New Roman"/>
        </w:rPr>
        <w:t xml:space="preserve">. </w:t>
      </w:r>
    </w:p>
  </w:footnote>
  <w:footnote w:id="15">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rPr>
        <w:t xml:space="preserve"> Вж. </w:t>
      </w:r>
      <w:r>
        <w:rPr>
          <w:rFonts w:ascii="Times New Roman" w:hAnsi="Times New Roman"/>
          <w:lang w:val="bg-BG"/>
        </w:rPr>
        <w:t>Р</w:t>
      </w:r>
      <w:r>
        <w:rPr>
          <w:rFonts w:ascii="Times New Roman" w:hAnsi="Times New Roman"/>
        </w:rPr>
        <w:t>ешение на Комисията от 24 февруари 2015 г.</w:t>
      </w:r>
      <w:r>
        <w:rPr>
          <w:rFonts w:ascii="Times New Roman" w:hAnsi="Times New Roman"/>
          <w:lang w:val="bg-BG"/>
        </w:rPr>
        <w:t xml:space="preserve"> по </w:t>
      </w:r>
      <w:r>
        <w:rPr>
          <w:rFonts w:ascii="Times New Roman" w:hAnsi="Times New Roman"/>
        </w:rPr>
        <w:t xml:space="preserve">дело M.7194 </w:t>
      </w:r>
      <w:r>
        <w:rPr>
          <w:rFonts w:ascii="Times New Roman" w:hAnsi="Times New Roman"/>
          <w:i/>
        </w:rPr>
        <w:t>Liberty Global / Corelio / W&amp;W / De Vijver Media</w:t>
      </w:r>
      <w:r>
        <w:rPr>
          <w:rFonts w:ascii="Times New Roman" w:hAnsi="Times New Roman"/>
        </w:rPr>
        <w:t xml:space="preserve">, публикувано на </w:t>
      </w:r>
      <w:hyperlink r:id="rId13">
        <w:r>
          <w:rPr>
            <w:rStyle w:val="Hyperlink"/>
            <w:rFonts w:ascii="Times New Roman" w:hAnsi="Times New Roman"/>
          </w:rPr>
          <w:t>http://ec.europa.eu/competition/elojade/isef/case_details.cfm?proc_code=2_M_7194</w:t>
        </w:r>
      </w:hyperlink>
      <w:r>
        <w:rPr>
          <w:rFonts w:ascii="Times New Roman" w:hAnsi="Times New Roman"/>
        </w:rPr>
        <w:t xml:space="preserve">, и </w:t>
      </w:r>
      <w:r>
        <w:rPr>
          <w:rFonts w:ascii="Times New Roman" w:hAnsi="Times New Roman"/>
          <w:lang w:val="bg-BG"/>
        </w:rPr>
        <w:t>Р</w:t>
      </w:r>
      <w:r>
        <w:rPr>
          <w:rFonts w:ascii="Times New Roman" w:hAnsi="Times New Roman"/>
        </w:rPr>
        <w:t>ешение на Комисията от 20 април 2015 г.</w:t>
      </w:r>
      <w:r>
        <w:rPr>
          <w:rFonts w:ascii="Times New Roman" w:hAnsi="Times New Roman"/>
          <w:lang w:val="bg-BG"/>
        </w:rPr>
        <w:t xml:space="preserve"> по </w:t>
      </w:r>
      <w:r>
        <w:rPr>
          <w:rFonts w:ascii="Times New Roman" w:hAnsi="Times New Roman"/>
        </w:rPr>
        <w:t xml:space="preserve">дело M.7499 </w:t>
      </w:r>
      <w:r>
        <w:rPr>
          <w:rFonts w:ascii="Times New Roman" w:hAnsi="Times New Roman"/>
          <w:i/>
        </w:rPr>
        <w:t>Altice / PT Portug</w:t>
      </w:r>
      <w:r>
        <w:rPr>
          <w:rFonts w:ascii="Times New Roman" w:hAnsi="Times New Roman"/>
          <w:i/>
        </w:rPr>
        <w:t>al</w:t>
      </w:r>
      <w:r>
        <w:rPr>
          <w:rFonts w:ascii="Times New Roman" w:hAnsi="Times New Roman"/>
        </w:rPr>
        <w:t xml:space="preserve">, публикувано на </w:t>
      </w:r>
      <w:hyperlink r:id="rId14">
        <w:r>
          <w:rPr>
            <w:rStyle w:val="Hyperlink"/>
            <w:rFonts w:ascii="Times New Roman" w:hAnsi="Times New Roman"/>
          </w:rPr>
          <w:t>http://ec.europa.eu/competition/elojade/isef/case_details.cfm?proc_code=2_M_7499</w:t>
        </w:r>
      </w:hyperlink>
      <w:r>
        <w:rPr>
          <w:rFonts w:ascii="Times New Roman" w:hAnsi="Times New Roman"/>
        </w:rPr>
        <w:t>.</w:t>
      </w:r>
    </w:p>
  </w:footnote>
  <w:footnote w:id="16">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AT</w:t>
      </w:r>
      <w:r>
        <w:rPr>
          <w:rFonts w:ascii="Times New Roman" w:hAnsi="Times New Roman"/>
          <w:lang w:val="bg-BG"/>
        </w:rPr>
        <w:t>. 40023</w:t>
      </w:r>
      <w:r>
        <w:rPr>
          <w:rFonts w:ascii="Times New Roman" w:hAnsi="Times New Roman"/>
          <w:i/>
          <w:lang w:val="bg-BG"/>
        </w:rPr>
        <w:t>, Трансграничен достъп до платени телев</w:t>
      </w:r>
      <w:r>
        <w:rPr>
          <w:rFonts w:ascii="Times New Roman" w:hAnsi="Times New Roman"/>
          <w:i/>
          <w:lang w:val="bg-BG"/>
        </w:rPr>
        <w:t>изионни програми</w:t>
      </w:r>
      <w:r>
        <w:rPr>
          <w:rFonts w:ascii="Times New Roman" w:hAnsi="Times New Roman"/>
          <w:lang w:val="bg-BG"/>
        </w:rPr>
        <w:t xml:space="preserve">, вж. </w:t>
      </w:r>
      <w:r>
        <w:rPr>
          <w:rFonts w:ascii="Times New Roman" w:hAnsi="Times New Roman"/>
        </w:rPr>
        <w:t>IP</w:t>
      </w:r>
      <w:r>
        <w:rPr>
          <w:rFonts w:ascii="Times New Roman" w:hAnsi="Times New Roman"/>
          <w:lang w:val="bg-BG"/>
        </w:rPr>
        <w:t>/15/5432 от 23 юли 2015</w:t>
      </w:r>
      <w:r>
        <w:rPr>
          <w:rFonts w:ascii="Times New Roman" w:hAnsi="Times New Roman"/>
        </w:rPr>
        <w:t> </w:t>
      </w:r>
      <w:r>
        <w:rPr>
          <w:rFonts w:ascii="Times New Roman" w:hAnsi="Times New Roman"/>
          <w:lang w:val="bg-BG"/>
        </w:rPr>
        <w:t xml:space="preserve">г., публикувано на адрес </w:t>
      </w:r>
      <w:hyperlink r:id="rId15">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-15-5432_</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w:t>
      </w:r>
    </w:p>
  </w:footnote>
  <w:footnote w:id="17">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Регламент (ЕС)</w:t>
      </w:r>
      <w:r>
        <w:rPr>
          <w:rFonts w:ascii="Times New Roman" w:hAnsi="Times New Roman"/>
        </w:rPr>
        <w:t> </w:t>
      </w:r>
      <w:r>
        <w:rPr>
          <w:rFonts w:ascii="Times New Roman" w:hAnsi="Times New Roman"/>
          <w:lang w:val="bg-BG"/>
        </w:rPr>
        <w:t>2015/2120 на Европейския парламент и</w:t>
      </w:r>
      <w:r>
        <w:rPr>
          <w:rFonts w:ascii="Times New Roman" w:hAnsi="Times New Roman"/>
          <w:lang w:val="bg-BG"/>
        </w:rPr>
        <w:t xml:space="preserve"> на Съвета от 25 ноември 2015</w:t>
      </w:r>
      <w:r>
        <w:rPr>
          <w:rFonts w:ascii="Times New Roman" w:hAnsi="Times New Roman"/>
        </w:rPr>
        <w:t> </w:t>
      </w:r>
      <w:r>
        <w:rPr>
          <w:rFonts w:ascii="Times New Roman" w:hAnsi="Times New Roman"/>
          <w:lang w:val="bg-BG"/>
        </w:rPr>
        <w:t>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w:t>
      </w:r>
      <w:r>
        <w:rPr>
          <w:rFonts w:ascii="Times New Roman" w:hAnsi="Times New Roman"/>
        </w:rPr>
        <w:t> </w:t>
      </w:r>
      <w:r>
        <w:rPr>
          <w:rFonts w:ascii="Times New Roman" w:hAnsi="Times New Roman"/>
          <w:lang w:val="bg-BG"/>
        </w:rPr>
        <w:t>(</w:t>
      </w:r>
      <w:r>
        <w:rPr>
          <w:rFonts w:ascii="Times New Roman" w:hAnsi="Times New Roman"/>
          <w:lang w:val="bg-BG"/>
        </w:rPr>
        <w:t>ЕС)</w:t>
      </w:r>
      <w:r>
        <w:rPr>
          <w:rFonts w:ascii="Times New Roman" w:hAnsi="Times New Roman"/>
        </w:rPr>
        <w:t> </w:t>
      </w:r>
      <w:r>
        <w:rPr>
          <w:rFonts w:ascii="Times New Roman" w:hAnsi="Times New Roman"/>
          <w:lang w:val="bg-BG"/>
        </w:rPr>
        <w:t>№</w:t>
      </w:r>
      <w:r>
        <w:rPr>
          <w:rFonts w:ascii="Times New Roman" w:hAnsi="Times New Roman"/>
        </w:rPr>
        <w:t> </w:t>
      </w:r>
      <w:r>
        <w:rPr>
          <w:rFonts w:ascii="Times New Roman" w:hAnsi="Times New Roman"/>
          <w:lang w:val="bg-BG"/>
        </w:rPr>
        <w:t>531/2012 относно роуминга в обществени мобилни съобщителни мрежи в рамките на Съюза ( ОВ</w:t>
      </w:r>
      <w:r>
        <w:rPr>
          <w:rFonts w:ascii="Times New Roman" w:hAnsi="Times New Roman"/>
        </w:rPr>
        <w:t> L </w:t>
      </w:r>
      <w:r>
        <w:rPr>
          <w:rFonts w:ascii="Times New Roman" w:hAnsi="Times New Roman"/>
          <w:lang w:val="bg-BG"/>
        </w:rPr>
        <w:t>310, 26.11.2015</w:t>
      </w:r>
      <w:r>
        <w:rPr>
          <w:rFonts w:ascii="Times New Roman" w:hAnsi="Times New Roman"/>
        </w:rPr>
        <w:t> </w:t>
      </w:r>
      <w:r>
        <w:rPr>
          <w:rFonts w:ascii="Times New Roman" w:hAnsi="Times New Roman"/>
          <w:lang w:val="bg-BG"/>
        </w:rPr>
        <w:t xml:space="preserve">г., стр. 1—18), публикуван на </w:t>
      </w:r>
      <w:hyperlink r:id="rId16">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w:t>
        </w:r>
        <w:r>
          <w:rPr>
            <w:rStyle w:val="Hyperlink"/>
            <w:rFonts w:ascii="Times New Roman" w:hAnsi="Times New Roman"/>
            <w:lang w:val="bg-BG"/>
          </w:rPr>
          <w:t>-</w:t>
        </w:r>
        <w:r>
          <w:rPr>
            <w:rStyle w:val="Hyperlink"/>
            <w:rFonts w:ascii="Times New Roman" w:hAnsi="Times New Roman"/>
          </w:rPr>
          <w:t>lex</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legal</w:t>
        </w:r>
        <w:r>
          <w:rPr>
            <w:rStyle w:val="Hyperlink"/>
            <w:rFonts w:ascii="Times New Roman" w:hAnsi="Times New Roman"/>
            <w:lang w:val="bg-BG"/>
          </w:rPr>
          <w:t>-</w:t>
        </w:r>
        <w:r>
          <w:rPr>
            <w:rStyle w:val="Hyperlink"/>
            <w:rFonts w:ascii="Times New Roman" w:hAnsi="Times New Roman"/>
          </w:rPr>
          <w:t>content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TXT</w:t>
        </w:r>
        <w:r>
          <w:rPr>
            <w:rStyle w:val="Hyperlink"/>
            <w:rFonts w:ascii="Times New Roman" w:hAnsi="Times New Roman"/>
            <w:lang w:val="bg-BG"/>
          </w:rPr>
          <w:t>/</w:t>
        </w:r>
        <w:r>
          <w:rPr>
            <w:rStyle w:val="Hyperlink"/>
            <w:rFonts w:ascii="Times New Roman" w:hAnsi="Times New Roman"/>
          </w:rPr>
          <w:t>HTML</w:t>
        </w:r>
        <w:r>
          <w:rPr>
            <w:rStyle w:val="Hyperlink"/>
            <w:rFonts w:ascii="Times New Roman" w:hAnsi="Times New Roman"/>
            <w:lang w:val="bg-BG"/>
          </w:rPr>
          <w:t>/?</w:t>
        </w:r>
        <w:r>
          <w:rPr>
            <w:rStyle w:val="Hyperlink"/>
            <w:rFonts w:ascii="Times New Roman" w:hAnsi="Times New Roman"/>
          </w:rPr>
          <w:t>uri</w:t>
        </w:r>
        <w:r>
          <w:rPr>
            <w:rStyle w:val="Hyperlink"/>
            <w:rFonts w:ascii="Times New Roman" w:hAnsi="Times New Roman"/>
            <w:lang w:val="bg-BG"/>
          </w:rPr>
          <w:t>=</w:t>
        </w:r>
        <w:r>
          <w:rPr>
            <w:rStyle w:val="Hyperlink"/>
            <w:rFonts w:ascii="Times New Roman" w:hAnsi="Times New Roman"/>
          </w:rPr>
          <w:t>CELEX</w:t>
        </w:r>
        <w:r>
          <w:rPr>
            <w:rStyle w:val="Hyperlink"/>
            <w:rFonts w:ascii="Times New Roman" w:hAnsi="Times New Roman"/>
            <w:lang w:val="bg-BG"/>
          </w:rPr>
          <w:t>:32015</w:t>
        </w:r>
        <w:r>
          <w:rPr>
            <w:rStyle w:val="Hyperlink"/>
            <w:rFonts w:ascii="Times New Roman" w:hAnsi="Times New Roman"/>
          </w:rPr>
          <w:t>R</w:t>
        </w:r>
        <w:r>
          <w:rPr>
            <w:rStyle w:val="Hyperlink"/>
            <w:rFonts w:ascii="Times New Roman" w:hAnsi="Times New Roman"/>
            <w:lang w:val="bg-BG"/>
          </w:rPr>
          <w:t>2120&amp;</w:t>
        </w:r>
        <w:r>
          <w:rPr>
            <w:rStyle w:val="Hyperlink"/>
            <w:rFonts w:ascii="Times New Roman" w:hAnsi="Times New Roman"/>
          </w:rPr>
          <w:t>from</w:t>
        </w:r>
        <w:r>
          <w:rPr>
            <w:rStyle w:val="Hyperlink"/>
            <w:rFonts w:ascii="Times New Roman" w:hAnsi="Times New Roman"/>
            <w:lang w:val="bg-BG"/>
          </w:rPr>
          <w:t>=</w:t>
        </w:r>
        <w:r>
          <w:rPr>
            <w:rStyle w:val="Hyperlink"/>
            <w:rFonts w:ascii="Times New Roman" w:hAnsi="Times New Roman"/>
          </w:rPr>
          <w:t>EN</w:t>
        </w:r>
      </w:hyperlink>
      <w:r>
        <w:rPr>
          <w:rFonts w:ascii="Times New Roman" w:hAnsi="Times New Roman"/>
          <w:lang w:val="bg-BG"/>
        </w:rPr>
        <w:t xml:space="preserve">. </w:t>
      </w:r>
    </w:p>
  </w:footnote>
  <w:footnote w:id="18">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AT</w:t>
      </w:r>
      <w:r>
        <w:rPr>
          <w:rFonts w:ascii="Times New Roman" w:hAnsi="Times New Roman"/>
          <w:lang w:val="bg-BG"/>
        </w:rPr>
        <w:t xml:space="preserve">.40220 </w:t>
      </w:r>
      <w:r>
        <w:rPr>
          <w:rFonts w:ascii="Times New Roman" w:hAnsi="Times New Roman"/>
          <w:i/>
        </w:rPr>
        <w:t>Qualcomm</w:t>
      </w:r>
      <w:r>
        <w:rPr>
          <w:rFonts w:ascii="Times New Roman" w:hAnsi="Times New Roman"/>
          <w:i/>
          <w:lang w:val="bg-BG"/>
        </w:rPr>
        <w:t xml:space="preserve"> (плащания за изключителни права)</w:t>
      </w:r>
      <w:r>
        <w:rPr>
          <w:rFonts w:ascii="Times New Roman" w:hAnsi="Times New Roman"/>
          <w:lang w:val="bg-BG"/>
        </w:rPr>
        <w:t xml:space="preserve"> и дело </w:t>
      </w:r>
      <w:r>
        <w:rPr>
          <w:rFonts w:ascii="Times New Roman" w:hAnsi="Times New Roman"/>
        </w:rPr>
        <w:t>AT</w:t>
      </w:r>
      <w:r>
        <w:rPr>
          <w:rFonts w:ascii="Times New Roman" w:hAnsi="Times New Roman"/>
          <w:lang w:val="bg-BG"/>
        </w:rPr>
        <w:t xml:space="preserve">.39711 </w:t>
      </w:r>
      <w:r>
        <w:rPr>
          <w:rFonts w:ascii="Times New Roman" w:hAnsi="Times New Roman"/>
          <w:i/>
        </w:rPr>
        <w:t>Qualcomm</w:t>
      </w:r>
      <w:r>
        <w:rPr>
          <w:rFonts w:ascii="Times New Roman" w:hAnsi="Times New Roman"/>
          <w:i/>
          <w:lang w:val="bg-BG"/>
        </w:rPr>
        <w:t xml:space="preserve"> (агресивни търговски практики)</w:t>
      </w:r>
      <w:r>
        <w:rPr>
          <w:rFonts w:ascii="Times New Roman" w:hAnsi="Times New Roman"/>
          <w:lang w:val="bg-BG"/>
        </w:rPr>
        <w:t xml:space="preserve">, вж. </w:t>
      </w:r>
      <w:r>
        <w:rPr>
          <w:rFonts w:ascii="Times New Roman" w:hAnsi="Times New Roman"/>
        </w:rPr>
        <w:t>IP</w:t>
      </w:r>
      <w:r>
        <w:rPr>
          <w:rFonts w:ascii="Times New Roman" w:hAnsi="Times New Roman"/>
          <w:lang w:val="bg-BG"/>
        </w:rPr>
        <w:t>/15/6271 от 8</w:t>
      </w:r>
      <w:r>
        <w:rPr>
          <w:rFonts w:ascii="Times New Roman" w:hAnsi="Times New Roman"/>
        </w:rPr>
        <w:t> </w:t>
      </w:r>
      <w:r>
        <w:rPr>
          <w:rFonts w:ascii="Times New Roman" w:hAnsi="Times New Roman"/>
          <w:lang w:val="bg-BG"/>
        </w:rPr>
        <w:t>декември 2015</w:t>
      </w:r>
      <w:r>
        <w:rPr>
          <w:rFonts w:ascii="Times New Roman" w:hAnsi="Times New Roman"/>
        </w:rPr>
        <w:t> </w:t>
      </w:r>
      <w:r>
        <w:rPr>
          <w:rFonts w:ascii="Times New Roman" w:hAnsi="Times New Roman"/>
          <w:lang w:val="bg-BG"/>
        </w:rPr>
        <w:t xml:space="preserve">г., публикувано на </w:t>
      </w:r>
      <w:hyperlink r:id="rId17">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-15-6271_</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 xml:space="preserve">.  </w:t>
      </w:r>
    </w:p>
  </w:footnote>
  <w:footnote w:id="19">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AT</w:t>
      </w:r>
      <w:r>
        <w:rPr>
          <w:rFonts w:ascii="Times New Roman" w:hAnsi="Times New Roman"/>
          <w:lang w:val="bg-BG"/>
        </w:rPr>
        <w:t xml:space="preserve">.40099, </w:t>
      </w:r>
      <w:r>
        <w:rPr>
          <w:rFonts w:ascii="Times New Roman" w:hAnsi="Times New Roman"/>
          <w:i/>
        </w:rPr>
        <w:t>Android</w:t>
      </w:r>
      <w:r>
        <w:rPr>
          <w:rFonts w:ascii="Times New Roman" w:hAnsi="Times New Roman"/>
          <w:i/>
          <w:lang w:val="bg-BG"/>
        </w:rPr>
        <w:t xml:space="preserve"> на </w:t>
      </w:r>
      <w:r>
        <w:rPr>
          <w:rFonts w:ascii="Times New Roman" w:hAnsi="Times New Roman"/>
          <w:i/>
        </w:rPr>
        <w:t>Google</w:t>
      </w:r>
      <w:r>
        <w:rPr>
          <w:rFonts w:ascii="Times New Roman" w:hAnsi="Times New Roman"/>
          <w:lang w:val="bg-BG"/>
        </w:rPr>
        <w:t xml:space="preserve">, вж. </w:t>
      </w:r>
      <w:r>
        <w:rPr>
          <w:rFonts w:ascii="Times New Roman" w:hAnsi="Times New Roman"/>
        </w:rPr>
        <w:t>MEMO</w:t>
      </w:r>
      <w:r>
        <w:rPr>
          <w:rFonts w:ascii="Times New Roman" w:hAnsi="Times New Roman"/>
          <w:lang w:val="bg-BG"/>
        </w:rPr>
        <w:t>/15/4782 от 15 април 2015</w:t>
      </w:r>
      <w:r>
        <w:rPr>
          <w:rFonts w:ascii="Times New Roman" w:hAnsi="Times New Roman"/>
        </w:rPr>
        <w:t> </w:t>
      </w:r>
      <w:r>
        <w:rPr>
          <w:rFonts w:ascii="Times New Roman" w:hAnsi="Times New Roman"/>
          <w:lang w:val="bg-BG"/>
        </w:rPr>
        <w:t xml:space="preserve">г., публикувано на </w:t>
      </w:r>
      <w:hyperlink r:id="rId18">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MEMO</w:t>
        </w:r>
        <w:r>
          <w:rPr>
            <w:rStyle w:val="Hyperlink"/>
            <w:rFonts w:ascii="Times New Roman" w:hAnsi="Times New Roman"/>
            <w:lang w:val="bg-BG"/>
          </w:rPr>
          <w:t>-15-4782_</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 xml:space="preserve">. </w:t>
      </w:r>
    </w:p>
  </w:footnote>
  <w:footnote w:id="20">
    <w:p w:rsidR="00BA319C" w:rsidRDefault="008D6BD5">
      <w:pPr>
        <w:pStyle w:val="FootnoteText"/>
        <w:spacing w:after="0" w:line="240" w:lineRule="auto"/>
        <w:rPr>
          <w:rFonts w:ascii="Times New Roman" w:hAnsi="Times New Roman"/>
          <w:lang w:val="bg-BG"/>
        </w:rPr>
      </w:pPr>
      <w:r>
        <w:rPr>
          <w:rFonts w:ascii="Times New Roman" w:hAnsi="Times New Roman"/>
          <w:vertAlign w:val="superscript"/>
        </w:rPr>
        <w:footnoteRef/>
      </w:r>
      <w:r>
        <w:rPr>
          <w:rFonts w:ascii="Times New Roman" w:hAnsi="Times New Roman"/>
          <w:lang w:val="bg-BG"/>
        </w:rPr>
        <w:t xml:space="preserve"> Вж. например Решение на Комисията от 15 октомври 2014</w:t>
      </w:r>
      <w:r>
        <w:rPr>
          <w:rFonts w:ascii="Times New Roman" w:hAnsi="Times New Roman"/>
        </w:rPr>
        <w:t> </w:t>
      </w:r>
      <w:r>
        <w:rPr>
          <w:rFonts w:ascii="Times New Roman" w:hAnsi="Times New Roman"/>
          <w:lang w:val="bg-BG"/>
        </w:rPr>
        <w:t xml:space="preserve">г. по дело </w:t>
      </w:r>
      <w:r>
        <w:rPr>
          <w:rFonts w:ascii="Times New Roman" w:hAnsi="Times New Roman"/>
          <w:i/>
        </w:rPr>
        <w:t>Slovak</w:t>
      </w:r>
      <w:r>
        <w:rPr>
          <w:rFonts w:ascii="Times New Roman" w:hAnsi="Times New Roman"/>
          <w:i/>
          <w:lang w:val="bg-BG"/>
        </w:rPr>
        <w:t xml:space="preserve"> </w:t>
      </w:r>
      <w:r>
        <w:rPr>
          <w:rFonts w:ascii="Times New Roman" w:hAnsi="Times New Roman"/>
          <w:i/>
        </w:rPr>
        <w:t>Telecom</w:t>
      </w:r>
      <w:r>
        <w:rPr>
          <w:rFonts w:ascii="Times New Roman" w:hAnsi="Times New Roman"/>
          <w:lang w:val="bg-BG"/>
        </w:rPr>
        <w:t xml:space="preserve"> (дело </w:t>
      </w:r>
      <w:r>
        <w:rPr>
          <w:rFonts w:ascii="Times New Roman" w:hAnsi="Times New Roman"/>
        </w:rPr>
        <w:t>AT</w:t>
      </w:r>
      <w:r>
        <w:rPr>
          <w:rFonts w:ascii="Times New Roman" w:hAnsi="Times New Roman"/>
          <w:lang w:val="bg-BG"/>
        </w:rPr>
        <w:t xml:space="preserve">.39523), публикувано на </w:t>
      </w:r>
      <w:hyperlink r:id="rId19">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=1_39523</w:t>
        </w:r>
      </w:hyperlink>
      <w:r>
        <w:rPr>
          <w:rFonts w:ascii="Times New Roman" w:hAnsi="Times New Roman"/>
          <w:lang w:val="bg-BG"/>
        </w:rPr>
        <w:t xml:space="preserve">. </w:t>
      </w:r>
    </w:p>
  </w:footnote>
  <w:footnote w:id="21">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Решение на Комисията от 19 май 20015</w:t>
      </w:r>
      <w:r>
        <w:rPr>
          <w:rFonts w:ascii="Times New Roman" w:hAnsi="Times New Roman"/>
        </w:rPr>
        <w:t> </w:t>
      </w:r>
      <w:r>
        <w:rPr>
          <w:rFonts w:ascii="Times New Roman" w:hAnsi="Times New Roman"/>
          <w:lang w:val="bg-BG"/>
        </w:rPr>
        <w:t xml:space="preserve">г. по дело </w:t>
      </w:r>
      <w:r>
        <w:rPr>
          <w:rFonts w:ascii="Times New Roman" w:hAnsi="Times New Roman"/>
        </w:rPr>
        <w:t>M</w:t>
      </w:r>
      <w:r>
        <w:rPr>
          <w:rFonts w:ascii="Times New Roman" w:hAnsi="Times New Roman"/>
          <w:lang w:val="bg-BG"/>
        </w:rPr>
        <w:t xml:space="preserve">.7421, </w:t>
      </w:r>
      <w:r>
        <w:rPr>
          <w:rFonts w:ascii="Times New Roman" w:hAnsi="Times New Roman"/>
          <w:i/>
        </w:rPr>
        <w:t>Orange</w:t>
      </w:r>
      <w:r>
        <w:rPr>
          <w:rFonts w:ascii="Times New Roman" w:hAnsi="Times New Roman"/>
          <w:i/>
          <w:lang w:val="bg-BG"/>
        </w:rPr>
        <w:t>/</w:t>
      </w:r>
      <w:r>
        <w:rPr>
          <w:rFonts w:ascii="Times New Roman" w:hAnsi="Times New Roman"/>
          <w:i/>
        </w:rPr>
        <w:t>Jazztel</w:t>
      </w:r>
      <w:r>
        <w:rPr>
          <w:rFonts w:ascii="Times New Roman" w:hAnsi="Times New Roman"/>
          <w:lang w:val="bg-BG"/>
        </w:rPr>
        <w:t xml:space="preserve">, публикувано на </w:t>
      </w:r>
      <w:hyperlink r:id="rId20">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=2_</w:t>
        </w:r>
        <w:r>
          <w:rPr>
            <w:rStyle w:val="Hyperlink"/>
            <w:rFonts w:ascii="Times New Roman" w:hAnsi="Times New Roman"/>
          </w:rPr>
          <w:t>M</w:t>
        </w:r>
        <w:r>
          <w:rPr>
            <w:rStyle w:val="Hyperlink"/>
            <w:rFonts w:ascii="Times New Roman" w:hAnsi="Times New Roman"/>
            <w:lang w:val="bg-BG"/>
          </w:rPr>
          <w:t>_7421</w:t>
        </w:r>
      </w:hyperlink>
      <w:r>
        <w:rPr>
          <w:rFonts w:ascii="Times New Roman" w:hAnsi="Times New Roman"/>
          <w:lang w:val="bg-BG"/>
        </w:rPr>
        <w:t xml:space="preserve">. </w:t>
      </w:r>
    </w:p>
  </w:footnote>
  <w:footnote w:id="22">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Решение на Комисията по дело </w:t>
      </w:r>
      <w:r>
        <w:rPr>
          <w:rFonts w:ascii="Times New Roman" w:hAnsi="Times New Roman"/>
        </w:rPr>
        <w:t>M</w:t>
      </w:r>
      <w:r>
        <w:rPr>
          <w:rFonts w:ascii="Times New Roman" w:hAnsi="Times New Roman"/>
          <w:lang w:val="bg-BG"/>
        </w:rPr>
        <w:t xml:space="preserve">.7612, </w:t>
      </w:r>
      <w:r>
        <w:rPr>
          <w:rFonts w:ascii="Times New Roman" w:hAnsi="Times New Roman"/>
          <w:i/>
        </w:rPr>
        <w:t>Hutchison</w:t>
      </w:r>
      <w:r>
        <w:rPr>
          <w:rFonts w:ascii="Times New Roman" w:hAnsi="Times New Roman"/>
          <w:i/>
          <w:lang w:val="bg-BG"/>
        </w:rPr>
        <w:t xml:space="preserve"> 3</w:t>
      </w:r>
      <w:r>
        <w:rPr>
          <w:rFonts w:ascii="Times New Roman" w:hAnsi="Times New Roman"/>
          <w:i/>
        </w:rPr>
        <w:t>G</w:t>
      </w:r>
      <w:r>
        <w:rPr>
          <w:rFonts w:ascii="Times New Roman" w:hAnsi="Times New Roman"/>
          <w:i/>
          <w:lang w:val="bg-BG"/>
        </w:rPr>
        <w:t xml:space="preserve"> </w:t>
      </w:r>
      <w:r>
        <w:rPr>
          <w:rFonts w:ascii="Times New Roman" w:hAnsi="Times New Roman"/>
          <w:i/>
        </w:rPr>
        <w:t>UK</w:t>
      </w:r>
      <w:r>
        <w:rPr>
          <w:rFonts w:ascii="Times New Roman" w:hAnsi="Times New Roman"/>
          <w:i/>
          <w:lang w:val="bg-BG"/>
        </w:rPr>
        <w:t>/</w:t>
      </w:r>
      <w:r>
        <w:rPr>
          <w:rFonts w:ascii="Times New Roman" w:hAnsi="Times New Roman"/>
          <w:i/>
        </w:rPr>
        <w:t>T</w:t>
      </w:r>
      <w:r>
        <w:rPr>
          <w:rFonts w:ascii="Times New Roman" w:hAnsi="Times New Roman"/>
          <w:i/>
        </w:rPr>
        <w:t>elef</w:t>
      </w:r>
      <w:r>
        <w:rPr>
          <w:rFonts w:ascii="Times New Roman" w:hAnsi="Times New Roman"/>
          <w:i/>
          <w:lang w:val="bg-BG"/>
        </w:rPr>
        <w:t>ó</w:t>
      </w:r>
      <w:r>
        <w:rPr>
          <w:rFonts w:ascii="Times New Roman" w:hAnsi="Times New Roman"/>
          <w:i/>
        </w:rPr>
        <w:t>nica</w:t>
      </w:r>
      <w:r>
        <w:rPr>
          <w:rFonts w:ascii="Times New Roman" w:hAnsi="Times New Roman"/>
          <w:i/>
          <w:lang w:val="bg-BG"/>
        </w:rPr>
        <w:t xml:space="preserve"> </w:t>
      </w:r>
      <w:r>
        <w:rPr>
          <w:rFonts w:ascii="Times New Roman" w:hAnsi="Times New Roman"/>
          <w:i/>
        </w:rPr>
        <w:t>UK</w:t>
      </w:r>
      <w:r>
        <w:rPr>
          <w:rFonts w:ascii="Times New Roman" w:hAnsi="Times New Roman"/>
          <w:lang w:val="bg-BG"/>
        </w:rPr>
        <w:t xml:space="preserve">, публикувано на </w:t>
      </w:r>
      <w:hyperlink r:id="rId21">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=2_</w:t>
        </w:r>
        <w:r>
          <w:rPr>
            <w:rStyle w:val="Hyperlink"/>
            <w:rFonts w:ascii="Times New Roman" w:hAnsi="Times New Roman"/>
          </w:rPr>
          <w:t>M</w:t>
        </w:r>
        <w:r>
          <w:rPr>
            <w:rStyle w:val="Hyperlink"/>
            <w:rFonts w:ascii="Times New Roman" w:hAnsi="Times New Roman"/>
            <w:lang w:val="bg-BG"/>
          </w:rPr>
          <w:t>_7612</w:t>
        </w:r>
      </w:hyperlink>
      <w:r>
        <w:rPr>
          <w:rFonts w:ascii="Times New Roman" w:hAnsi="Times New Roman"/>
          <w:lang w:val="bg-BG"/>
        </w:rPr>
        <w:t>.</w:t>
      </w:r>
    </w:p>
  </w:footnote>
  <w:footnote w:id="23">
    <w:p w:rsidR="00BA319C" w:rsidRDefault="008D6BD5">
      <w:pPr>
        <w:pStyle w:val="FootnoteText"/>
        <w:spacing w:after="0" w:line="240" w:lineRule="auto"/>
        <w:rPr>
          <w:rStyle w:val="FootnoteReference"/>
          <w:rFonts w:ascii="Times New Roman" w:hAnsi="Times New Roman"/>
        </w:rPr>
      </w:pPr>
      <w:r>
        <w:rPr>
          <w:rStyle w:val="FootnoteReference"/>
          <w:rFonts w:ascii="Times New Roman" w:hAnsi="Times New Roman"/>
        </w:rPr>
        <w:footnoteRef/>
      </w:r>
      <w:r>
        <w:rPr>
          <w:rFonts w:ascii="Times New Roman" w:hAnsi="Times New Roman"/>
        </w:rPr>
        <w:t xml:space="preserve"> Дело M.7637, </w:t>
      </w:r>
      <w:r>
        <w:rPr>
          <w:rFonts w:ascii="Times New Roman" w:hAnsi="Times New Roman"/>
          <w:i/>
        </w:rPr>
        <w:t>Liberty Global/BASE Belgium</w:t>
      </w:r>
      <w:r>
        <w:rPr>
          <w:rFonts w:ascii="Times New Roman" w:hAnsi="Times New Roman"/>
        </w:rPr>
        <w:t xml:space="preserve">, </w:t>
      </w:r>
      <w:r>
        <w:rPr>
          <w:rFonts w:ascii="Times New Roman" w:hAnsi="Times New Roman"/>
        </w:rPr>
        <w:t>публикувано на</w:t>
      </w:r>
      <w:r>
        <w:rPr>
          <w:rFonts w:ascii="Times New Roman" w:hAnsi="Times New Roman"/>
          <w:lang w:val="bg-BG"/>
        </w:rPr>
        <w:t xml:space="preserve"> </w:t>
      </w:r>
      <w:hyperlink r:id="rId22">
        <w:r>
          <w:rPr>
            <w:rStyle w:val="Hyperlink"/>
            <w:rFonts w:ascii="Times New Roman" w:hAnsi="Times New Roman"/>
          </w:rPr>
          <w:t>http://ec.europa.eu/competition/elojade/isef/case_details.cfm?proc_code=2_M_7637</w:t>
        </w:r>
      </w:hyperlink>
      <w:r>
        <w:rPr>
          <w:rFonts w:ascii="Times New Roman" w:hAnsi="Times New Roman"/>
        </w:rPr>
        <w:t>.</w:t>
      </w:r>
    </w:p>
  </w:footnote>
  <w:footnote w:id="24">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Дело M. 7419, </w:t>
      </w:r>
      <w:r>
        <w:rPr>
          <w:rFonts w:ascii="Times New Roman" w:hAnsi="Times New Roman"/>
          <w:i/>
        </w:rPr>
        <w:t>TeliaSonera/Telenor/JV</w:t>
      </w:r>
      <w:r>
        <w:rPr>
          <w:rFonts w:ascii="Times New Roman" w:hAnsi="Times New Roman"/>
        </w:rPr>
        <w:t xml:space="preserve">, публикувано на </w:t>
      </w:r>
      <w:hyperlink r:id="rId23">
        <w:r>
          <w:rPr>
            <w:rStyle w:val="Hyperlink"/>
            <w:rFonts w:ascii="Times New Roman" w:hAnsi="Times New Roman"/>
          </w:rPr>
          <w:t>http://ec.europa.eu/competition/elojade/isef/case_details.cfm?proc_code=2_M_7419</w:t>
        </w:r>
      </w:hyperlink>
      <w:r>
        <w:rPr>
          <w:rFonts w:ascii="Times New Roman" w:hAnsi="Times New Roman"/>
        </w:rPr>
        <w:t>.</w:t>
      </w:r>
    </w:p>
  </w:footnote>
  <w:footnote w:id="25">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rPr>
        <w:t xml:space="preserve"> Съобщение на Комисията от 25 февруари 2015 г. до Европейския парламент, Съве</w:t>
      </w:r>
      <w:r>
        <w:rPr>
          <w:rFonts w:ascii="Times New Roman" w:hAnsi="Times New Roman"/>
        </w:rPr>
        <w:t>та, Европейския икономически и социален комитет, Комитета на регионите и Европейската инвестиционна банка</w:t>
      </w:r>
      <w:r>
        <w:rPr>
          <w:rFonts w:ascii="Times New Roman" w:hAnsi="Times New Roman"/>
          <w:lang w:val="bg-BG"/>
        </w:rPr>
        <w:t xml:space="preserve"> </w:t>
      </w:r>
      <w:r>
        <w:rPr>
          <w:rFonts w:ascii="Times New Roman" w:hAnsi="Times New Roman"/>
          <w:i/>
        </w:rPr>
        <w:t>Рамкова стратегия за устойчив енергиен съюз с ориентирана към бъдещето политика по въпросите на изменението на климата</w:t>
      </w:r>
      <w:r>
        <w:rPr>
          <w:rFonts w:ascii="Times New Roman" w:hAnsi="Times New Roman"/>
          <w:i/>
          <w:lang w:val="bg-BG"/>
        </w:rPr>
        <w:t xml:space="preserve"> </w:t>
      </w:r>
      <w:r>
        <w:rPr>
          <w:rFonts w:ascii="Times New Roman" w:hAnsi="Times New Roman"/>
          <w:lang w:val="bg-BG"/>
        </w:rPr>
        <w:t>(</w:t>
      </w:r>
      <w:r>
        <w:rPr>
          <w:rFonts w:ascii="Times New Roman" w:hAnsi="Times New Roman"/>
        </w:rPr>
        <w:t>COM(2015) 080 final</w:t>
      </w:r>
      <w:r>
        <w:rPr>
          <w:rFonts w:ascii="Times New Roman" w:hAnsi="Times New Roman"/>
          <w:lang w:val="bg-BG"/>
        </w:rPr>
        <w:t>)</w:t>
      </w:r>
      <w:r>
        <w:rPr>
          <w:rFonts w:ascii="Times New Roman" w:hAnsi="Times New Roman"/>
        </w:rPr>
        <w:t>, публикув</w:t>
      </w:r>
      <w:r>
        <w:rPr>
          <w:rFonts w:ascii="Times New Roman" w:hAnsi="Times New Roman"/>
        </w:rPr>
        <w:t xml:space="preserve">ано на </w:t>
      </w:r>
      <w:hyperlink r:id="rId24">
        <w:r>
          <w:rPr>
            <w:rStyle w:val="Hyperlink"/>
            <w:rFonts w:ascii="Times New Roman" w:hAnsi="Times New Roman"/>
          </w:rPr>
          <w:t>http://eur-lex.europa.eu/legal-content/BG/TXT/?qid=1465157281068&amp;uri=CELEX:52015DC0080</w:t>
        </w:r>
      </w:hyperlink>
      <w:r>
        <w:rPr>
          <w:rFonts w:ascii="Times New Roman" w:hAnsi="Times New Roman"/>
        </w:rPr>
        <w:t xml:space="preserve">. </w:t>
      </w:r>
    </w:p>
  </w:footnote>
  <w:footnote w:id="26">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AT</w:t>
      </w:r>
      <w:r>
        <w:rPr>
          <w:rFonts w:ascii="Times New Roman" w:hAnsi="Times New Roman"/>
          <w:lang w:val="bg-BG"/>
        </w:rPr>
        <w:t xml:space="preserve">.39816, </w:t>
      </w:r>
      <w:r>
        <w:rPr>
          <w:rFonts w:ascii="Times New Roman" w:hAnsi="Times New Roman"/>
          <w:i/>
          <w:lang w:val="bg-BG"/>
        </w:rPr>
        <w:t xml:space="preserve">Доставки на газ нагоре по веригата в </w:t>
      </w:r>
      <w:r>
        <w:rPr>
          <w:rFonts w:ascii="Times New Roman" w:hAnsi="Times New Roman"/>
          <w:i/>
          <w:lang w:val="bg-BG"/>
        </w:rPr>
        <w:t>Централна и Източна Европа</w:t>
      </w:r>
      <w:r>
        <w:rPr>
          <w:rFonts w:ascii="Times New Roman" w:hAnsi="Times New Roman"/>
          <w:lang w:val="bg-BG"/>
        </w:rPr>
        <w:t xml:space="preserve">, вж. </w:t>
      </w:r>
      <w:r>
        <w:rPr>
          <w:rFonts w:ascii="Times New Roman" w:hAnsi="Times New Roman"/>
        </w:rPr>
        <w:t>IP</w:t>
      </w:r>
      <w:r>
        <w:rPr>
          <w:rFonts w:ascii="Times New Roman" w:hAnsi="Times New Roman"/>
          <w:lang w:val="bg-BG"/>
        </w:rPr>
        <w:t>/15/4828 от 22 април 2015</w:t>
      </w:r>
      <w:r>
        <w:rPr>
          <w:rFonts w:ascii="Times New Roman" w:hAnsi="Times New Roman"/>
        </w:rPr>
        <w:t> </w:t>
      </w:r>
      <w:r>
        <w:rPr>
          <w:rFonts w:ascii="Times New Roman" w:hAnsi="Times New Roman"/>
          <w:lang w:val="bg-BG"/>
        </w:rPr>
        <w:t xml:space="preserve">г., публикувано на </w:t>
      </w:r>
      <w:hyperlink r:id="rId25">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-15-4828_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 xml:space="preserve">. </w:t>
      </w:r>
    </w:p>
  </w:footnote>
  <w:footnote w:id="27">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Например Решение на Комисията от 5 март 2014</w:t>
      </w:r>
      <w:r>
        <w:rPr>
          <w:rFonts w:ascii="Times New Roman" w:hAnsi="Times New Roman"/>
        </w:rPr>
        <w:t> </w:t>
      </w:r>
      <w:r>
        <w:rPr>
          <w:rFonts w:ascii="Times New Roman" w:hAnsi="Times New Roman"/>
          <w:lang w:val="bg-BG"/>
        </w:rPr>
        <w:t xml:space="preserve">г по дело </w:t>
      </w:r>
      <w:r>
        <w:rPr>
          <w:rFonts w:ascii="Times New Roman" w:hAnsi="Times New Roman"/>
        </w:rPr>
        <w:t>AT</w:t>
      </w:r>
      <w:r>
        <w:rPr>
          <w:rFonts w:ascii="Times New Roman" w:hAnsi="Times New Roman"/>
          <w:lang w:val="bg-BG"/>
        </w:rPr>
        <w:t xml:space="preserve">.39952, </w:t>
      </w:r>
      <w:r>
        <w:rPr>
          <w:rFonts w:ascii="Times New Roman" w:hAnsi="Times New Roman"/>
          <w:i/>
          <w:lang w:val="bg-BG"/>
        </w:rPr>
        <w:t>Енергийни борси</w:t>
      </w:r>
      <w:r>
        <w:rPr>
          <w:rFonts w:ascii="Times New Roman" w:hAnsi="Times New Roman"/>
          <w:lang w:val="bg-BG"/>
        </w:rPr>
        <w:t xml:space="preserve">,.вж. </w:t>
      </w:r>
      <w:r>
        <w:rPr>
          <w:rFonts w:ascii="Times New Roman" w:hAnsi="Times New Roman"/>
        </w:rPr>
        <w:t>IP</w:t>
      </w:r>
      <w:r>
        <w:rPr>
          <w:rFonts w:ascii="Times New Roman" w:hAnsi="Times New Roman"/>
          <w:lang w:val="bg-BG"/>
        </w:rPr>
        <w:t xml:space="preserve">/14/215, публикувано на </w:t>
      </w:r>
      <w:hyperlink r:id="rId26">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-14-215_</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htm</w:t>
        </w:r>
      </w:hyperlink>
      <w:r>
        <w:rPr>
          <w:rStyle w:val="Hyperlink"/>
          <w:rFonts w:ascii="Times New Roman" w:hAnsi="Times New Roman"/>
          <w:lang w:val="bg-BG"/>
        </w:rPr>
        <w:t>.</w:t>
      </w:r>
      <w:r>
        <w:rPr>
          <w:rFonts w:ascii="Times New Roman" w:hAnsi="Times New Roman"/>
          <w:lang w:val="bg-BG"/>
        </w:rPr>
        <w:t xml:space="preserve"> </w:t>
      </w:r>
    </w:p>
  </w:footnote>
  <w:footnote w:id="28">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AT</w:t>
      </w:r>
      <w:r>
        <w:rPr>
          <w:rFonts w:ascii="Times New Roman" w:hAnsi="Times New Roman"/>
          <w:lang w:val="bg-BG"/>
        </w:rPr>
        <w:t>.</w:t>
      </w:r>
      <w:r>
        <w:rPr>
          <w:rFonts w:ascii="Times New Roman" w:hAnsi="Times New Roman"/>
          <w:lang w:val="bg-BG"/>
        </w:rPr>
        <w:t xml:space="preserve">39849, </w:t>
      </w:r>
      <w:r>
        <w:rPr>
          <w:rFonts w:ascii="Times New Roman" w:hAnsi="Times New Roman"/>
          <w:i/>
          <w:lang w:val="bg-BG"/>
        </w:rPr>
        <w:t>БЕХ газ</w:t>
      </w:r>
      <w:r>
        <w:rPr>
          <w:rFonts w:ascii="Times New Roman" w:hAnsi="Times New Roman"/>
          <w:lang w:val="bg-BG"/>
        </w:rPr>
        <w:t xml:space="preserve">, вж. </w:t>
      </w:r>
      <w:r>
        <w:rPr>
          <w:rFonts w:ascii="Times New Roman" w:hAnsi="Times New Roman"/>
        </w:rPr>
        <w:t>IP</w:t>
      </w:r>
      <w:r>
        <w:rPr>
          <w:rFonts w:ascii="Times New Roman" w:hAnsi="Times New Roman"/>
          <w:lang w:val="bg-BG"/>
        </w:rPr>
        <w:t xml:space="preserve">/15/4651, публикувано на </w:t>
      </w:r>
      <w:hyperlink r:id="rId27">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-15-4651_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 xml:space="preserve">. </w:t>
      </w:r>
      <w:r>
        <w:rPr>
          <w:rFonts w:ascii="Times New Roman" w:hAnsi="Times New Roman"/>
          <w:i/>
          <w:lang w:val="bg-BG"/>
        </w:rPr>
        <w:t xml:space="preserve"> </w:t>
      </w:r>
    </w:p>
  </w:footnote>
  <w:footnote w:id="29">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AT</w:t>
      </w:r>
      <w:r>
        <w:rPr>
          <w:rFonts w:ascii="Times New Roman" w:hAnsi="Times New Roman"/>
          <w:lang w:val="bg-BG"/>
        </w:rPr>
        <w:t xml:space="preserve">. 39767, </w:t>
      </w:r>
      <w:r>
        <w:rPr>
          <w:rFonts w:ascii="Times New Roman" w:hAnsi="Times New Roman"/>
          <w:i/>
          <w:lang w:val="bg-BG"/>
        </w:rPr>
        <w:t>Електроенергия, доставяна от БЕХ</w:t>
      </w:r>
      <w:r>
        <w:rPr>
          <w:rFonts w:ascii="Times New Roman" w:hAnsi="Times New Roman"/>
          <w:lang w:val="bg-BG"/>
        </w:rPr>
        <w:t xml:space="preserve">, вж. </w:t>
      </w:r>
      <w:r>
        <w:rPr>
          <w:rFonts w:ascii="Times New Roman" w:hAnsi="Times New Roman"/>
        </w:rPr>
        <w:t>IP</w:t>
      </w:r>
      <w:r>
        <w:rPr>
          <w:rFonts w:ascii="Times New Roman" w:hAnsi="Times New Roman"/>
          <w:lang w:val="bg-BG"/>
        </w:rPr>
        <w:t xml:space="preserve">/15/6289 от 10 </w:t>
      </w:r>
      <w:r>
        <w:rPr>
          <w:rFonts w:ascii="Times New Roman" w:hAnsi="Times New Roman"/>
          <w:lang w:val="bg-BG"/>
        </w:rPr>
        <w:t>декември 2015</w:t>
      </w:r>
      <w:r>
        <w:rPr>
          <w:rFonts w:ascii="Times New Roman" w:hAnsi="Times New Roman"/>
        </w:rPr>
        <w:t> </w:t>
      </w:r>
      <w:r>
        <w:rPr>
          <w:rFonts w:ascii="Times New Roman" w:hAnsi="Times New Roman"/>
          <w:lang w:val="bg-BG"/>
        </w:rPr>
        <w:t>г., публикувано на</w:t>
      </w:r>
      <w:r>
        <w:rPr>
          <w:lang w:val="bg-BG"/>
        </w:rPr>
        <w:t xml:space="preserve"> </w:t>
      </w:r>
      <w:hyperlink r:id="rId28">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-15-6289_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 xml:space="preserve"> </w:t>
      </w:r>
    </w:p>
  </w:footnote>
  <w:footnote w:id="30">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Съобщение на Комисията</w:t>
      </w:r>
      <w:r>
        <w:rPr>
          <w:rFonts w:ascii="Times New Roman" w:hAnsi="Times New Roman"/>
          <w:i/>
          <w:lang w:val="bg-BG"/>
        </w:rPr>
        <w:t xml:space="preserve"> Насоки относно държавната помощ за опазване на околната среда и за е</w:t>
      </w:r>
      <w:r>
        <w:rPr>
          <w:rFonts w:ascii="Times New Roman" w:hAnsi="Times New Roman"/>
          <w:i/>
          <w:lang w:val="bg-BG"/>
        </w:rPr>
        <w:t>нергетика за периода 2014 — 2020</w:t>
      </w:r>
      <w:r>
        <w:rPr>
          <w:rFonts w:ascii="Times New Roman" w:hAnsi="Times New Roman"/>
          <w:i/>
        </w:rPr>
        <w:t> </w:t>
      </w:r>
      <w:r>
        <w:rPr>
          <w:rFonts w:ascii="Times New Roman" w:hAnsi="Times New Roman"/>
          <w:i/>
          <w:lang w:val="bg-BG"/>
        </w:rPr>
        <w:t>г.</w:t>
      </w:r>
      <w:r>
        <w:rPr>
          <w:rFonts w:ascii="Times New Roman" w:hAnsi="Times New Roman"/>
          <w:lang w:val="bg-BG"/>
        </w:rPr>
        <w:t xml:space="preserve"> (ОВ</w:t>
      </w:r>
      <w:r>
        <w:rPr>
          <w:rFonts w:ascii="Times New Roman" w:hAnsi="Times New Roman"/>
        </w:rPr>
        <w:t> C </w:t>
      </w:r>
      <w:r>
        <w:rPr>
          <w:rFonts w:ascii="Times New Roman" w:hAnsi="Times New Roman"/>
          <w:lang w:val="bg-BG"/>
        </w:rPr>
        <w:t>200, 28.6.2014</w:t>
      </w:r>
      <w:r>
        <w:rPr>
          <w:rFonts w:ascii="Times New Roman" w:hAnsi="Times New Roman"/>
        </w:rPr>
        <w:t> </w:t>
      </w:r>
      <w:r>
        <w:rPr>
          <w:rFonts w:ascii="Times New Roman" w:hAnsi="Times New Roman"/>
          <w:lang w:val="bg-BG"/>
        </w:rPr>
        <w:t xml:space="preserve">г.), публикувано на </w:t>
      </w:r>
      <w:hyperlink r:id="rId29">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w:t>
        </w:r>
        <w:r>
          <w:rPr>
            <w:rStyle w:val="Hyperlink"/>
            <w:rFonts w:ascii="Times New Roman" w:hAnsi="Times New Roman"/>
            <w:lang w:val="bg-BG"/>
          </w:rPr>
          <w:t>-</w:t>
        </w:r>
        <w:r>
          <w:rPr>
            <w:rStyle w:val="Hyperlink"/>
            <w:rFonts w:ascii="Times New Roman" w:hAnsi="Times New Roman"/>
          </w:rPr>
          <w:t>lex</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legal</w:t>
        </w:r>
        <w:r>
          <w:rPr>
            <w:rStyle w:val="Hyperlink"/>
            <w:rFonts w:ascii="Times New Roman" w:hAnsi="Times New Roman"/>
            <w:lang w:val="bg-BG"/>
          </w:rPr>
          <w:t>-</w:t>
        </w:r>
        <w:r>
          <w:rPr>
            <w:rStyle w:val="Hyperlink"/>
            <w:rFonts w:ascii="Times New Roman" w:hAnsi="Times New Roman"/>
          </w:rPr>
          <w:t>content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TXT</w:t>
        </w:r>
        <w:r>
          <w:rPr>
            <w:rStyle w:val="Hyperlink"/>
            <w:rFonts w:ascii="Times New Roman" w:hAnsi="Times New Roman"/>
            <w:lang w:val="bg-BG"/>
          </w:rPr>
          <w:t>/?</w:t>
        </w:r>
        <w:r>
          <w:rPr>
            <w:rStyle w:val="Hyperlink"/>
            <w:rFonts w:ascii="Times New Roman" w:hAnsi="Times New Roman"/>
          </w:rPr>
          <w:t>uri</w:t>
        </w:r>
        <w:r>
          <w:rPr>
            <w:rStyle w:val="Hyperlink"/>
            <w:rFonts w:ascii="Times New Roman" w:hAnsi="Times New Roman"/>
            <w:lang w:val="bg-BG"/>
          </w:rPr>
          <w:t>=</w:t>
        </w:r>
        <w:r>
          <w:rPr>
            <w:rStyle w:val="Hyperlink"/>
            <w:rFonts w:ascii="Times New Roman" w:hAnsi="Times New Roman"/>
          </w:rPr>
          <w:t>CELEX</w:t>
        </w:r>
        <w:r>
          <w:rPr>
            <w:rStyle w:val="Hyperlink"/>
            <w:rFonts w:ascii="Times New Roman" w:hAnsi="Times New Roman"/>
            <w:lang w:val="bg-BG"/>
          </w:rPr>
          <w:t>%3</w:t>
        </w:r>
        <w:r>
          <w:rPr>
            <w:rStyle w:val="Hyperlink"/>
            <w:rFonts w:ascii="Times New Roman" w:hAnsi="Times New Roman"/>
          </w:rPr>
          <w:t>A</w:t>
        </w:r>
        <w:r>
          <w:rPr>
            <w:rStyle w:val="Hyperlink"/>
            <w:rFonts w:ascii="Times New Roman" w:hAnsi="Times New Roman"/>
            <w:lang w:val="bg-BG"/>
          </w:rPr>
          <w:t>52014</w:t>
        </w:r>
        <w:r>
          <w:rPr>
            <w:rStyle w:val="Hyperlink"/>
            <w:rFonts w:ascii="Times New Roman" w:hAnsi="Times New Roman"/>
          </w:rPr>
          <w:t>XC</w:t>
        </w:r>
        <w:r>
          <w:rPr>
            <w:rStyle w:val="Hyperlink"/>
            <w:rFonts w:ascii="Times New Roman" w:hAnsi="Times New Roman"/>
            <w:lang w:val="bg-BG"/>
          </w:rPr>
          <w:t>0628%2801%29</w:t>
        </w:r>
      </w:hyperlink>
      <w:r>
        <w:rPr>
          <w:rFonts w:ascii="Times New Roman" w:hAnsi="Times New Roman"/>
          <w:lang w:val="bg-BG"/>
        </w:rPr>
        <w:t xml:space="preserve">. </w:t>
      </w:r>
    </w:p>
  </w:footnote>
  <w:footnote w:id="31">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M</w:t>
      </w:r>
      <w:r>
        <w:rPr>
          <w:rFonts w:ascii="Times New Roman" w:hAnsi="Times New Roman"/>
          <w:lang w:val="bg-BG"/>
        </w:rPr>
        <w:t xml:space="preserve">.7278, </w:t>
      </w:r>
      <w:r>
        <w:rPr>
          <w:rFonts w:ascii="Times New Roman" w:hAnsi="Times New Roman"/>
          <w:i/>
        </w:rPr>
        <w:t>General</w:t>
      </w:r>
      <w:r>
        <w:rPr>
          <w:rFonts w:ascii="Times New Roman" w:hAnsi="Times New Roman"/>
          <w:i/>
          <w:lang w:val="bg-BG"/>
        </w:rPr>
        <w:t xml:space="preserve"> </w:t>
      </w:r>
      <w:r>
        <w:rPr>
          <w:rFonts w:ascii="Times New Roman" w:hAnsi="Times New Roman"/>
          <w:i/>
        </w:rPr>
        <w:t>Electric</w:t>
      </w:r>
      <w:r>
        <w:rPr>
          <w:rFonts w:ascii="Times New Roman" w:hAnsi="Times New Roman"/>
          <w:i/>
          <w:lang w:val="bg-BG"/>
        </w:rPr>
        <w:t>/</w:t>
      </w:r>
      <w:r>
        <w:rPr>
          <w:rFonts w:ascii="Times New Roman" w:hAnsi="Times New Roman"/>
          <w:i/>
        </w:rPr>
        <w:t>Alstom</w:t>
      </w:r>
      <w:r>
        <w:rPr>
          <w:rFonts w:ascii="Times New Roman" w:hAnsi="Times New Roman"/>
          <w:i/>
          <w:lang w:val="bg-BG"/>
        </w:rPr>
        <w:t xml:space="preserve"> (Топлинна енергия — предприятие за енергия от възобновяеми източници и преносна мрежа)</w:t>
      </w:r>
      <w:r>
        <w:rPr>
          <w:rFonts w:ascii="Times New Roman" w:hAnsi="Times New Roman"/>
          <w:lang w:val="bg-BG"/>
        </w:rPr>
        <w:t>, решение на Комисията от 8 септември 2015</w:t>
      </w:r>
      <w:r>
        <w:rPr>
          <w:rFonts w:ascii="Times New Roman" w:hAnsi="Times New Roman"/>
        </w:rPr>
        <w:t> </w:t>
      </w:r>
      <w:r>
        <w:rPr>
          <w:rFonts w:ascii="Times New Roman" w:hAnsi="Times New Roman"/>
          <w:lang w:val="bg-BG"/>
        </w:rPr>
        <w:t xml:space="preserve">г., публикувано на </w:t>
      </w:r>
      <w:hyperlink r:id="rId30">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index</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fuseaction</w:t>
        </w:r>
        <w:r>
          <w:rPr>
            <w:rStyle w:val="Hyperlink"/>
            <w:rFonts w:ascii="Times New Roman" w:hAnsi="Times New Roman"/>
            <w:lang w:val="bg-BG"/>
          </w:rPr>
          <w:t>=</w:t>
        </w:r>
        <w:r>
          <w:rPr>
            <w:rStyle w:val="Hyperlink"/>
            <w:rFonts w:ascii="Times New Roman" w:hAnsi="Times New Roman"/>
          </w:rPr>
          <w:t>dsp</w:t>
        </w:r>
        <w:r>
          <w:rPr>
            <w:rStyle w:val="Hyperlink"/>
            <w:rFonts w:ascii="Times New Roman" w:hAnsi="Times New Roman"/>
            <w:lang w:val="bg-BG"/>
          </w:rPr>
          <w:t>_</w:t>
        </w:r>
        <w:r>
          <w:rPr>
            <w:rStyle w:val="Hyperlink"/>
            <w:rFonts w:ascii="Times New Roman" w:hAnsi="Times New Roman"/>
          </w:rPr>
          <w:t>result</w:t>
        </w:r>
      </w:hyperlink>
      <w:r>
        <w:rPr>
          <w:rFonts w:ascii="Times New Roman" w:hAnsi="Times New Roman"/>
          <w:lang w:val="bg-BG"/>
        </w:rPr>
        <w:t xml:space="preserve">.  </w:t>
      </w:r>
    </w:p>
  </w:footnote>
  <w:footnote w:id="32">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w:t>
      </w:r>
      <w:r>
        <w:rPr>
          <w:rFonts w:ascii="Times New Roman" w:hAnsi="Times New Roman"/>
        </w:rPr>
        <w:t>IP</w:t>
      </w:r>
      <w:r>
        <w:rPr>
          <w:rFonts w:ascii="Times New Roman" w:hAnsi="Times New Roman"/>
          <w:lang w:val="bg-BG"/>
        </w:rPr>
        <w:t>/15/4610 от 18 март 2015</w:t>
      </w:r>
      <w:r>
        <w:rPr>
          <w:rFonts w:ascii="Times New Roman" w:hAnsi="Times New Roman"/>
        </w:rPr>
        <w:t> </w:t>
      </w:r>
      <w:r>
        <w:rPr>
          <w:rFonts w:ascii="Times New Roman" w:hAnsi="Times New Roman"/>
          <w:lang w:val="bg-BG"/>
        </w:rPr>
        <w:t xml:space="preserve">г., публикувано на </w:t>
      </w:r>
      <w:hyperlink r:id="rId31">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-15-4610_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w:t>
      </w:r>
    </w:p>
  </w:footnote>
  <w:footnote w:id="33">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w:t>
      </w:r>
      <w:r>
        <w:rPr>
          <w:rFonts w:ascii="Times New Roman" w:hAnsi="Times New Roman"/>
        </w:rPr>
        <w:t>IP</w:t>
      </w:r>
      <w:r>
        <w:rPr>
          <w:rFonts w:ascii="Times New Roman" w:hAnsi="Times New Roman"/>
          <w:lang w:val="bg-BG"/>
        </w:rPr>
        <w:t>/15/5188 от 17 юни 2015</w:t>
      </w:r>
      <w:r>
        <w:rPr>
          <w:rFonts w:ascii="Times New Roman" w:hAnsi="Times New Roman"/>
        </w:rPr>
        <w:t> </w:t>
      </w:r>
      <w:r>
        <w:rPr>
          <w:rFonts w:ascii="Times New Roman" w:hAnsi="Times New Roman"/>
          <w:lang w:val="bg-BG"/>
        </w:rPr>
        <w:t xml:space="preserve">г., публикувано на </w:t>
      </w:r>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-15-5188_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r>
        <w:rPr>
          <w:rStyle w:val="Hyperlink"/>
          <w:rFonts w:ascii="Times New Roman" w:hAnsi="Times New Roman"/>
          <w:lang w:val="bg-BG"/>
        </w:rPr>
        <w:t>.</w:t>
      </w:r>
    </w:p>
  </w:footnote>
  <w:footnote w:id="34">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Решение на Комисията от 21 октомври 2015</w:t>
      </w:r>
      <w:r>
        <w:rPr>
          <w:rFonts w:ascii="Times New Roman" w:hAnsi="Times New Roman"/>
        </w:rPr>
        <w:t> </w:t>
      </w:r>
      <w:r>
        <w:rPr>
          <w:rFonts w:ascii="Times New Roman" w:hAnsi="Times New Roman"/>
          <w:lang w:val="bg-BG"/>
        </w:rPr>
        <w:t xml:space="preserve">г. по дело </w:t>
      </w:r>
      <w:r>
        <w:rPr>
          <w:rFonts w:ascii="Times New Roman" w:hAnsi="Times New Roman"/>
        </w:rPr>
        <w:t>SA</w:t>
      </w:r>
      <w:r>
        <w:rPr>
          <w:rFonts w:ascii="Times New Roman" w:hAnsi="Times New Roman"/>
          <w:lang w:val="bg-BG"/>
        </w:rPr>
        <w:t>.38375 (2014/</w:t>
      </w:r>
      <w:r>
        <w:rPr>
          <w:rFonts w:ascii="Times New Roman" w:hAnsi="Times New Roman"/>
        </w:rPr>
        <w:t>C</w:t>
      </w:r>
      <w:r>
        <w:rPr>
          <w:rFonts w:ascii="Times New Roman" w:hAnsi="Times New Roman"/>
          <w:lang w:val="bg-BG"/>
        </w:rPr>
        <w:t>) (</w:t>
      </w:r>
      <w:r>
        <w:rPr>
          <w:rFonts w:ascii="Times New Roman" w:hAnsi="Times New Roman"/>
        </w:rPr>
        <w:t>ex</w:t>
      </w:r>
      <w:r>
        <w:rPr>
          <w:rFonts w:ascii="Times New Roman" w:hAnsi="Times New Roman"/>
          <w:lang w:val="bg-BG"/>
        </w:rPr>
        <w:t xml:space="preserve"> 2014/</w:t>
      </w:r>
      <w:r>
        <w:rPr>
          <w:rFonts w:ascii="Times New Roman" w:hAnsi="Times New Roman"/>
        </w:rPr>
        <w:t>NN</w:t>
      </w:r>
      <w:r>
        <w:rPr>
          <w:rFonts w:ascii="Times New Roman" w:hAnsi="Times New Roman"/>
          <w:lang w:val="bg-BG"/>
        </w:rPr>
        <w:t xml:space="preserve">) — </w:t>
      </w:r>
      <w:r>
        <w:rPr>
          <w:rFonts w:ascii="Times New Roman" w:hAnsi="Times New Roman"/>
          <w:i/>
          <w:lang w:val="bg-BG"/>
        </w:rPr>
        <w:t xml:space="preserve">Предполагаема помощ за </w:t>
      </w:r>
      <w:r>
        <w:rPr>
          <w:rFonts w:ascii="Times New Roman" w:hAnsi="Times New Roman"/>
          <w:i/>
        </w:rPr>
        <w:t>FFT</w:t>
      </w:r>
      <w:r>
        <w:rPr>
          <w:rFonts w:ascii="Times New Roman" w:hAnsi="Times New Roman"/>
          <w:i/>
          <w:lang w:val="bg-BG"/>
        </w:rPr>
        <w:t xml:space="preserve"> — Люксембург</w:t>
      </w:r>
      <w:r>
        <w:rPr>
          <w:rFonts w:ascii="Times New Roman" w:hAnsi="Times New Roman"/>
          <w:lang w:val="bg-BG"/>
        </w:rPr>
        <w:t xml:space="preserve">, публикувано на </w:t>
      </w:r>
      <w:hyperlink r:id="rId32">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w:t>
        </w:r>
        <w:r>
          <w:rPr>
            <w:rStyle w:val="Hyperlink"/>
            <w:rFonts w:ascii="Times New Roman" w:hAnsi="Times New Roman"/>
          </w:rPr>
          <w:t>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=3_</w:t>
        </w:r>
        <w:r>
          <w:rPr>
            <w:rStyle w:val="Hyperlink"/>
            <w:rFonts w:ascii="Times New Roman" w:hAnsi="Times New Roman"/>
          </w:rPr>
          <w:t>SA</w:t>
        </w:r>
        <w:r>
          <w:rPr>
            <w:rStyle w:val="Hyperlink"/>
            <w:rFonts w:ascii="Times New Roman" w:hAnsi="Times New Roman"/>
            <w:lang w:val="bg-BG"/>
          </w:rPr>
          <w:t>_38375</w:t>
        </w:r>
      </w:hyperlink>
      <w:r>
        <w:rPr>
          <w:rFonts w:ascii="Times New Roman" w:hAnsi="Times New Roman"/>
          <w:lang w:val="bg-BG"/>
        </w:rPr>
        <w:t xml:space="preserve">. </w:t>
      </w:r>
    </w:p>
  </w:footnote>
  <w:footnote w:id="35">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Решение на Комисията от 21 октомври 2015</w:t>
      </w:r>
      <w:r>
        <w:rPr>
          <w:rFonts w:ascii="Times New Roman" w:hAnsi="Times New Roman"/>
        </w:rPr>
        <w:t> </w:t>
      </w:r>
      <w:r>
        <w:rPr>
          <w:rFonts w:ascii="Times New Roman" w:hAnsi="Times New Roman"/>
          <w:lang w:val="bg-BG"/>
        </w:rPr>
        <w:t xml:space="preserve">г. по дело </w:t>
      </w:r>
      <w:r>
        <w:rPr>
          <w:rFonts w:ascii="Times New Roman" w:hAnsi="Times New Roman"/>
        </w:rPr>
        <w:t>SA</w:t>
      </w:r>
      <w:r>
        <w:rPr>
          <w:rFonts w:ascii="Times New Roman" w:hAnsi="Times New Roman"/>
          <w:lang w:val="bg-BG"/>
        </w:rPr>
        <w:t>.38374 (2014/</w:t>
      </w:r>
      <w:r>
        <w:rPr>
          <w:rFonts w:ascii="Times New Roman" w:hAnsi="Times New Roman"/>
        </w:rPr>
        <w:t>C</w:t>
      </w:r>
      <w:r>
        <w:rPr>
          <w:rFonts w:ascii="Times New Roman" w:hAnsi="Times New Roman"/>
          <w:lang w:val="bg-BG"/>
        </w:rPr>
        <w:t>) (</w:t>
      </w:r>
      <w:r>
        <w:rPr>
          <w:rFonts w:ascii="Times New Roman" w:hAnsi="Times New Roman"/>
        </w:rPr>
        <w:t>ex</w:t>
      </w:r>
      <w:r>
        <w:rPr>
          <w:rFonts w:ascii="Times New Roman" w:hAnsi="Times New Roman"/>
          <w:lang w:val="bg-BG"/>
        </w:rPr>
        <w:t xml:space="preserve"> 2014/</w:t>
      </w:r>
      <w:r>
        <w:rPr>
          <w:rFonts w:ascii="Times New Roman" w:hAnsi="Times New Roman"/>
        </w:rPr>
        <w:t>NN</w:t>
      </w:r>
      <w:r>
        <w:rPr>
          <w:rFonts w:ascii="Times New Roman" w:hAnsi="Times New Roman"/>
          <w:lang w:val="bg-BG"/>
        </w:rPr>
        <w:t>) (</w:t>
      </w:r>
      <w:r>
        <w:rPr>
          <w:rFonts w:ascii="Times New Roman" w:hAnsi="Times New Roman"/>
        </w:rPr>
        <w:t>ex</w:t>
      </w:r>
      <w:r>
        <w:rPr>
          <w:rFonts w:ascii="Times New Roman" w:hAnsi="Times New Roman"/>
          <w:lang w:val="bg-BG"/>
        </w:rPr>
        <w:t xml:space="preserve"> 2014/</w:t>
      </w:r>
      <w:r>
        <w:rPr>
          <w:rFonts w:ascii="Times New Roman" w:hAnsi="Times New Roman"/>
        </w:rPr>
        <w:t>CP</w:t>
      </w:r>
      <w:r>
        <w:rPr>
          <w:rFonts w:ascii="Times New Roman" w:hAnsi="Times New Roman"/>
          <w:lang w:val="bg-BG"/>
        </w:rPr>
        <w:t xml:space="preserve">), </w:t>
      </w:r>
      <w:r>
        <w:rPr>
          <w:rFonts w:ascii="Times New Roman" w:hAnsi="Times New Roman"/>
          <w:i/>
          <w:lang w:val="bg-BG"/>
        </w:rPr>
        <w:t xml:space="preserve">Предполагаема помощ за </w:t>
      </w:r>
      <w:r>
        <w:rPr>
          <w:rFonts w:ascii="Times New Roman" w:hAnsi="Times New Roman"/>
          <w:i/>
        </w:rPr>
        <w:t>Starbucks</w:t>
      </w:r>
      <w:r>
        <w:rPr>
          <w:rFonts w:ascii="Times New Roman" w:hAnsi="Times New Roman"/>
          <w:lang w:val="bg-BG"/>
        </w:rPr>
        <w:t xml:space="preserve">, публикувано на </w:t>
      </w:r>
      <w:hyperlink r:id="rId33">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=3_</w:t>
        </w:r>
        <w:r>
          <w:rPr>
            <w:rStyle w:val="Hyperlink"/>
            <w:rFonts w:ascii="Times New Roman" w:hAnsi="Times New Roman"/>
          </w:rPr>
          <w:t>SA</w:t>
        </w:r>
        <w:r>
          <w:rPr>
            <w:rStyle w:val="Hyperlink"/>
            <w:rFonts w:ascii="Times New Roman" w:hAnsi="Times New Roman"/>
            <w:lang w:val="bg-BG"/>
          </w:rPr>
          <w:t>_38374</w:t>
        </w:r>
      </w:hyperlink>
      <w:r>
        <w:rPr>
          <w:rFonts w:ascii="Times New Roman" w:hAnsi="Times New Roman"/>
          <w:lang w:val="bg-BG"/>
        </w:rPr>
        <w:t xml:space="preserve">. </w:t>
      </w:r>
    </w:p>
  </w:footnote>
  <w:footnote w:id="36">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w:t>
      </w:r>
      <w:r>
        <w:rPr>
          <w:rFonts w:ascii="Times New Roman" w:hAnsi="Times New Roman"/>
        </w:rPr>
        <w:t>IP</w:t>
      </w:r>
      <w:r>
        <w:rPr>
          <w:rFonts w:ascii="Times New Roman" w:hAnsi="Times New Roman"/>
          <w:lang w:val="bg-BG"/>
        </w:rPr>
        <w:t>/15/5880 от 21 октомври 2015</w:t>
      </w:r>
      <w:r>
        <w:rPr>
          <w:rFonts w:ascii="Times New Roman" w:hAnsi="Times New Roman"/>
        </w:rPr>
        <w:t> </w:t>
      </w:r>
      <w:r>
        <w:rPr>
          <w:rFonts w:ascii="Times New Roman" w:hAnsi="Times New Roman"/>
          <w:lang w:val="bg-BG"/>
        </w:rPr>
        <w:t xml:space="preserve">г., публикувано на </w:t>
      </w:r>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w:t>
      </w:r>
      <w:r>
        <w:rPr>
          <w:rStyle w:val="Hyperlink"/>
          <w:rFonts w:ascii="Times New Roman" w:hAnsi="Times New Roman"/>
        </w:rPr>
        <w:t>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-15-5880_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r>
        <w:rPr>
          <w:rStyle w:val="Hyperlink"/>
          <w:rFonts w:ascii="Times New Roman" w:hAnsi="Times New Roman"/>
          <w:lang w:val="bg-BG"/>
        </w:rPr>
        <w:t>.</w:t>
      </w:r>
    </w:p>
  </w:footnote>
  <w:footnote w:id="37">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Държавна помощ </w:t>
      </w:r>
      <w:r>
        <w:rPr>
          <w:rFonts w:ascii="Times New Roman" w:hAnsi="Times New Roman"/>
        </w:rPr>
        <w:t>SA</w:t>
      </w:r>
      <w:r>
        <w:rPr>
          <w:rFonts w:ascii="Times New Roman" w:hAnsi="Times New Roman"/>
          <w:lang w:val="bg-BG"/>
        </w:rPr>
        <w:t xml:space="preserve">.38945, </w:t>
      </w:r>
      <w:r>
        <w:rPr>
          <w:rFonts w:ascii="Times New Roman" w:hAnsi="Times New Roman"/>
          <w:i/>
          <w:lang w:val="bg-BG"/>
        </w:rPr>
        <w:t xml:space="preserve">Предполагаема помощ за </w:t>
      </w:r>
      <w:r>
        <w:rPr>
          <w:rFonts w:ascii="Times New Roman" w:hAnsi="Times New Roman"/>
          <w:i/>
        </w:rPr>
        <w:t>Mc</w:t>
      </w:r>
      <w:r>
        <w:rPr>
          <w:rFonts w:ascii="Times New Roman" w:hAnsi="Times New Roman"/>
          <w:i/>
          <w:lang w:val="bg-BG"/>
        </w:rPr>
        <w:t xml:space="preserve"> </w:t>
      </w:r>
      <w:r>
        <w:rPr>
          <w:rFonts w:ascii="Times New Roman" w:hAnsi="Times New Roman"/>
          <w:i/>
        </w:rPr>
        <w:t>Donald</w:t>
      </w:r>
      <w:r>
        <w:rPr>
          <w:rFonts w:ascii="Times New Roman" w:hAnsi="Times New Roman"/>
          <w:i/>
          <w:lang w:val="bg-BG"/>
        </w:rPr>
        <w:t>'</w:t>
      </w:r>
      <w:r>
        <w:rPr>
          <w:rFonts w:ascii="Times New Roman" w:hAnsi="Times New Roman"/>
          <w:i/>
        </w:rPr>
        <w:t>s</w:t>
      </w:r>
      <w:r>
        <w:rPr>
          <w:rFonts w:ascii="Times New Roman" w:hAnsi="Times New Roman"/>
          <w:i/>
          <w:lang w:val="bg-BG"/>
        </w:rPr>
        <w:t xml:space="preserve"> — Люксембург</w:t>
      </w:r>
      <w:r>
        <w:rPr>
          <w:rFonts w:ascii="Times New Roman" w:hAnsi="Times New Roman"/>
          <w:lang w:val="bg-BG"/>
        </w:rPr>
        <w:t>, Решение на Комисията за откриване на официална процедура по разследване от 3 декември 2015</w:t>
      </w:r>
      <w:r>
        <w:rPr>
          <w:rFonts w:ascii="Times New Roman" w:hAnsi="Times New Roman"/>
        </w:rPr>
        <w:t> </w:t>
      </w:r>
      <w:r>
        <w:rPr>
          <w:rFonts w:ascii="Times New Roman" w:hAnsi="Times New Roman"/>
          <w:lang w:val="bg-BG"/>
        </w:rPr>
        <w:t xml:space="preserve">г., вж. </w:t>
      </w:r>
      <w:r>
        <w:rPr>
          <w:rFonts w:ascii="Times New Roman" w:hAnsi="Times New Roman"/>
        </w:rPr>
        <w:t>IP</w:t>
      </w:r>
      <w:r>
        <w:rPr>
          <w:rFonts w:ascii="Times New Roman" w:hAnsi="Times New Roman"/>
          <w:lang w:val="bg-BG"/>
        </w:rPr>
        <w:t xml:space="preserve">/15/6221, публикувано на </w:t>
      </w:r>
      <w:hyperlink r:id="rId34">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-15-6221_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 xml:space="preserve">. </w:t>
      </w:r>
    </w:p>
  </w:footnote>
  <w:footnote w:id="38">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Държавна помощ </w:t>
      </w:r>
      <w:r>
        <w:rPr>
          <w:rFonts w:ascii="Times New Roman" w:hAnsi="Times New Roman"/>
        </w:rPr>
        <w:t>SA</w:t>
      </w:r>
      <w:r>
        <w:rPr>
          <w:rFonts w:ascii="Times New Roman" w:hAnsi="Times New Roman"/>
          <w:lang w:val="bg-BG"/>
        </w:rPr>
        <w:t>.38373 (2014/</w:t>
      </w:r>
      <w:r>
        <w:rPr>
          <w:rFonts w:ascii="Times New Roman" w:hAnsi="Times New Roman"/>
        </w:rPr>
        <w:t>C</w:t>
      </w:r>
      <w:r>
        <w:rPr>
          <w:rFonts w:ascii="Times New Roman" w:hAnsi="Times New Roman"/>
          <w:lang w:val="bg-BG"/>
        </w:rPr>
        <w:t>) (</w:t>
      </w:r>
      <w:r>
        <w:rPr>
          <w:rFonts w:ascii="Times New Roman" w:hAnsi="Times New Roman"/>
        </w:rPr>
        <w:t>ex</w:t>
      </w:r>
      <w:r>
        <w:rPr>
          <w:rFonts w:ascii="Times New Roman" w:hAnsi="Times New Roman"/>
          <w:lang w:val="bg-BG"/>
        </w:rPr>
        <w:t xml:space="preserve"> 2014/</w:t>
      </w:r>
      <w:r>
        <w:rPr>
          <w:rFonts w:ascii="Times New Roman" w:hAnsi="Times New Roman"/>
        </w:rPr>
        <w:t>NN</w:t>
      </w:r>
      <w:r>
        <w:rPr>
          <w:rFonts w:ascii="Times New Roman" w:hAnsi="Times New Roman"/>
          <w:lang w:val="bg-BG"/>
        </w:rPr>
        <w:t xml:space="preserve">) – </w:t>
      </w:r>
      <w:r>
        <w:rPr>
          <w:rFonts w:ascii="Times New Roman" w:hAnsi="Times New Roman"/>
          <w:i/>
          <w:lang w:val="bg-BG"/>
        </w:rPr>
        <w:t xml:space="preserve">Предполагаема помощ за </w:t>
      </w:r>
      <w:r>
        <w:rPr>
          <w:rFonts w:ascii="Times New Roman" w:hAnsi="Times New Roman"/>
          <w:i/>
        </w:rPr>
        <w:t>Apple</w:t>
      </w:r>
      <w:r>
        <w:rPr>
          <w:rFonts w:ascii="Times New Roman" w:hAnsi="Times New Roman"/>
          <w:i/>
          <w:lang w:val="bg-BG"/>
        </w:rPr>
        <w:t xml:space="preserve">, </w:t>
      </w:r>
      <w:r>
        <w:rPr>
          <w:rFonts w:ascii="Times New Roman" w:hAnsi="Times New Roman"/>
          <w:lang w:val="bg-BG"/>
        </w:rPr>
        <w:t xml:space="preserve">публикувано на </w:t>
      </w:r>
      <w:hyperlink r:id="rId35">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=3_</w:t>
        </w:r>
        <w:r>
          <w:rPr>
            <w:rStyle w:val="Hyperlink"/>
            <w:rFonts w:ascii="Times New Roman" w:hAnsi="Times New Roman"/>
          </w:rPr>
          <w:t>SA</w:t>
        </w:r>
        <w:r>
          <w:rPr>
            <w:rStyle w:val="Hyperlink"/>
            <w:rFonts w:ascii="Times New Roman" w:hAnsi="Times New Roman"/>
            <w:lang w:val="bg-BG"/>
          </w:rPr>
          <w:t>_38373</w:t>
        </w:r>
      </w:hyperlink>
      <w:r>
        <w:rPr>
          <w:rFonts w:ascii="Times New Roman" w:hAnsi="Times New Roman"/>
          <w:i/>
          <w:lang w:val="bg-BG"/>
        </w:rPr>
        <w:t xml:space="preserve">. </w:t>
      </w:r>
    </w:p>
  </w:footnote>
  <w:footnote w:id="39">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Държавна помощ </w:t>
      </w:r>
      <w:r>
        <w:rPr>
          <w:rFonts w:ascii="Times New Roman" w:hAnsi="Times New Roman"/>
        </w:rPr>
        <w:t>SA</w:t>
      </w:r>
      <w:r>
        <w:rPr>
          <w:rFonts w:ascii="Times New Roman" w:hAnsi="Times New Roman"/>
          <w:lang w:val="bg-BG"/>
        </w:rPr>
        <w:t>.38944 (2014/</w:t>
      </w:r>
      <w:r>
        <w:rPr>
          <w:rFonts w:ascii="Times New Roman" w:hAnsi="Times New Roman"/>
        </w:rPr>
        <w:t>C</w:t>
      </w:r>
      <w:r>
        <w:rPr>
          <w:rFonts w:ascii="Times New Roman" w:hAnsi="Times New Roman"/>
          <w:lang w:val="bg-BG"/>
        </w:rPr>
        <w:t>) (2014/</w:t>
      </w:r>
      <w:r>
        <w:rPr>
          <w:rFonts w:ascii="Times New Roman" w:hAnsi="Times New Roman"/>
        </w:rPr>
        <w:t>NN</w:t>
      </w:r>
      <w:r>
        <w:rPr>
          <w:rFonts w:ascii="Times New Roman" w:hAnsi="Times New Roman"/>
          <w:lang w:val="bg-BG"/>
        </w:rPr>
        <w:t>) —</w:t>
      </w:r>
      <w:r>
        <w:rPr>
          <w:rFonts w:ascii="Times New Roman" w:hAnsi="Times New Roman"/>
          <w:i/>
          <w:lang w:val="bg-BG"/>
        </w:rPr>
        <w:t xml:space="preserve"> Предполагаема помощ за </w:t>
      </w:r>
      <w:r>
        <w:rPr>
          <w:rFonts w:ascii="Times New Roman" w:hAnsi="Times New Roman"/>
          <w:i/>
        </w:rPr>
        <w:t>Amazon</w:t>
      </w:r>
      <w:r>
        <w:rPr>
          <w:rFonts w:ascii="Times New Roman" w:hAnsi="Times New Roman"/>
          <w:lang w:val="bg-BG"/>
        </w:rPr>
        <w:t xml:space="preserve">, публикувано на </w:t>
      </w:r>
      <w:hyperlink r:id="rId36">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=3_</w:t>
        </w:r>
        <w:r>
          <w:rPr>
            <w:rStyle w:val="Hyperlink"/>
            <w:rFonts w:ascii="Times New Roman" w:hAnsi="Times New Roman"/>
          </w:rPr>
          <w:t>SA</w:t>
        </w:r>
        <w:r>
          <w:rPr>
            <w:rStyle w:val="Hyperlink"/>
            <w:rFonts w:ascii="Times New Roman" w:hAnsi="Times New Roman"/>
            <w:lang w:val="bg-BG"/>
          </w:rPr>
          <w:t>_38944</w:t>
        </w:r>
      </w:hyperlink>
      <w:r>
        <w:rPr>
          <w:rFonts w:ascii="Times New Roman" w:hAnsi="Times New Roman"/>
          <w:lang w:val="bg-BG"/>
        </w:rPr>
        <w:t xml:space="preserve">. </w:t>
      </w:r>
    </w:p>
  </w:footnote>
  <w:footnote w:id="40">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Държавна помощ </w:t>
      </w:r>
      <w:r>
        <w:rPr>
          <w:rFonts w:ascii="Times New Roman" w:hAnsi="Times New Roman"/>
        </w:rPr>
        <w:t>SA</w:t>
      </w:r>
      <w:r>
        <w:rPr>
          <w:rFonts w:ascii="Times New Roman" w:hAnsi="Times New Roman"/>
          <w:lang w:val="bg-BG"/>
        </w:rPr>
        <w:t xml:space="preserve">.37667 — </w:t>
      </w:r>
      <w:r>
        <w:rPr>
          <w:rFonts w:ascii="Times New Roman" w:hAnsi="Times New Roman"/>
          <w:i/>
          <w:lang w:val="bg-BG"/>
        </w:rPr>
        <w:t>Схема за помощ чрез освобождаване на свръхп</w:t>
      </w:r>
      <w:r>
        <w:rPr>
          <w:rFonts w:ascii="Times New Roman" w:hAnsi="Times New Roman"/>
          <w:i/>
          <w:lang w:val="bg-BG"/>
        </w:rPr>
        <w:t>ечалбата в Белгия</w:t>
      </w:r>
      <w:r>
        <w:rPr>
          <w:rFonts w:ascii="Times New Roman" w:hAnsi="Times New Roman"/>
          <w:lang w:val="bg-BG"/>
        </w:rPr>
        <w:t>, Решение на Комисията за откриване на официална процедура по разследване от 3 февруари 2015</w:t>
      </w:r>
      <w:r>
        <w:rPr>
          <w:rFonts w:ascii="Times New Roman" w:hAnsi="Times New Roman"/>
        </w:rPr>
        <w:t> </w:t>
      </w:r>
      <w:r>
        <w:rPr>
          <w:rFonts w:ascii="Times New Roman" w:hAnsi="Times New Roman"/>
          <w:lang w:val="bg-BG"/>
        </w:rPr>
        <w:t xml:space="preserve">г., вж. </w:t>
      </w:r>
      <w:r>
        <w:rPr>
          <w:rFonts w:ascii="Times New Roman" w:hAnsi="Times New Roman"/>
        </w:rPr>
        <w:t>IP</w:t>
      </w:r>
      <w:r>
        <w:rPr>
          <w:rFonts w:ascii="Times New Roman" w:hAnsi="Times New Roman"/>
          <w:lang w:val="bg-BG"/>
        </w:rPr>
        <w:t xml:space="preserve">/15/4080, публикувано на </w:t>
      </w:r>
      <w:hyperlink r:id="rId37">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-15-4080_</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 xml:space="preserve">. </w:t>
      </w:r>
    </w:p>
  </w:footnote>
  <w:footnote w:id="41">
    <w:p w:rsidR="00BA319C" w:rsidRDefault="008D6BD5">
      <w:pPr>
        <w:pStyle w:val="FootnoteText"/>
        <w:tabs>
          <w:tab w:val="right" w:pos="9072"/>
        </w:tabs>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w:t>
      </w:r>
      <w:r>
        <w:rPr>
          <w:rFonts w:ascii="Times New Roman" w:hAnsi="Times New Roman"/>
        </w:rPr>
        <w:t>IP</w:t>
      </w:r>
      <w:r>
        <w:rPr>
          <w:rFonts w:ascii="Times New Roman" w:hAnsi="Times New Roman"/>
          <w:lang w:val="bg-BG"/>
        </w:rPr>
        <w:t>/16/42 от 11 януари 2016</w:t>
      </w:r>
      <w:r>
        <w:rPr>
          <w:rFonts w:ascii="Times New Roman" w:hAnsi="Times New Roman"/>
        </w:rPr>
        <w:t> </w:t>
      </w:r>
      <w:r>
        <w:rPr>
          <w:rFonts w:ascii="Times New Roman" w:hAnsi="Times New Roman"/>
          <w:lang w:val="bg-BG"/>
        </w:rPr>
        <w:t xml:space="preserve">г., публикувано на </w:t>
      </w:r>
      <w:hyperlink r:id="rId38">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-16-42_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w:t>
      </w:r>
    </w:p>
  </w:footnote>
  <w:footnote w:id="42">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w:t>
      </w:r>
      <w:r>
        <w:rPr>
          <w:rFonts w:ascii="Times New Roman" w:hAnsi="Times New Roman"/>
        </w:rPr>
        <w:t>IP</w:t>
      </w:r>
      <w:r>
        <w:rPr>
          <w:rFonts w:ascii="Times New Roman" w:hAnsi="Times New Roman"/>
          <w:lang w:val="bg-BG"/>
        </w:rPr>
        <w:t>/14/2742 от 17</w:t>
      </w:r>
      <w:r>
        <w:rPr>
          <w:rFonts w:ascii="Times New Roman" w:hAnsi="Times New Roman"/>
        </w:rPr>
        <w:t> </w:t>
      </w:r>
      <w:r>
        <w:rPr>
          <w:rFonts w:ascii="Times New Roman" w:hAnsi="Times New Roman"/>
          <w:lang w:val="bg-BG"/>
        </w:rPr>
        <w:t>декември</w:t>
      </w:r>
      <w:r>
        <w:rPr>
          <w:rFonts w:ascii="Times New Roman" w:hAnsi="Times New Roman"/>
        </w:rPr>
        <w:t> </w:t>
      </w:r>
      <w:r>
        <w:rPr>
          <w:rFonts w:ascii="Times New Roman" w:hAnsi="Times New Roman"/>
          <w:lang w:val="bg-BG"/>
        </w:rPr>
        <w:t>2014</w:t>
      </w:r>
      <w:r>
        <w:rPr>
          <w:rFonts w:ascii="Times New Roman" w:hAnsi="Times New Roman"/>
        </w:rPr>
        <w:t> </w:t>
      </w:r>
      <w:r>
        <w:rPr>
          <w:rFonts w:ascii="Times New Roman" w:hAnsi="Times New Roman"/>
          <w:lang w:val="bg-BG"/>
        </w:rPr>
        <w:t xml:space="preserve">г., публикувано на </w:t>
      </w:r>
      <w:hyperlink r:id="rId39">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-14-2742_</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w:t>
      </w:r>
    </w:p>
  </w:footnote>
  <w:footnote w:id="43">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Регламент</w:t>
      </w:r>
      <w:r>
        <w:rPr>
          <w:rFonts w:ascii="Times New Roman" w:hAnsi="Times New Roman"/>
        </w:rPr>
        <w:t> </w:t>
      </w:r>
      <w:r>
        <w:rPr>
          <w:rFonts w:ascii="Times New Roman" w:hAnsi="Times New Roman"/>
          <w:lang w:val="bg-BG"/>
        </w:rPr>
        <w:t>(ЕО)</w:t>
      </w:r>
      <w:r>
        <w:rPr>
          <w:rFonts w:ascii="Times New Roman" w:hAnsi="Times New Roman"/>
        </w:rPr>
        <w:t> </w:t>
      </w:r>
      <w:r>
        <w:rPr>
          <w:rFonts w:ascii="Times New Roman" w:hAnsi="Times New Roman"/>
          <w:lang w:val="bg-BG"/>
        </w:rPr>
        <w:t>№</w:t>
      </w:r>
      <w:r>
        <w:rPr>
          <w:rFonts w:ascii="Times New Roman" w:hAnsi="Times New Roman"/>
        </w:rPr>
        <w:t> </w:t>
      </w:r>
      <w:r>
        <w:rPr>
          <w:rFonts w:ascii="Times New Roman" w:hAnsi="Times New Roman"/>
          <w:lang w:val="bg-BG"/>
        </w:rPr>
        <w:t>1/2003 на Съвета от 16 декември 2002</w:t>
      </w:r>
      <w:r>
        <w:rPr>
          <w:rFonts w:ascii="Times New Roman" w:hAnsi="Times New Roman"/>
        </w:rPr>
        <w:t> </w:t>
      </w:r>
      <w:r>
        <w:rPr>
          <w:rFonts w:ascii="Times New Roman" w:hAnsi="Times New Roman"/>
          <w:lang w:val="bg-BG"/>
        </w:rPr>
        <w:t>г. относно изпълнението на правилата за конкуренция, предвидени в членов</w:t>
      </w:r>
      <w:r>
        <w:rPr>
          <w:rFonts w:ascii="Times New Roman" w:hAnsi="Times New Roman"/>
          <w:lang w:val="bg-BG"/>
        </w:rPr>
        <w:t>е 81 и 82 от Договора (ОВ</w:t>
      </w:r>
      <w:r>
        <w:rPr>
          <w:rFonts w:ascii="Times New Roman" w:hAnsi="Times New Roman"/>
        </w:rPr>
        <w:t> L </w:t>
      </w:r>
      <w:r>
        <w:rPr>
          <w:rFonts w:ascii="Times New Roman" w:hAnsi="Times New Roman"/>
          <w:lang w:val="bg-BG"/>
        </w:rPr>
        <w:t>1, 4.1.2003</w:t>
      </w:r>
      <w:r>
        <w:rPr>
          <w:rFonts w:ascii="Times New Roman" w:hAnsi="Times New Roman"/>
        </w:rPr>
        <w:t> </w:t>
      </w:r>
      <w:r>
        <w:rPr>
          <w:rFonts w:ascii="Times New Roman" w:hAnsi="Times New Roman"/>
          <w:lang w:val="bg-BG"/>
        </w:rPr>
        <w:t xml:space="preserve">г.), публикуван на </w:t>
      </w:r>
      <w:hyperlink r:id="rId40">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w:t>
        </w:r>
        <w:r>
          <w:rPr>
            <w:rStyle w:val="Hyperlink"/>
            <w:rFonts w:ascii="Times New Roman" w:hAnsi="Times New Roman"/>
            <w:lang w:val="bg-BG"/>
          </w:rPr>
          <w:t>-</w:t>
        </w:r>
        <w:r>
          <w:rPr>
            <w:rStyle w:val="Hyperlink"/>
            <w:rFonts w:ascii="Times New Roman" w:hAnsi="Times New Roman"/>
          </w:rPr>
          <w:t>lex</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legal</w:t>
        </w:r>
        <w:r>
          <w:rPr>
            <w:rStyle w:val="Hyperlink"/>
            <w:rFonts w:ascii="Times New Roman" w:hAnsi="Times New Roman"/>
            <w:lang w:val="bg-BG"/>
          </w:rPr>
          <w:t>-</w:t>
        </w:r>
        <w:r>
          <w:rPr>
            <w:rStyle w:val="Hyperlink"/>
            <w:rFonts w:ascii="Times New Roman" w:hAnsi="Times New Roman"/>
          </w:rPr>
          <w:t>content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TXT</w:t>
        </w:r>
        <w:r>
          <w:rPr>
            <w:rStyle w:val="Hyperlink"/>
            <w:rFonts w:ascii="Times New Roman" w:hAnsi="Times New Roman"/>
            <w:lang w:val="bg-BG"/>
          </w:rPr>
          <w:t>/?</w:t>
        </w:r>
        <w:r>
          <w:rPr>
            <w:rStyle w:val="Hyperlink"/>
            <w:rFonts w:ascii="Times New Roman" w:hAnsi="Times New Roman"/>
          </w:rPr>
          <w:t>qid</w:t>
        </w:r>
        <w:r>
          <w:rPr>
            <w:rStyle w:val="Hyperlink"/>
            <w:rFonts w:ascii="Times New Roman" w:hAnsi="Times New Roman"/>
            <w:lang w:val="bg-BG"/>
          </w:rPr>
          <w:t>=1465196718775&amp;</w:t>
        </w:r>
        <w:r>
          <w:rPr>
            <w:rStyle w:val="Hyperlink"/>
            <w:rFonts w:ascii="Times New Roman" w:hAnsi="Times New Roman"/>
          </w:rPr>
          <w:t>uri</w:t>
        </w:r>
        <w:r>
          <w:rPr>
            <w:rStyle w:val="Hyperlink"/>
            <w:rFonts w:ascii="Times New Roman" w:hAnsi="Times New Roman"/>
            <w:lang w:val="bg-BG"/>
          </w:rPr>
          <w:t>=</w:t>
        </w:r>
        <w:r>
          <w:rPr>
            <w:rStyle w:val="Hyperlink"/>
            <w:rFonts w:ascii="Times New Roman" w:hAnsi="Times New Roman"/>
          </w:rPr>
          <w:t>CELEX</w:t>
        </w:r>
        <w:r>
          <w:rPr>
            <w:rStyle w:val="Hyperlink"/>
            <w:rFonts w:ascii="Times New Roman" w:hAnsi="Times New Roman"/>
            <w:lang w:val="bg-BG"/>
          </w:rPr>
          <w:t>:32003</w:t>
        </w:r>
        <w:r>
          <w:rPr>
            <w:rStyle w:val="Hyperlink"/>
            <w:rFonts w:ascii="Times New Roman" w:hAnsi="Times New Roman"/>
          </w:rPr>
          <w:t>R</w:t>
        </w:r>
        <w:r>
          <w:rPr>
            <w:rStyle w:val="Hyperlink"/>
            <w:rFonts w:ascii="Times New Roman" w:hAnsi="Times New Roman"/>
            <w:lang w:val="bg-BG"/>
          </w:rPr>
          <w:t>0001</w:t>
        </w:r>
      </w:hyperlink>
      <w:r>
        <w:rPr>
          <w:rFonts w:ascii="Times New Roman" w:hAnsi="Times New Roman"/>
          <w:lang w:val="bg-BG"/>
        </w:rPr>
        <w:t xml:space="preserve">. </w:t>
      </w:r>
    </w:p>
  </w:footnote>
  <w:footnote w:id="44">
    <w:p w:rsidR="00BA319C" w:rsidRDefault="008D6BD5">
      <w:pPr>
        <w:pStyle w:val="FootnoteText"/>
        <w:spacing w:after="0" w:line="240" w:lineRule="auto"/>
        <w:rPr>
          <w:rFonts w:ascii="Times New Roman" w:hAnsi="Times New Roman"/>
          <w:lang w:val="bg-BG"/>
        </w:rPr>
      </w:pPr>
      <w:r>
        <w:rPr>
          <w:rFonts w:ascii="Times New Roman" w:hAnsi="Times New Roman"/>
          <w:vertAlign w:val="superscript"/>
        </w:rPr>
        <w:footnoteRef/>
      </w:r>
      <w:r>
        <w:rPr>
          <w:rFonts w:ascii="Times New Roman" w:hAnsi="Times New Roman"/>
          <w:lang w:val="bg-BG"/>
        </w:rPr>
        <w:t xml:space="preserve"> Съобщение на Комисията до Европейския парламент и Съвета </w:t>
      </w:r>
      <w:r>
        <w:rPr>
          <w:rFonts w:ascii="Times New Roman" w:hAnsi="Times New Roman"/>
          <w:i/>
          <w:lang w:val="bg-BG"/>
        </w:rPr>
        <w:t>Десет години прилагане на антитръстовото законодателство съгласно Регламент №</w:t>
      </w:r>
      <w:r>
        <w:rPr>
          <w:rFonts w:ascii="Times New Roman" w:hAnsi="Times New Roman"/>
          <w:i/>
        </w:rPr>
        <w:t> </w:t>
      </w:r>
      <w:r>
        <w:rPr>
          <w:rFonts w:ascii="Times New Roman" w:hAnsi="Times New Roman"/>
          <w:i/>
          <w:lang w:val="bg-BG"/>
        </w:rPr>
        <w:t>1/2003: постижения и бъдещи перспективи</w:t>
      </w:r>
      <w:r>
        <w:rPr>
          <w:rFonts w:ascii="Times New Roman" w:hAnsi="Times New Roman"/>
          <w:lang w:val="bg-BG"/>
        </w:rPr>
        <w:t xml:space="preserve"> от 9 юли 2014 г. (</w:t>
      </w:r>
      <w:r>
        <w:rPr>
          <w:rFonts w:ascii="Times New Roman" w:hAnsi="Times New Roman"/>
        </w:rPr>
        <w:t>COM</w:t>
      </w:r>
      <w:r>
        <w:rPr>
          <w:rFonts w:ascii="Times New Roman" w:hAnsi="Times New Roman"/>
          <w:lang w:val="bg-BG"/>
        </w:rPr>
        <w:t xml:space="preserve">(2014) 453), публикувано на </w:t>
      </w:r>
      <w:hyperlink r:id="rId41">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w:t>
        </w:r>
        <w:r>
          <w:rPr>
            <w:rStyle w:val="Hyperlink"/>
            <w:rFonts w:ascii="Times New Roman" w:hAnsi="Times New Roman"/>
            <w:lang w:val="bg-BG"/>
          </w:rPr>
          <w:t>-</w:t>
        </w:r>
        <w:r>
          <w:rPr>
            <w:rStyle w:val="Hyperlink"/>
            <w:rFonts w:ascii="Times New Roman" w:hAnsi="Times New Roman"/>
          </w:rPr>
          <w:t>lex</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legal</w:t>
        </w:r>
        <w:r>
          <w:rPr>
            <w:rStyle w:val="Hyperlink"/>
            <w:rFonts w:ascii="Times New Roman" w:hAnsi="Times New Roman"/>
            <w:lang w:val="bg-BG"/>
          </w:rPr>
          <w:t>-</w:t>
        </w:r>
        <w:r>
          <w:rPr>
            <w:rStyle w:val="Hyperlink"/>
            <w:rFonts w:ascii="Times New Roman" w:hAnsi="Times New Roman"/>
          </w:rPr>
          <w:t>content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TXT</w:t>
        </w:r>
        <w:r>
          <w:rPr>
            <w:rStyle w:val="Hyperlink"/>
            <w:rFonts w:ascii="Times New Roman" w:hAnsi="Times New Roman"/>
            <w:lang w:val="bg-BG"/>
          </w:rPr>
          <w:t>/</w:t>
        </w:r>
        <w:r>
          <w:rPr>
            <w:rStyle w:val="Hyperlink"/>
            <w:rFonts w:ascii="Times New Roman" w:hAnsi="Times New Roman"/>
          </w:rPr>
          <w:t>HTML</w:t>
        </w:r>
        <w:r>
          <w:rPr>
            <w:rStyle w:val="Hyperlink"/>
            <w:rFonts w:ascii="Times New Roman" w:hAnsi="Times New Roman"/>
            <w:lang w:val="bg-BG"/>
          </w:rPr>
          <w:t>/?</w:t>
        </w:r>
        <w:r>
          <w:rPr>
            <w:rStyle w:val="Hyperlink"/>
            <w:rFonts w:ascii="Times New Roman" w:hAnsi="Times New Roman"/>
          </w:rPr>
          <w:t>uri</w:t>
        </w:r>
        <w:r>
          <w:rPr>
            <w:rStyle w:val="Hyperlink"/>
            <w:rFonts w:ascii="Times New Roman" w:hAnsi="Times New Roman"/>
            <w:lang w:val="bg-BG"/>
          </w:rPr>
          <w:t>=</w:t>
        </w:r>
        <w:r>
          <w:rPr>
            <w:rStyle w:val="Hyperlink"/>
            <w:rFonts w:ascii="Times New Roman" w:hAnsi="Times New Roman"/>
          </w:rPr>
          <w:t>CELEX</w:t>
        </w:r>
        <w:r>
          <w:rPr>
            <w:rStyle w:val="Hyperlink"/>
            <w:rFonts w:ascii="Times New Roman" w:hAnsi="Times New Roman"/>
            <w:lang w:val="bg-BG"/>
          </w:rPr>
          <w:t>:52014</w:t>
        </w:r>
        <w:r>
          <w:rPr>
            <w:rStyle w:val="Hyperlink"/>
            <w:rFonts w:ascii="Times New Roman" w:hAnsi="Times New Roman"/>
          </w:rPr>
          <w:t>DC</w:t>
        </w:r>
        <w:r>
          <w:rPr>
            <w:rStyle w:val="Hyperlink"/>
            <w:rFonts w:ascii="Times New Roman" w:hAnsi="Times New Roman"/>
            <w:lang w:val="bg-BG"/>
          </w:rPr>
          <w:t>0453&amp;</w:t>
        </w:r>
        <w:r>
          <w:rPr>
            <w:rStyle w:val="Hyperlink"/>
            <w:rFonts w:ascii="Times New Roman" w:hAnsi="Times New Roman"/>
          </w:rPr>
          <w:t>from</w:t>
        </w:r>
        <w:r>
          <w:rPr>
            <w:rStyle w:val="Hyperlink"/>
            <w:rFonts w:ascii="Times New Roman" w:hAnsi="Times New Roman"/>
            <w:lang w:val="bg-BG"/>
          </w:rPr>
          <w:t>=</w:t>
        </w:r>
        <w:r>
          <w:rPr>
            <w:rStyle w:val="Hyperlink"/>
            <w:rFonts w:ascii="Times New Roman" w:hAnsi="Times New Roman"/>
          </w:rPr>
          <w:t>EN</w:t>
        </w:r>
      </w:hyperlink>
      <w:r>
        <w:rPr>
          <w:rFonts w:ascii="Times New Roman" w:hAnsi="Times New Roman"/>
          <w:lang w:val="bg-BG"/>
        </w:rPr>
        <w:t>.</w:t>
      </w:r>
    </w:p>
  </w:footnote>
  <w:footnote w:id="45">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Решение на Комисията от 24 юни 2015</w:t>
      </w:r>
      <w:r>
        <w:rPr>
          <w:rFonts w:ascii="Times New Roman" w:hAnsi="Times New Roman"/>
        </w:rPr>
        <w:t> </w:t>
      </w:r>
      <w:r>
        <w:rPr>
          <w:rFonts w:ascii="Times New Roman" w:hAnsi="Times New Roman"/>
          <w:lang w:val="bg-BG"/>
        </w:rPr>
        <w:t xml:space="preserve">г. по дело </w:t>
      </w:r>
      <w:r>
        <w:rPr>
          <w:rFonts w:ascii="Times New Roman" w:hAnsi="Times New Roman"/>
        </w:rPr>
        <w:t>AT</w:t>
      </w:r>
      <w:r>
        <w:rPr>
          <w:rFonts w:ascii="Times New Roman" w:hAnsi="Times New Roman"/>
          <w:lang w:val="bg-BG"/>
        </w:rPr>
        <w:t xml:space="preserve">.39563 — </w:t>
      </w:r>
      <w:r>
        <w:rPr>
          <w:rFonts w:ascii="Times New Roman" w:hAnsi="Times New Roman"/>
          <w:i/>
          <w:lang w:val="bg-BG"/>
        </w:rPr>
        <w:t>Опаковки за продажба на хранителни стоки на</w:t>
      </w:r>
      <w:r>
        <w:rPr>
          <w:rFonts w:ascii="Times New Roman" w:hAnsi="Times New Roman"/>
          <w:i/>
          <w:lang w:val="bg-BG"/>
        </w:rPr>
        <w:t xml:space="preserve"> дребно</w:t>
      </w:r>
      <w:r>
        <w:rPr>
          <w:rFonts w:ascii="Times New Roman" w:hAnsi="Times New Roman"/>
          <w:lang w:val="bg-BG"/>
        </w:rPr>
        <w:t xml:space="preserve">, публикувано на </w:t>
      </w:r>
      <w:hyperlink r:id="rId42">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=1_39563</w:t>
        </w:r>
      </w:hyperlink>
      <w:r>
        <w:rPr>
          <w:rFonts w:ascii="Times New Roman" w:hAnsi="Times New Roman"/>
          <w:lang w:val="bg-BG"/>
        </w:rPr>
        <w:t xml:space="preserve">. </w:t>
      </w:r>
    </w:p>
  </w:footnote>
  <w:footnote w:id="46">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Решение на Комисията от 21 октомври 2015</w:t>
      </w:r>
      <w:r>
        <w:rPr>
          <w:rFonts w:ascii="Times New Roman" w:hAnsi="Times New Roman"/>
        </w:rPr>
        <w:t> </w:t>
      </w:r>
      <w:r>
        <w:rPr>
          <w:rFonts w:ascii="Times New Roman" w:hAnsi="Times New Roman"/>
          <w:lang w:val="bg-BG"/>
        </w:rPr>
        <w:t>г. по де</w:t>
      </w:r>
      <w:r>
        <w:rPr>
          <w:rFonts w:ascii="Times New Roman" w:hAnsi="Times New Roman"/>
          <w:lang w:val="bg-BG"/>
        </w:rPr>
        <w:t xml:space="preserve">ло </w:t>
      </w:r>
      <w:r>
        <w:rPr>
          <w:rFonts w:ascii="Times New Roman" w:hAnsi="Times New Roman"/>
        </w:rPr>
        <w:t>AT</w:t>
      </w:r>
      <w:r>
        <w:rPr>
          <w:rFonts w:ascii="Times New Roman" w:hAnsi="Times New Roman"/>
          <w:lang w:val="bg-BG"/>
        </w:rPr>
        <w:t xml:space="preserve">.39639 </w:t>
      </w:r>
      <w:r>
        <w:rPr>
          <w:rFonts w:ascii="Times New Roman" w:hAnsi="Times New Roman"/>
          <w:i/>
          <w:lang w:val="bg-BG"/>
        </w:rPr>
        <w:t>Оптични дискови устройства</w:t>
      </w:r>
      <w:r>
        <w:rPr>
          <w:rFonts w:ascii="Times New Roman" w:hAnsi="Times New Roman"/>
          <w:lang w:val="bg-BG"/>
        </w:rPr>
        <w:t xml:space="preserve">, публикувано на </w:t>
      </w:r>
      <w:hyperlink r:id="rId43">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=1_39639</w:t>
        </w:r>
      </w:hyperlink>
      <w:r>
        <w:rPr>
          <w:rFonts w:ascii="Times New Roman" w:hAnsi="Times New Roman"/>
          <w:lang w:val="bg-BG"/>
        </w:rPr>
        <w:t xml:space="preserve">. </w:t>
      </w:r>
    </w:p>
  </w:footnote>
  <w:footnote w:id="47">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Решение на Комисия</w:t>
      </w:r>
      <w:r>
        <w:rPr>
          <w:rFonts w:ascii="Times New Roman" w:hAnsi="Times New Roman"/>
          <w:lang w:val="bg-BG"/>
        </w:rPr>
        <w:t>та от 4 декември 2013</w:t>
      </w:r>
      <w:r>
        <w:rPr>
          <w:rFonts w:ascii="Times New Roman" w:hAnsi="Times New Roman"/>
        </w:rPr>
        <w:t> </w:t>
      </w:r>
      <w:r>
        <w:rPr>
          <w:rFonts w:ascii="Times New Roman" w:hAnsi="Times New Roman"/>
          <w:lang w:val="bg-BG"/>
        </w:rPr>
        <w:t xml:space="preserve">г. по дело </w:t>
      </w:r>
      <w:r>
        <w:rPr>
          <w:rFonts w:ascii="Times New Roman" w:hAnsi="Times New Roman"/>
        </w:rPr>
        <w:t>AT</w:t>
      </w:r>
      <w:r>
        <w:rPr>
          <w:rFonts w:ascii="Times New Roman" w:hAnsi="Times New Roman"/>
          <w:lang w:val="bg-BG"/>
        </w:rPr>
        <w:t xml:space="preserve">.39861 </w:t>
      </w:r>
      <w:r>
        <w:rPr>
          <w:rFonts w:ascii="Times New Roman" w:hAnsi="Times New Roman"/>
          <w:i/>
          <w:lang w:val="bg-BG"/>
        </w:rPr>
        <w:t>Лихвени деривати в йени (</w:t>
      </w:r>
      <w:r>
        <w:rPr>
          <w:rFonts w:ascii="Times New Roman" w:hAnsi="Times New Roman"/>
          <w:i/>
        </w:rPr>
        <w:t>YIRD</w:t>
      </w:r>
      <w:r>
        <w:rPr>
          <w:rFonts w:ascii="Times New Roman" w:hAnsi="Times New Roman"/>
          <w:i/>
          <w:lang w:val="bg-BG"/>
        </w:rPr>
        <w:t>)</w:t>
      </w:r>
      <w:r>
        <w:rPr>
          <w:rFonts w:ascii="Times New Roman" w:hAnsi="Times New Roman"/>
          <w:lang w:val="bg-BG"/>
        </w:rPr>
        <w:t xml:space="preserve">, публикувано на </w:t>
      </w:r>
      <w:hyperlink r:id="rId44">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=1_39861</w:t>
        </w:r>
      </w:hyperlink>
      <w:r>
        <w:rPr>
          <w:rFonts w:ascii="Times New Roman" w:hAnsi="Times New Roman"/>
          <w:lang w:val="bg-BG"/>
        </w:rPr>
        <w:t xml:space="preserve">. </w:t>
      </w:r>
    </w:p>
  </w:footnote>
  <w:footnote w:id="48">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Дело </w:t>
      </w:r>
      <w:r>
        <w:rPr>
          <w:rFonts w:ascii="Times New Roman" w:hAnsi="Times New Roman"/>
        </w:rPr>
        <w:t>AT</w:t>
      </w:r>
      <w:r>
        <w:rPr>
          <w:rFonts w:ascii="Times New Roman" w:hAnsi="Times New Roman"/>
          <w:lang w:val="bg-BG"/>
        </w:rPr>
        <w:t xml:space="preserve">.40049, </w:t>
      </w:r>
      <w:r>
        <w:rPr>
          <w:rFonts w:ascii="Times New Roman" w:hAnsi="Times New Roman"/>
          <w:i/>
        </w:rPr>
        <w:t>Mastercard</w:t>
      </w:r>
      <w:r>
        <w:rPr>
          <w:rFonts w:ascii="Times New Roman" w:hAnsi="Times New Roman"/>
          <w:i/>
          <w:lang w:val="bg-BG"/>
        </w:rPr>
        <w:t xml:space="preserve"> </w:t>
      </w:r>
      <w:r>
        <w:rPr>
          <w:rFonts w:ascii="Times New Roman" w:hAnsi="Times New Roman"/>
          <w:i/>
        </w:rPr>
        <w:t>II</w:t>
      </w:r>
      <w:r>
        <w:rPr>
          <w:rFonts w:ascii="Times New Roman" w:hAnsi="Times New Roman"/>
          <w:lang w:val="bg-BG"/>
        </w:rPr>
        <w:t xml:space="preserve">, вж. </w:t>
      </w:r>
      <w:r>
        <w:rPr>
          <w:rFonts w:ascii="Times New Roman" w:hAnsi="Times New Roman"/>
        </w:rPr>
        <w:t>IP</w:t>
      </w:r>
      <w:r>
        <w:rPr>
          <w:rFonts w:ascii="Times New Roman" w:hAnsi="Times New Roman"/>
          <w:lang w:val="bg-BG"/>
        </w:rPr>
        <w:t>/15/5323 от 9 юли 2015</w:t>
      </w:r>
      <w:r>
        <w:rPr>
          <w:rFonts w:ascii="Times New Roman" w:hAnsi="Times New Roman"/>
        </w:rPr>
        <w:t> </w:t>
      </w:r>
      <w:r>
        <w:rPr>
          <w:rFonts w:ascii="Times New Roman" w:hAnsi="Times New Roman"/>
          <w:lang w:val="bg-BG"/>
        </w:rPr>
        <w:t xml:space="preserve">г., публикувано на </w:t>
      </w:r>
      <w:hyperlink r:id="rId45">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rapid</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release</w:t>
        </w:r>
        <w:r>
          <w:rPr>
            <w:rStyle w:val="Hyperlink"/>
            <w:rFonts w:ascii="Times New Roman" w:hAnsi="Times New Roman"/>
            <w:lang w:val="bg-BG"/>
          </w:rPr>
          <w:t>_</w:t>
        </w:r>
        <w:r>
          <w:rPr>
            <w:rStyle w:val="Hyperlink"/>
            <w:rFonts w:ascii="Times New Roman" w:hAnsi="Times New Roman"/>
          </w:rPr>
          <w:t>IP</w:t>
        </w:r>
        <w:r>
          <w:rPr>
            <w:rStyle w:val="Hyperlink"/>
            <w:rFonts w:ascii="Times New Roman" w:hAnsi="Times New Roman"/>
            <w:lang w:val="bg-BG"/>
          </w:rPr>
          <w:t>-15-5323_</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htm</w:t>
        </w:r>
      </w:hyperlink>
      <w:r>
        <w:rPr>
          <w:rFonts w:ascii="Times New Roman" w:hAnsi="Times New Roman"/>
          <w:lang w:val="bg-BG"/>
        </w:rPr>
        <w:t>.</w:t>
      </w:r>
    </w:p>
  </w:footnote>
  <w:footnote w:id="49">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rFonts w:ascii="Times New Roman" w:hAnsi="Times New Roman"/>
          <w:color w:val="000000"/>
          <w:lang w:val="bg-BG"/>
        </w:rPr>
        <w:t>Регламент</w:t>
      </w:r>
      <w:r>
        <w:rPr>
          <w:rFonts w:ascii="Times New Roman" w:hAnsi="Times New Roman"/>
          <w:color w:val="000000"/>
        </w:rPr>
        <w:t> </w:t>
      </w:r>
      <w:r>
        <w:rPr>
          <w:rFonts w:ascii="Times New Roman" w:hAnsi="Times New Roman"/>
          <w:color w:val="000000"/>
          <w:lang w:val="bg-BG"/>
        </w:rPr>
        <w:t>(ЕС)</w:t>
      </w:r>
      <w:r>
        <w:rPr>
          <w:rFonts w:ascii="Times New Roman" w:hAnsi="Times New Roman"/>
          <w:color w:val="000000"/>
        </w:rPr>
        <w:t> </w:t>
      </w:r>
      <w:r>
        <w:rPr>
          <w:rFonts w:ascii="Times New Roman" w:hAnsi="Times New Roman"/>
          <w:color w:val="000000"/>
          <w:lang w:val="bg-BG"/>
        </w:rPr>
        <w:t xml:space="preserve">2015/751 на </w:t>
      </w:r>
      <w:r>
        <w:rPr>
          <w:rFonts w:ascii="Times New Roman" w:hAnsi="Times New Roman"/>
          <w:color w:val="000000"/>
          <w:lang w:val="bg-BG"/>
        </w:rPr>
        <w:t>Европейския парламент и на Съвета от 29 април 2015</w:t>
      </w:r>
      <w:r>
        <w:rPr>
          <w:rFonts w:ascii="Times New Roman" w:hAnsi="Times New Roman"/>
          <w:color w:val="000000"/>
        </w:rPr>
        <w:t> </w:t>
      </w:r>
      <w:r>
        <w:rPr>
          <w:rFonts w:ascii="Times New Roman" w:hAnsi="Times New Roman"/>
          <w:color w:val="000000"/>
          <w:lang w:val="bg-BG"/>
        </w:rPr>
        <w:t>г. относно обменните такси за платежни операции, свързани с карти</w:t>
      </w:r>
      <w:r>
        <w:rPr>
          <w:rFonts w:ascii="Times New Roman" w:hAnsi="Times New Roman"/>
          <w:lang w:val="bg-BG"/>
        </w:rPr>
        <w:t xml:space="preserve"> (ОВ</w:t>
      </w:r>
      <w:r>
        <w:rPr>
          <w:rFonts w:ascii="Times New Roman" w:hAnsi="Times New Roman"/>
        </w:rPr>
        <w:t> L </w:t>
      </w:r>
      <w:r>
        <w:rPr>
          <w:rFonts w:ascii="Times New Roman" w:hAnsi="Times New Roman"/>
          <w:lang w:val="bg-BG"/>
        </w:rPr>
        <w:t>123, 19.5.2015</w:t>
      </w:r>
      <w:r>
        <w:rPr>
          <w:rFonts w:ascii="Times New Roman" w:hAnsi="Times New Roman"/>
        </w:rPr>
        <w:t> </w:t>
      </w:r>
      <w:r>
        <w:rPr>
          <w:rFonts w:ascii="Times New Roman" w:hAnsi="Times New Roman"/>
          <w:lang w:val="bg-BG"/>
        </w:rPr>
        <w:t xml:space="preserve">г.), публикуван на </w:t>
      </w:r>
      <w:hyperlink r:id="rId46">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eur</w:t>
        </w:r>
        <w:r>
          <w:rPr>
            <w:rStyle w:val="Hyperlink"/>
            <w:rFonts w:ascii="Times New Roman" w:hAnsi="Times New Roman"/>
            <w:lang w:val="bg-BG"/>
          </w:rPr>
          <w:t>-</w:t>
        </w:r>
        <w:r>
          <w:rPr>
            <w:rStyle w:val="Hyperlink"/>
            <w:rFonts w:ascii="Times New Roman" w:hAnsi="Times New Roman"/>
          </w:rPr>
          <w:t>lex</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legal</w:t>
        </w:r>
        <w:r>
          <w:rPr>
            <w:rStyle w:val="Hyperlink"/>
            <w:rFonts w:ascii="Times New Roman" w:hAnsi="Times New Roman"/>
            <w:lang w:val="bg-BG"/>
          </w:rPr>
          <w:t>-</w:t>
        </w:r>
        <w:r>
          <w:rPr>
            <w:rStyle w:val="Hyperlink"/>
            <w:rFonts w:ascii="Times New Roman" w:hAnsi="Times New Roman"/>
          </w:rPr>
          <w:t>content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w:t>
        </w:r>
        <w:r>
          <w:rPr>
            <w:rStyle w:val="Hyperlink"/>
            <w:rFonts w:ascii="Times New Roman" w:hAnsi="Times New Roman"/>
          </w:rPr>
          <w:t>TXT</w:t>
        </w:r>
        <w:r>
          <w:rPr>
            <w:rStyle w:val="Hyperlink"/>
            <w:rFonts w:ascii="Times New Roman" w:hAnsi="Times New Roman"/>
            <w:lang w:val="bg-BG"/>
          </w:rPr>
          <w:t>/</w:t>
        </w:r>
        <w:r>
          <w:rPr>
            <w:rStyle w:val="Hyperlink"/>
            <w:rFonts w:ascii="Times New Roman" w:hAnsi="Times New Roman"/>
          </w:rPr>
          <w:t>HTML</w:t>
        </w:r>
        <w:r>
          <w:rPr>
            <w:rStyle w:val="Hyperlink"/>
            <w:rFonts w:ascii="Times New Roman" w:hAnsi="Times New Roman"/>
            <w:lang w:val="bg-BG"/>
          </w:rPr>
          <w:t>/?</w:t>
        </w:r>
        <w:r>
          <w:rPr>
            <w:rStyle w:val="Hyperlink"/>
            <w:rFonts w:ascii="Times New Roman" w:hAnsi="Times New Roman"/>
          </w:rPr>
          <w:t>uri</w:t>
        </w:r>
        <w:r>
          <w:rPr>
            <w:rStyle w:val="Hyperlink"/>
            <w:rFonts w:ascii="Times New Roman" w:hAnsi="Times New Roman"/>
            <w:lang w:val="bg-BG"/>
          </w:rPr>
          <w:t>=</w:t>
        </w:r>
        <w:r>
          <w:rPr>
            <w:rStyle w:val="Hyperlink"/>
            <w:rFonts w:ascii="Times New Roman" w:hAnsi="Times New Roman"/>
          </w:rPr>
          <w:t>CELEX</w:t>
        </w:r>
        <w:r>
          <w:rPr>
            <w:rStyle w:val="Hyperlink"/>
            <w:rFonts w:ascii="Times New Roman" w:hAnsi="Times New Roman"/>
            <w:lang w:val="bg-BG"/>
          </w:rPr>
          <w:t>:32015</w:t>
        </w:r>
        <w:r>
          <w:rPr>
            <w:rStyle w:val="Hyperlink"/>
            <w:rFonts w:ascii="Times New Roman" w:hAnsi="Times New Roman"/>
          </w:rPr>
          <w:t>R</w:t>
        </w:r>
        <w:r>
          <w:rPr>
            <w:rStyle w:val="Hyperlink"/>
            <w:rFonts w:ascii="Times New Roman" w:hAnsi="Times New Roman"/>
            <w:lang w:val="bg-BG"/>
          </w:rPr>
          <w:t>0751&amp;</w:t>
        </w:r>
        <w:r>
          <w:rPr>
            <w:rStyle w:val="Hyperlink"/>
            <w:rFonts w:ascii="Times New Roman" w:hAnsi="Times New Roman"/>
          </w:rPr>
          <w:t>from</w:t>
        </w:r>
        <w:r>
          <w:rPr>
            <w:rStyle w:val="Hyperlink"/>
            <w:rFonts w:ascii="Times New Roman" w:hAnsi="Times New Roman"/>
            <w:lang w:val="bg-BG"/>
          </w:rPr>
          <w:t>=</w:t>
        </w:r>
        <w:r>
          <w:rPr>
            <w:rStyle w:val="Hyperlink"/>
            <w:rFonts w:ascii="Times New Roman" w:hAnsi="Times New Roman"/>
          </w:rPr>
          <w:t>BG</w:t>
        </w:r>
      </w:hyperlink>
      <w:r>
        <w:rPr>
          <w:rFonts w:ascii="Times New Roman" w:hAnsi="Times New Roman"/>
          <w:lang w:val="bg-BG"/>
        </w:rPr>
        <w:t xml:space="preserve">. </w:t>
      </w:r>
    </w:p>
  </w:footnote>
  <w:footnote w:id="50">
    <w:p w:rsidR="00BA319C" w:rsidRDefault="008D6BD5">
      <w:pPr>
        <w:pStyle w:val="FootnoteText"/>
        <w:spacing w:after="0" w:line="240" w:lineRule="auto"/>
        <w:rPr>
          <w:rFonts w:ascii="Times New Roman" w:hAnsi="Times New Roman"/>
          <w:color w:val="000000"/>
          <w:lang w:val="bg-BG"/>
        </w:rPr>
      </w:pPr>
      <w:r>
        <w:rPr>
          <w:rStyle w:val="FootnoteReference"/>
          <w:rFonts w:ascii="Times New Roman" w:hAnsi="Times New Roman"/>
        </w:rPr>
        <w:footnoteRef/>
      </w:r>
      <w:r>
        <w:rPr>
          <w:rFonts w:ascii="Times New Roman" w:hAnsi="Times New Roman"/>
          <w:lang w:val="bg-BG"/>
        </w:rPr>
        <w:t xml:space="preserve"> </w:t>
      </w:r>
      <w:r>
        <w:rPr>
          <w:rFonts w:ascii="Times New Roman" w:hAnsi="Times New Roman"/>
          <w:color w:val="000000"/>
          <w:lang w:val="bg-BG"/>
        </w:rPr>
        <w:t>Директива 2014/59/ЕС на Европейския парламент и на Съвета от 15 май 2014</w:t>
      </w:r>
      <w:r>
        <w:rPr>
          <w:rFonts w:ascii="Times New Roman" w:hAnsi="Times New Roman"/>
          <w:color w:val="000000"/>
        </w:rPr>
        <w:t> </w:t>
      </w:r>
      <w:r>
        <w:rPr>
          <w:rFonts w:ascii="Times New Roman" w:hAnsi="Times New Roman"/>
          <w:color w:val="000000"/>
          <w:lang w:val="bg-BG"/>
        </w:rPr>
        <w:t>г. за създаване на рамка за възстановяване и преструктуриране на кредитни институции и инвестицио</w:t>
      </w:r>
      <w:r>
        <w:rPr>
          <w:rFonts w:ascii="Times New Roman" w:hAnsi="Times New Roman"/>
          <w:color w:val="000000"/>
          <w:lang w:val="bg-BG"/>
        </w:rPr>
        <w:t>нни посредници (ОВ</w:t>
      </w:r>
      <w:r>
        <w:rPr>
          <w:rFonts w:ascii="Times New Roman" w:hAnsi="Times New Roman"/>
          <w:color w:val="000000"/>
        </w:rPr>
        <w:t> L </w:t>
      </w:r>
      <w:r>
        <w:rPr>
          <w:rFonts w:ascii="Times New Roman" w:hAnsi="Times New Roman"/>
          <w:color w:val="000000"/>
          <w:lang w:val="bg-BG"/>
        </w:rPr>
        <w:t>173, 12.6.2014</w:t>
      </w:r>
      <w:r>
        <w:rPr>
          <w:rFonts w:ascii="Times New Roman" w:hAnsi="Times New Roman"/>
          <w:color w:val="000000"/>
        </w:rPr>
        <w:t> </w:t>
      </w:r>
      <w:r>
        <w:rPr>
          <w:rFonts w:ascii="Times New Roman" w:hAnsi="Times New Roman"/>
          <w:color w:val="000000"/>
          <w:lang w:val="bg-BG"/>
        </w:rPr>
        <w:t xml:space="preserve">г.), публикувана на </w:t>
      </w:r>
    </w:p>
    <w:p w:rsidR="00BA319C" w:rsidRDefault="008D6BD5">
      <w:pPr>
        <w:pStyle w:val="FootnoteText"/>
        <w:spacing w:after="0" w:line="240" w:lineRule="auto"/>
        <w:rPr>
          <w:rFonts w:ascii="Times New Roman" w:hAnsi="Times New Roman"/>
          <w:i/>
          <w:color w:val="0000FF"/>
          <w:u w:val="single"/>
          <w:lang w:val="bg-BG"/>
        </w:rPr>
      </w:pPr>
      <w:hyperlink r:id="rId47">
        <w:r>
          <w:rPr>
            <w:rStyle w:val="Hyperlink"/>
            <w:rFonts w:ascii="Times New Roman" w:hAnsi="Times New Roman"/>
            <w:i/>
          </w:rPr>
          <w:t>http</w:t>
        </w:r>
        <w:r>
          <w:rPr>
            <w:rStyle w:val="Hyperlink"/>
            <w:rFonts w:ascii="Times New Roman" w:hAnsi="Times New Roman"/>
            <w:i/>
            <w:lang w:val="bg-BG"/>
          </w:rPr>
          <w:t>://</w:t>
        </w:r>
        <w:r>
          <w:rPr>
            <w:rStyle w:val="Hyperlink"/>
            <w:rFonts w:ascii="Times New Roman" w:hAnsi="Times New Roman"/>
            <w:i/>
          </w:rPr>
          <w:t>eur</w:t>
        </w:r>
        <w:r>
          <w:rPr>
            <w:rStyle w:val="Hyperlink"/>
            <w:rFonts w:ascii="Times New Roman" w:hAnsi="Times New Roman"/>
            <w:i/>
            <w:lang w:val="bg-BG"/>
          </w:rPr>
          <w:t>-</w:t>
        </w:r>
        <w:r>
          <w:rPr>
            <w:rStyle w:val="Hyperlink"/>
            <w:rFonts w:ascii="Times New Roman" w:hAnsi="Times New Roman"/>
            <w:i/>
          </w:rPr>
          <w:t>lex</w:t>
        </w:r>
        <w:r>
          <w:rPr>
            <w:rStyle w:val="Hyperlink"/>
            <w:rFonts w:ascii="Times New Roman" w:hAnsi="Times New Roman"/>
            <w:i/>
            <w:lang w:val="bg-BG"/>
          </w:rPr>
          <w:t>.</w:t>
        </w:r>
        <w:r>
          <w:rPr>
            <w:rStyle w:val="Hyperlink"/>
            <w:rFonts w:ascii="Times New Roman" w:hAnsi="Times New Roman"/>
            <w:i/>
          </w:rPr>
          <w:t>europa</w:t>
        </w:r>
        <w:r>
          <w:rPr>
            <w:rStyle w:val="Hyperlink"/>
            <w:rFonts w:ascii="Times New Roman" w:hAnsi="Times New Roman"/>
            <w:i/>
            <w:lang w:val="bg-BG"/>
          </w:rPr>
          <w:t>.</w:t>
        </w:r>
        <w:r>
          <w:rPr>
            <w:rStyle w:val="Hyperlink"/>
            <w:rFonts w:ascii="Times New Roman" w:hAnsi="Times New Roman"/>
            <w:i/>
          </w:rPr>
          <w:t>eu</w:t>
        </w:r>
        <w:r>
          <w:rPr>
            <w:rStyle w:val="Hyperlink"/>
            <w:rFonts w:ascii="Times New Roman" w:hAnsi="Times New Roman"/>
            <w:i/>
            <w:lang w:val="bg-BG"/>
          </w:rPr>
          <w:t>/</w:t>
        </w:r>
        <w:r>
          <w:rPr>
            <w:rStyle w:val="Hyperlink"/>
            <w:rFonts w:ascii="Times New Roman" w:hAnsi="Times New Roman"/>
            <w:i/>
          </w:rPr>
          <w:t>legal</w:t>
        </w:r>
        <w:r>
          <w:rPr>
            <w:rStyle w:val="Hyperlink"/>
            <w:rFonts w:ascii="Times New Roman" w:hAnsi="Times New Roman"/>
            <w:i/>
            <w:lang w:val="bg-BG"/>
          </w:rPr>
          <w:t>-</w:t>
        </w:r>
        <w:r>
          <w:rPr>
            <w:rStyle w:val="Hyperlink"/>
            <w:rFonts w:ascii="Times New Roman" w:hAnsi="Times New Roman"/>
            <w:i/>
          </w:rPr>
          <w:t>content</w:t>
        </w:r>
        <w:r>
          <w:rPr>
            <w:rStyle w:val="Hyperlink"/>
            <w:rFonts w:ascii="Times New Roman" w:hAnsi="Times New Roman"/>
            <w:i/>
            <w:lang w:val="bg-BG"/>
          </w:rPr>
          <w:t>/</w:t>
        </w:r>
        <w:r>
          <w:rPr>
            <w:rStyle w:val="Hyperlink"/>
            <w:rFonts w:ascii="Times New Roman" w:hAnsi="Times New Roman"/>
            <w:i/>
          </w:rPr>
          <w:t>BG</w:t>
        </w:r>
        <w:r>
          <w:rPr>
            <w:rStyle w:val="Hyperlink"/>
            <w:rFonts w:ascii="Times New Roman" w:hAnsi="Times New Roman"/>
            <w:i/>
            <w:lang w:val="bg-BG"/>
          </w:rPr>
          <w:t>/</w:t>
        </w:r>
        <w:r>
          <w:rPr>
            <w:rStyle w:val="Hyperlink"/>
            <w:rFonts w:ascii="Times New Roman" w:hAnsi="Times New Roman"/>
            <w:i/>
          </w:rPr>
          <w:t>TXT</w:t>
        </w:r>
        <w:r>
          <w:rPr>
            <w:rStyle w:val="Hyperlink"/>
            <w:rFonts w:ascii="Times New Roman" w:hAnsi="Times New Roman"/>
            <w:i/>
            <w:lang w:val="bg-BG"/>
          </w:rPr>
          <w:t>/?</w:t>
        </w:r>
        <w:r>
          <w:rPr>
            <w:rStyle w:val="Hyperlink"/>
            <w:rFonts w:ascii="Times New Roman" w:hAnsi="Times New Roman"/>
            <w:i/>
          </w:rPr>
          <w:t>qid</w:t>
        </w:r>
        <w:r>
          <w:rPr>
            <w:rStyle w:val="Hyperlink"/>
            <w:rFonts w:ascii="Times New Roman" w:hAnsi="Times New Roman"/>
            <w:i/>
            <w:lang w:val="bg-BG"/>
          </w:rPr>
          <w:t>=1427289116879&amp;</w:t>
        </w:r>
        <w:r>
          <w:rPr>
            <w:rStyle w:val="Hyperlink"/>
            <w:rFonts w:ascii="Times New Roman" w:hAnsi="Times New Roman"/>
            <w:i/>
          </w:rPr>
          <w:t>uri</w:t>
        </w:r>
        <w:r>
          <w:rPr>
            <w:rStyle w:val="Hyperlink"/>
            <w:rFonts w:ascii="Times New Roman" w:hAnsi="Times New Roman"/>
            <w:i/>
            <w:lang w:val="bg-BG"/>
          </w:rPr>
          <w:t>=</w:t>
        </w:r>
        <w:r>
          <w:rPr>
            <w:rStyle w:val="Hyperlink"/>
            <w:rFonts w:ascii="Times New Roman" w:hAnsi="Times New Roman"/>
            <w:i/>
          </w:rPr>
          <w:t>CELEX</w:t>
        </w:r>
        <w:r>
          <w:rPr>
            <w:rStyle w:val="Hyperlink"/>
            <w:rFonts w:ascii="Times New Roman" w:hAnsi="Times New Roman"/>
            <w:i/>
            <w:lang w:val="bg-BG"/>
          </w:rPr>
          <w:t>:32014</w:t>
        </w:r>
        <w:r>
          <w:rPr>
            <w:rStyle w:val="Hyperlink"/>
            <w:rFonts w:ascii="Times New Roman" w:hAnsi="Times New Roman"/>
            <w:i/>
          </w:rPr>
          <w:t>L</w:t>
        </w:r>
        <w:r>
          <w:rPr>
            <w:rStyle w:val="Hyperlink"/>
            <w:rFonts w:ascii="Times New Roman" w:hAnsi="Times New Roman"/>
            <w:i/>
            <w:lang w:val="bg-BG"/>
          </w:rPr>
          <w:t>0059</w:t>
        </w:r>
      </w:hyperlink>
      <w:r>
        <w:rPr>
          <w:rFonts w:ascii="Times New Roman" w:hAnsi="Times New Roman"/>
          <w:i/>
          <w:lang w:val="bg-BG"/>
        </w:rPr>
        <w:t>.</w:t>
      </w:r>
    </w:p>
  </w:footnote>
  <w:footnote w:id="51">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i/>
          <w:lang w:val="bg-BG"/>
        </w:rPr>
        <w:t xml:space="preserve"> </w:t>
      </w:r>
      <w:r>
        <w:rPr>
          <w:rFonts w:ascii="Times New Roman" w:hAnsi="Times New Roman"/>
          <w:lang w:val="bg-BG"/>
        </w:rPr>
        <w:t>Решение на Комисията от 22 ноември 2015</w:t>
      </w:r>
      <w:r>
        <w:rPr>
          <w:rFonts w:ascii="Times New Roman" w:hAnsi="Times New Roman"/>
        </w:rPr>
        <w:t> </w:t>
      </w:r>
      <w:r>
        <w:rPr>
          <w:rFonts w:ascii="Times New Roman" w:hAnsi="Times New Roman"/>
          <w:lang w:val="bg-BG"/>
        </w:rPr>
        <w:t xml:space="preserve">г. по дело </w:t>
      </w:r>
      <w:r>
        <w:rPr>
          <w:rFonts w:ascii="Times New Roman" w:hAnsi="Times New Roman"/>
        </w:rPr>
        <w:t>SA</w:t>
      </w:r>
      <w:r>
        <w:rPr>
          <w:rFonts w:ascii="Times New Roman" w:hAnsi="Times New Roman"/>
          <w:lang w:val="bg-BG"/>
        </w:rPr>
        <w:t>.39543,</w:t>
      </w:r>
      <w:r>
        <w:rPr>
          <w:rFonts w:ascii="Times New Roman" w:hAnsi="Times New Roman"/>
          <w:i/>
          <w:lang w:val="bg-BG"/>
        </w:rPr>
        <w:t xml:space="preserve"> Преструктуриране на </w:t>
      </w:r>
      <w:r>
        <w:rPr>
          <w:rFonts w:ascii="Times New Roman" w:hAnsi="Times New Roman"/>
          <w:i/>
        </w:rPr>
        <w:t>Banca</w:t>
      </w:r>
      <w:r>
        <w:rPr>
          <w:rFonts w:ascii="Times New Roman" w:hAnsi="Times New Roman"/>
          <w:i/>
          <w:lang w:val="bg-BG"/>
        </w:rPr>
        <w:t xml:space="preserve"> </w:t>
      </w:r>
      <w:r>
        <w:rPr>
          <w:rFonts w:ascii="Times New Roman" w:hAnsi="Times New Roman"/>
          <w:i/>
        </w:rPr>
        <w:t>delle</w:t>
      </w:r>
      <w:r>
        <w:rPr>
          <w:rFonts w:ascii="Times New Roman" w:hAnsi="Times New Roman"/>
          <w:i/>
          <w:lang w:val="bg-BG"/>
        </w:rPr>
        <w:t xml:space="preserve"> </w:t>
      </w:r>
      <w:r>
        <w:rPr>
          <w:rFonts w:ascii="Times New Roman" w:hAnsi="Times New Roman"/>
          <w:i/>
        </w:rPr>
        <w:t>Marche</w:t>
      </w:r>
      <w:r>
        <w:rPr>
          <w:rFonts w:ascii="Times New Roman" w:hAnsi="Times New Roman"/>
          <w:i/>
          <w:lang w:val="bg-BG"/>
        </w:rPr>
        <w:t xml:space="preserve"> </w:t>
      </w:r>
      <w:r>
        <w:rPr>
          <w:rFonts w:ascii="Times New Roman" w:hAnsi="Times New Roman"/>
          <w:i/>
        </w:rPr>
        <w:t>S</w:t>
      </w:r>
      <w:r>
        <w:rPr>
          <w:rFonts w:ascii="Times New Roman" w:hAnsi="Times New Roman"/>
          <w:i/>
          <w:lang w:val="bg-BG"/>
        </w:rPr>
        <w:t>.</w:t>
      </w:r>
      <w:r>
        <w:rPr>
          <w:rFonts w:ascii="Times New Roman" w:hAnsi="Times New Roman"/>
          <w:i/>
        </w:rPr>
        <w:t>p</w:t>
      </w:r>
      <w:r>
        <w:rPr>
          <w:rFonts w:ascii="Times New Roman" w:hAnsi="Times New Roman"/>
          <w:i/>
          <w:lang w:val="bg-BG"/>
        </w:rPr>
        <w:t>.</w:t>
      </w:r>
      <w:r>
        <w:rPr>
          <w:rFonts w:ascii="Times New Roman" w:hAnsi="Times New Roman"/>
          <w:i/>
        </w:rPr>
        <w:t>A</w:t>
      </w:r>
      <w:r>
        <w:rPr>
          <w:rFonts w:ascii="Times New Roman" w:hAnsi="Times New Roman"/>
          <w:lang w:val="bg-BG"/>
        </w:rPr>
        <w:t xml:space="preserve">, публикувано на </w:t>
      </w:r>
      <w:hyperlink r:id="rId48">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=3_</w:t>
        </w:r>
        <w:r>
          <w:rPr>
            <w:rStyle w:val="Hyperlink"/>
            <w:rFonts w:ascii="Times New Roman" w:hAnsi="Times New Roman"/>
          </w:rPr>
          <w:t>SA</w:t>
        </w:r>
        <w:r>
          <w:rPr>
            <w:rStyle w:val="Hyperlink"/>
            <w:rFonts w:ascii="Times New Roman" w:hAnsi="Times New Roman"/>
            <w:lang w:val="bg-BG"/>
          </w:rPr>
          <w:t>_39543</w:t>
        </w:r>
      </w:hyperlink>
      <w:r>
        <w:rPr>
          <w:rFonts w:ascii="Times New Roman" w:hAnsi="Times New Roman"/>
          <w:lang w:val="bg-BG"/>
        </w:rPr>
        <w:t>; Решение на Комисията от 22 ноември 2015</w:t>
      </w:r>
      <w:r>
        <w:rPr>
          <w:rFonts w:ascii="Times New Roman" w:hAnsi="Times New Roman"/>
        </w:rPr>
        <w:t> </w:t>
      </w:r>
      <w:r>
        <w:rPr>
          <w:rFonts w:ascii="Times New Roman" w:hAnsi="Times New Roman"/>
          <w:lang w:val="bg-BG"/>
        </w:rPr>
        <w:t xml:space="preserve">г. по дело </w:t>
      </w:r>
      <w:r>
        <w:rPr>
          <w:rFonts w:ascii="Times New Roman" w:hAnsi="Times New Roman"/>
        </w:rPr>
        <w:t>SA</w:t>
      </w:r>
      <w:r>
        <w:rPr>
          <w:rFonts w:ascii="Times New Roman" w:hAnsi="Times New Roman"/>
          <w:lang w:val="bg-BG"/>
        </w:rPr>
        <w:t xml:space="preserve">.41134, </w:t>
      </w:r>
      <w:r>
        <w:rPr>
          <w:rFonts w:ascii="Times New Roman" w:hAnsi="Times New Roman"/>
          <w:i/>
          <w:lang w:val="bg-BG"/>
        </w:rPr>
        <w:t xml:space="preserve">Преструктуриране на </w:t>
      </w:r>
      <w:r>
        <w:rPr>
          <w:rFonts w:ascii="Times New Roman" w:hAnsi="Times New Roman"/>
          <w:i/>
        </w:rPr>
        <w:t>Banca</w:t>
      </w:r>
      <w:r>
        <w:rPr>
          <w:rFonts w:ascii="Times New Roman" w:hAnsi="Times New Roman"/>
          <w:i/>
          <w:lang w:val="bg-BG"/>
        </w:rPr>
        <w:t xml:space="preserve"> </w:t>
      </w:r>
      <w:r>
        <w:rPr>
          <w:rFonts w:ascii="Times New Roman" w:hAnsi="Times New Roman"/>
          <w:i/>
        </w:rPr>
        <w:t>Popolare</w:t>
      </w:r>
      <w:r>
        <w:rPr>
          <w:rFonts w:ascii="Times New Roman" w:hAnsi="Times New Roman"/>
          <w:i/>
          <w:lang w:val="bg-BG"/>
        </w:rPr>
        <w:t xml:space="preserve"> </w:t>
      </w:r>
      <w:r>
        <w:rPr>
          <w:rFonts w:ascii="Times New Roman" w:hAnsi="Times New Roman"/>
          <w:i/>
        </w:rPr>
        <w:t>dell</w:t>
      </w:r>
      <w:r>
        <w:rPr>
          <w:rFonts w:ascii="Times New Roman" w:hAnsi="Times New Roman"/>
          <w:i/>
          <w:lang w:val="bg-BG"/>
        </w:rPr>
        <w:t>’</w:t>
      </w:r>
      <w:r>
        <w:rPr>
          <w:rFonts w:ascii="Times New Roman" w:hAnsi="Times New Roman"/>
          <w:i/>
        </w:rPr>
        <w:t>Etruria</w:t>
      </w:r>
      <w:r>
        <w:rPr>
          <w:rFonts w:ascii="Times New Roman" w:hAnsi="Times New Roman"/>
          <w:i/>
          <w:lang w:val="bg-BG"/>
        </w:rPr>
        <w:t xml:space="preserve"> </w:t>
      </w:r>
      <w:r>
        <w:rPr>
          <w:rFonts w:ascii="Times New Roman" w:hAnsi="Times New Roman"/>
          <w:i/>
        </w:rPr>
        <w:t>e</w:t>
      </w:r>
      <w:r>
        <w:rPr>
          <w:rFonts w:ascii="Times New Roman" w:hAnsi="Times New Roman"/>
          <w:i/>
          <w:lang w:val="bg-BG"/>
        </w:rPr>
        <w:t xml:space="preserve"> </w:t>
      </w:r>
      <w:r>
        <w:rPr>
          <w:rFonts w:ascii="Times New Roman" w:hAnsi="Times New Roman"/>
          <w:i/>
        </w:rPr>
        <w:t>del</w:t>
      </w:r>
      <w:r>
        <w:rPr>
          <w:rFonts w:ascii="Times New Roman" w:hAnsi="Times New Roman"/>
          <w:i/>
          <w:lang w:val="bg-BG"/>
        </w:rPr>
        <w:t xml:space="preserve"> </w:t>
      </w:r>
      <w:r>
        <w:rPr>
          <w:rFonts w:ascii="Times New Roman" w:hAnsi="Times New Roman"/>
          <w:i/>
        </w:rPr>
        <w:t>Lazio</w:t>
      </w:r>
      <w:r>
        <w:rPr>
          <w:rFonts w:ascii="Times New Roman" w:hAnsi="Times New Roman"/>
          <w:i/>
          <w:lang w:val="bg-BG"/>
        </w:rPr>
        <w:t xml:space="preserve"> - </w:t>
      </w:r>
      <w:r>
        <w:rPr>
          <w:rFonts w:ascii="Times New Roman" w:hAnsi="Times New Roman"/>
          <w:i/>
        </w:rPr>
        <w:t>Soc</w:t>
      </w:r>
      <w:r>
        <w:rPr>
          <w:rFonts w:ascii="Times New Roman" w:hAnsi="Times New Roman"/>
          <w:i/>
          <w:lang w:val="bg-BG"/>
        </w:rPr>
        <w:t xml:space="preserve">. </w:t>
      </w:r>
      <w:r>
        <w:rPr>
          <w:rFonts w:ascii="Times New Roman" w:hAnsi="Times New Roman"/>
          <w:i/>
        </w:rPr>
        <w:t>Coop</w:t>
      </w:r>
      <w:r>
        <w:rPr>
          <w:rFonts w:ascii="Times New Roman" w:hAnsi="Times New Roman"/>
          <w:lang w:val="bg-BG"/>
        </w:rPr>
        <w:t xml:space="preserve">., публикувано на </w:t>
      </w:r>
      <w:hyperlink r:id="rId49">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=3_</w:t>
        </w:r>
        <w:r>
          <w:rPr>
            <w:rStyle w:val="Hyperlink"/>
            <w:rFonts w:ascii="Times New Roman" w:hAnsi="Times New Roman"/>
          </w:rPr>
          <w:t>SA</w:t>
        </w:r>
        <w:r>
          <w:rPr>
            <w:rStyle w:val="Hyperlink"/>
            <w:rFonts w:ascii="Times New Roman" w:hAnsi="Times New Roman"/>
            <w:lang w:val="bg-BG"/>
          </w:rPr>
          <w:t>_41134</w:t>
        </w:r>
      </w:hyperlink>
      <w:r>
        <w:rPr>
          <w:rFonts w:ascii="Times New Roman" w:hAnsi="Times New Roman"/>
          <w:lang w:val="bg-BG"/>
        </w:rPr>
        <w:t>; Решение на Комисията от 22 ноември 2015</w:t>
      </w:r>
      <w:r>
        <w:rPr>
          <w:rFonts w:ascii="Times New Roman" w:hAnsi="Times New Roman"/>
        </w:rPr>
        <w:t> </w:t>
      </w:r>
      <w:r>
        <w:rPr>
          <w:rFonts w:ascii="Times New Roman" w:hAnsi="Times New Roman"/>
          <w:lang w:val="bg-BG"/>
        </w:rPr>
        <w:t xml:space="preserve">г. по дело </w:t>
      </w:r>
      <w:r>
        <w:rPr>
          <w:rFonts w:ascii="Times New Roman" w:hAnsi="Times New Roman"/>
        </w:rPr>
        <w:t>SA</w:t>
      </w:r>
      <w:r>
        <w:rPr>
          <w:rFonts w:ascii="Times New Roman" w:hAnsi="Times New Roman"/>
          <w:lang w:val="bg-BG"/>
        </w:rPr>
        <w:t xml:space="preserve">.41925, </w:t>
      </w:r>
      <w:r>
        <w:rPr>
          <w:rFonts w:ascii="Times New Roman" w:hAnsi="Times New Roman"/>
          <w:i/>
          <w:lang w:val="bg-BG"/>
        </w:rPr>
        <w:t>Преструктур</w:t>
      </w:r>
      <w:r>
        <w:rPr>
          <w:rFonts w:ascii="Times New Roman" w:hAnsi="Times New Roman"/>
          <w:i/>
          <w:lang w:val="bg-BG"/>
        </w:rPr>
        <w:t xml:space="preserve">иране на </w:t>
      </w:r>
      <w:r>
        <w:rPr>
          <w:rFonts w:ascii="Times New Roman" w:hAnsi="Times New Roman"/>
          <w:i/>
        </w:rPr>
        <w:t>Cassa</w:t>
      </w:r>
      <w:r>
        <w:rPr>
          <w:rFonts w:ascii="Times New Roman" w:hAnsi="Times New Roman"/>
          <w:i/>
          <w:lang w:val="bg-BG"/>
        </w:rPr>
        <w:t xml:space="preserve"> </w:t>
      </w:r>
      <w:r>
        <w:rPr>
          <w:rFonts w:ascii="Times New Roman" w:hAnsi="Times New Roman"/>
          <w:i/>
        </w:rPr>
        <w:t>di</w:t>
      </w:r>
      <w:r>
        <w:rPr>
          <w:rFonts w:ascii="Times New Roman" w:hAnsi="Times New Roman"/>
          <w:i/>
          <w:lang w:val="bg-BG"/>
        </w:rPr>
        <w:t xml:space="preserve"> </w:t>
      </w:r>
      <w:r>
        <w:rPr>
          <w:rFonts w:ascii="Times New Roman" w:hAnsi="Times New Roman"/>
          <w:i/>
        </w:rPr>
        <w:t>risparmio</w:t>
      </w:r>
      <w:r>
        <w:rPr>
          <w:rFonts w:ascii="Times New Roman" w:hAnsi="Times New Roman"/>
          <w:i/>
          <w:lang w:val="bg-BG"/>
        </w:rPr>
        <w:t xml:space="preserve"> </w:t>
      </w:r>
      <w:r>
        <w:rPr>
          <w:rFonts w:ascii="Times New Roman" w:hAnsi="Times New Roman"/>
          <w:i/>
        </w:rPr>
        <w:t>di</w:t>
      </w:r>
      <w:r>
        <w:rPr>
          <w:rFonts w:ascii="Times New Roman" w:hAnsi="Times New Roman"/>
          <w:i/>
          <w:lang w:val="bg-BG"/>
        </w:rPr>
        <w:t xml:space="preserve"> </w:t>
      </w:r>
      <w:r>
        <w:rPr>
          <w:rFonts w:ascii="Times New Roman" w:hAnsi="Times New Roman"/>
          <w:i/>
        </w:rPr>
        <w:t>Ferrara</w:t>
      </w:r>
      <w:r>
        <w:rPr>
          <w:rFonts w:ascii="Times New Roman" w:hAnsi="Times New Roman"/>
          <w:i/>
          <w:lang w:val="bg-BG"/>
        </w:rPr>
        <w:t xml:space="preserve"> </w:t>
      </w:r>
      <w:r>
        <w:rPr>
          <w:rFonts w:ascii="Times New Roman" w:hAnsi="Times New Roman"/>
          <w:i/>
        </w:rPr>
        <w:t>S</w:t>
      </w:r>
      <w:r>
        <w:rPr>
          <w:rFonts w:ascii="Times New Roman" w:hAnsi="Times New Roman"/>
          <w:i/>
          <w:lang w:val="bg-BG"/>
        </w:rPr>
        <w:t>.</w:t>
      </w:r>
      <w:r>
        <w:rPr>
          <w:rFonts w:ascii="Times New Roman" w:hAnsi="Times New Roman"/>
          <w:i/>
        </w:rPr>
        <w:t>p</w:t>
      </w:r>
      <w:r>
        <w:rPr>
          <w:rFonts w:ascii="Times New Roman" w:hAnsi="Times New Roman"/>
          <w:i/>
          <w:lang w:val="bg-BG"/>
        </w:rPr>
        <w:t>.</w:t>
      </w:r>
      <w:r>
        <w:rPr>
          <w:rFonts w:ascii="Times New Roman" w:hAnsi="Times New Roman"/>
          <w:i/>
        </w:rPr>
        <w:t>A</w:t>
      </w:r>
      <w:r>
        <w:rPr>
          <w:rFonts w:ascii="Times New Roman" w:hAnsi="Times New Roman"/>
          <w:lang w:val="bg-BG"/>
        </w:rPr>
        <w:t xml:space="preserve">, публикувано на </w:t>
      </w:r>
      <w:hyperlink r:id="rId50">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=3_</w:t>
        </w:r>
        <w:r>
          <w:rPr>
            <w:rStyle w:val="Hyperlink"/>
            <w:rFonts w:ascii="Times New Roman" w:hAnsi="Times New Roman"/>
          </w:rPr>
          <w:t>SA</w:t>
        </w:r>
        <w:r>
          <w:rPr>
            <w:rStyle w:val="Hyperlink"/>
            <w:rFonts w:ascii="Times New Roman" w:hAnsi="Times New Roman"/>
            <w:lang w:val="bg-BG"/>
          </w:rPr>
          <w:t>_41925</w:t>
        </w:r>
      </w:hyperlink>
      <w:r>
        <w:rPr>
          <w:rFonts w:ascii="Times New Roman" w:hAnsi="Times New Roman"/>
          <w:lang w:val="bg-BG"/>
        </w:rPr>
        <w:t>; и Решение</w:t>
      </w:r>
      <w:r>
        <w:rPr>
          <w:rFonts w:ascii="Times New Roman" w:hAnsi="Times New Roman"/>
          <w:lang w:val="bg-BG"/>
        </w:rPr>
        <w:t xml:space="preserve"> на Комисията от 22 ноември 2015</w:t>
      </w:r>
      <w:r>
        <w:rPr>
          <w:rFonts w:ascii="Times New Roman" w:hAnsi="Times New Roman"/>
        </w:rPr>
        <w:t> </w:t>
      </w:r>
      <w:r>
        <w:rPr>
          <w:rFonts w:ascii="Times New Roman" w:hAnsi="Times New Roman"/>
          <w:lang w:val="bg-BG"/>
        </w:rPr>
        <w:t xml:space="preserve">г. по дело </w:t>
      </w:r>
      <w:r>
        <w:rPr>
          <w:rFonts w:ascii="Times New Roman" w:hAnsi="Times New Roman"/>
        </w:rPr>
        <w:t>SA</w:t>
      </w:r>
      <w:r>
        <w:rPr>
          <w:rFonts w:ascii="Times New Roman" w:hAnsi="Times New Roman"/>
          <w:lang w:val="bg-BG"/>
        </w:rPr>
        <w:t xml:space="preserve">.43547, </w:t>
      </w:r>
      <w:r>
        <w:rPr>
          <w:rFonts w:ascii="Times New Roman" w:hAnsi="Times New Roman"/>
          <w:i/>
          <w:lang w:val="bg-BG"/>
        </w:rPr>
        <w:t xml:space="preserve">Преструктуриране на </w:t>
      </w:r>
      <w:r>
        <w:rPr>
          <w:rFonts w:ascii="Times New Roman" w:hAnsi="Times New Roman"/>
          <w:i/>
        </w:rPr>
        <w:t>Cassa</w:t>
      </w:r>
      <w:r>
        <w:rPr>
          <w:rFonts w:ascii="Times New Roman" w:hAnsi="Times New Roman"/>
          <w:i/>
          <w:lang w:val="bg-BG"/>
        </w:rPr>
        <w:t xml:space="preserve"> </w:t>
      </w:r>
      <w:r>
        <w:rPr>
          <w:rFonts w:ascii="Times New Roman" w:hAnsi="Times New Roman"/>
          <w:i/>
        </w:rPr>
        <w:t>di</w:t>
      </w:r>
      <w:r>
        <w:rPr>
          <w:rFonts w:ascii="Times New Roman" w:hAnsi="Times New Roman"/>
          <w:i/>
          <w:lang w:val="bg-BG"/>
        </w:rPr>
        <w:t xml:space="preserve"> </w:t>
      </w:r>
      <w:r>
        <w:rPr>
          <w:rFonts w:ascii="Times New Roman" w:hAnsi="Times New Roman"/>
          <w:i/>
        </w:rPr>
        <w:t>risparmio</w:t>
      </w:r>
      <w:r>
        <w:rPr>
          <w:rFonts w:ascii="Times New Roman" w:hAnsi="Times New Roman"/>
          <w:i/>
          <w:lang w:val="bg-BG"/>
        </w:rPr>
        <w:t xml:space="preserve"> </w:t>
      </w:r>
      <w:r>
        <w:rPr>
          <w:rFonts w:ascii="Times New Roman" w:hAnsi="Times New Roman"/>
          <w:i/>
        </w:rPr>
        <w:t>della</w:t>
      </w:r>
      <w:r>
        <w:rPr>
          <w:rFonts w:ascii="Times New Roman" w:hAnsi="Times New Roman"/>
          <w:i/>
          <w:lang w:val="bg-BG"/>
        </w:rPr>
        <w:t xml:space="preserve"> </w:t>
      </w:r>
      <w:r>
        <w:rPr>
          <w:rFonts w:ascii="Times New Roman" w:hAnsi="Times New Roman"/>
          <w:i/>
        </w:rPr>
        <w:t>Provincia</w:t>
      </w:r>
      <w:r>
        <w:rPr>
          <w:rFonts w:ascii="Times New Roman" w:hAnsi="Times New Roman"/>
          <w:i/>
          <w:lang w:val="bg-BG"/>
        </w:rPr>
        <w:t xml:space="preserve"> </w:t>
      </w:r>
      <w:r>
        <w:rPr>
          <w:rFonts w:ascii="Times New Roman" w:hAnsi="Times New Roman"/>
          <w:i/>
        </w:rPr>
        <w:t>di</w:t>
      </w:r>
      <w:r>
        <w:rPr>
          <w:rFonts w:ascii="Times New Roman" w:hAnsi="Times New Roman"/>
          <w:i/>
          <w:lang w:val="bg-BG"/>
        </w:rPr>
        <w:t xml:space="preserve"> </w:t>
      </w:r>
      <w:r>
        <w:rPr>
          <w:rFonts w:ascii="Times New Roman" w:hAnsi="Times New Roman"/>
          <w:i/>
        </w:rPr>
        <w:t>Chieti</w:t>
      </w:r>
      <w:r>
        <w:rPr>
          <w:rFonts w:ascii="Times New Roman" w:hAnsi="Times New Roman"/>
          <w:i/>
          <w:lang w:val="bg-BG"/>
        </w:rPr>
        <w:t xml:space="preserve"> </w:t>
      </w:r>
      <w:r>
        <w:rPr>
          <w:rFonts w:ascii="Times New Roman" w:hAnsi="Times New Roman"/>
          <w:i/>
        </w:rPr>
        <w:t>S</w:t>
      </w:r>
      <w:r>
        <w:rPr>
          <w:rFonts w:ascii="Times New Roman" w:hAnsi="Times New Roman"/>
          <w:i/>
          <w:lang w:val="bg-BG"/>
        </w:rPr>
        <w:t>.</w:t>
      </w:r>
      <w:r>
        <w:rPr>
          <w:rFonts w:ascii="Times New Roman" w:hAnsi="Times New Roman"/>
          <w:i/>
        </w:rPr>
        <w:t>p</w:t>
      </w:r>
      <w:r>
        <w:rPr>
          <w:rFonts w:ascii="Times New Roman" w:hAnsi="Times New Roman"/>
          <w:i/>
          <w:lang w:val="bg-BG"/>
        </w:rPr>
        <w:t>.</w:t>
      </w:r>
      <w:r>
        <w:rPr>
          <w:rFonts w:ascii="Times New Roman" w:hAnsi="Times New Roman"/>
          <w:i/>
        </w:rPr>
        <w:t>A</w:t>
      </w:r>
      <w:r>
        <w:rPr>
          <w:rFonts w:ascii="Times New Roman" w:hAnsi="Times New Roman"/>
          <w:lang w:val="bg-BG"/>
        </w:rPr>
        <w:t xml:space="preserve">., публикувано на </w:t>
      </w:r>
      <w:hyperlink r:id="rId51" w:history="1">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w:t>
        </w:r>
        <w:r>
          <w:rPr>
            <w:rStyle w:val="Hyperlink"/>
            <w:rFonts w:ascii="Times New Roman" w:hAnsi="Times New Roman"/>
          </w:rPr>
          <w:t>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competition</w:t>
        </w:r>
        <w:r>
          <w:rPr>
            <w:rStyle w:val="Hyperlink"/>
            <w:rFonts w:ascii="Times New Roman" w:hAnsi="Times New Roman"/>
            <w:lang w:val="bg-BG"/>
          </w:rPr>
          <w:t>/</w:t>
        </w:r>
        <w:r>
          <w:rPr>
            <w:rStyle w:val="Hyperlink"/>
            <w:rFonts w:ascii="Times New Roman" w:hAnsi="Times New Roman"/>
          </w:rPr>
          <w:t>elojade</w:t>
        </w:r>
        <w:r>
          <w:rPr>
            <w:rStyle w:val="Hyperlink"/>
            <w:rFonts w:ascii="Times New Roman" w:hAnsi="Times New Roman"/>
            <w:lang w:val="bg-BG"/>
          </w:rPr>
          <w:t>/</w:t>
        </w:r>
        <w:r>
          <w:rPr>
            <w:rStyle w:val="Hyperlink"/>
            <w:rFonts w:ascii="Times New Roman" w:hAnsi="Times New Roman"/>
          </w:rPr>
          <w:t>isef</w:t>
        </w:r>
        <w:r>
          <w:rPr>
            <w:rStyle w:val="Hyperlink"/>
            <w:rFonts w:ascii="Times New Roman" w:hAnsi="Times New Roman"/>
            <w:lang w:val="bg-BG"/>
          </w:rPr>
          <w:t>/</w:t>
        </w:r>
        <w:r>
          <w:rPr>
            <w:rStyle w:val="Hyperlink"/>
            <w:rFonts w:ascii="Times New Roman" w:hAnsi="Times New Roman"/>
          </w:rPr>
          <w:t>case</w:t>
        </w:r>
        <w:r>
          <w:rPr>
            <w:rStyle w:val="Hyperlink"/>
            <w:rFonts w:ascii="Times New Roman" w:hAnsi="Times New Roman"/>
            <w:lang w:val="bg-BG"/>
          </w:rPr>
          <w:t>_</w:t>
        </w:r>
        <w:r>
          <w:rPr>
            <w:rStyle w:val="Hyperlink"/>
            <w:rFonts w:ascii="Times New Roman" w:hAnsi="Times New Roman"/>
          </w:rPr>
          <w:t>details</w:t>
        </w:r>
        <w:r>
          <w:rPr>
            <w:rStyle w:val="Hyperlink"/>
            <w:rFonts w:ascii="Times New Roman" w:hAnsi="Times New Roman"/>
            <w:lang w:val="bg-BG"/>
          </w:rPr>
          <w:t>.</w:t>
        </w:r>
        <w:r>
          <w:rPr>
            <w:rStyle w:val="Hyperlink"/>
            <w:rFonts w:ascii="Times New Roman" w:hAnsi="Times New Roman"/>
          </w:rPr>
          <w:t>cfm</w:t>
        </w:r>
        <w:r>
          <w:rPr>
            <w:rStyle w:val="Hyperlink"/>
            <w:rFonts w:ascii="Times New Roman" w:hAnsi="Times New Roman"/>
            <w:lang w:val="bg-BG"/>
          </w:rPr>
          <w:t>?</w:t>
        </w:r>
        <w:r>
          <w:rPr>
            <w:rStyle w:val="Hyperlink"/>
            <w:rFonts w:ascii="Times New Roman" w:hAnsi="Times New Roman"/>
          </w:rPr>
          <w:t>proc</w:t>
        </w:r>
        <w:r>
          <w:rPr>
            <w:rStyle w:val="Hyperlink"/>
            <w:rFonts w:ascii="Times New Roman" w:hAnsi="Times New Roman"/>
            <w:lang w:val="bg-BG"/>
          </w:rPr>
          <w:t>_</w:t>
        </w:r>
        <w:r>
          <w:rPr>
            <w:rStyle w:val="Hyperlink"/>
            <w:rFonts w:ascii="Times New Roman" w:hAnsi="Times New Roman"/>
          </w:rPr>
          <w:t>code</w:t>
        </w:r>
        <w:r>
          <w:rPr>
            <w:rStyle w:val="Hyperlink"/>
            <w:rFonts w:ascii="Times New Roman" w:hAnsi="Times New Roman"/>
            <w:lang w:val="bg-BG"/>
          </w:rPr>
          <w:t>=3_</w:t>
        </w:r>
        <w:r>
          <w:rPr>
            <w:rStyle w:val="Hyperlink"/>
            <w:rFonts w:ascii="Times New Roman" w:hAnsi="Times New Roman"/>
          </w:rPr>
          <w:t>SA</w:t>
        </w:r>
        <w:r>
          <w:rPr>
            <w:rStyle w:val="Hyperlink"/>
            <w:rFonts w:ascii="Times New Roman" w:hAnsi="Times New Roman"/>
            <w:lang w:val="bg-BG"/>
          </w:rPr>
          <w:t>_43547</w:t>
        </w:r>
      </w:hyperlink>
      <w:r>
        <w:rPr>
          <w:rFonts w:ascii="Times New Roman" w:hAnsi="Times New Roman"/>
          <w:lang w:val="bg-BG"/>
        </w:rPr>
        <w:t>.</w:t>
      </w:r>
    </w:p>
  </w:footnote>
  <w:footnote w:id="52">
    <w:p w:rsidR="00BA319C" w:rsidRDefault="008D6BD5">
      <w:pPr>
        <w:pStyle w:val="FootnoteText"/>
        <w:spacing w:after="0" w:line="240" w:lineRule="auto"/>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Вж. </w:t>
      </w:r>
      <w:hyperlink r:id="rId52">
        <w:r>
          <w:rPr>
            <w:rStyle w:val="Hyperlink"/>
            <w:rFonts w:ascii="Times New Roman" w:hAnsi="Times New Roman"/>
          </w:rPr>
          <w:t>https</w:t>
        </w:r>
        <w:r>
          <w:rPr>
            <w:rStyle w:val="Hyperlink"/>
            <w:rFonts w:ascii="Times New Roman" w:hAnsi="Times New Roman"/>
            <w:lang w:val="bg-BG"/>
          </w:rPr>
          <w:t>://</w:t>
        </w:r>
        <w:r>
          <w:rPr>
            <w:rStyle w:val="Hyperlink"/>
            <w:rFonts w:ascii="Times New Roman" w:hAnsi="Times New Roman"/>
          </w:rPr>
          <w:t>www</w:t>
        </w:r>
        <w:r>
          <w:rPr>
            <w:rStyle w:val="Hyperlink"/>
            <w:rFonts w:ascii="Times New Roman" w:hAnsi="Times New Roman"/>
            <w:lang w:val="bg-BG"/>
          </w:rPr>
          <w:t>.</w:t>
        </w:r>
        <w:r>
          <w:rPr>
            <w:rStyle w:val="Hyperlink"/>
            <w:rFonts w:ascii="Times New Roman" w:hAnsi="Times New Roman"/>
          </w:rPr>
          <w:t>bankingsupervision</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press</w:t>
        </w:r>
        <w:r>
          <w:rPr>
            <w:rStyle w:val="Hyperlink"/>
            <w:rFonts w:ascii="Times New Roman" w:hAnsi="Times New Roman"/>
            <w:lang w:val="bg-BG"/>
          </w:rPr>
          <w:t>/</w:t>
        </w:r>
        <w:r>
          <w:rPr>
            <w:rStyle w:val="Hyperlink"/>
            <w:rFonts w:ascii="Times New Roman" w:hAnsi="Times New Roman"/>
          </w:rPr>
          <w:t>pr</w:t>
        </w:r>
        <w:r>
          <w:rPr>
            <w:rStyle w:val="Hyperlink"/>
            <w:rFonts w:ascii="Times New Roman" w:hAnsi="Times New Roman"/>
            <w:lang w:val="bg-BG"/>
          </w:rPr>
          <w:t>/</w:t>
        </w:r>
        <w:r>
          <w:rPr>
            <w:rStyle w:val="Hyperlink"/>
            <w:rFonts w:ascii="Times New Roman" w:hAnsi="Times New Roman"/>
          </w:rPr>
          <w:t>date</w:t>
        </w:r>
        <w:r>
          <w:rPr>
            <w:rStyle w:val="Hyperlink"/>
            <w:rFonts w:ascii="Times New Roman" w:hAnsi="Times New Roman"/>
            <w:lang w:val="bg-BG"/>
          </w:rPr>
          <w:t>/2015/</w:t>
        </w:r>
        <w:r>
          <w:rPr>
            <w:rStyle w:val="Hyperlink"/>
            <w:rFonts w:ascii="Times New Roman" w:hAnsi="Times New Roman"/>
          </w:rPr>
          <w:t>html</w:t>
        </w:r>
        <w:r>
          <w:rPr>
            <w:rStyle w:val="Hyperlink"/>
            <w:rFonts w:ascii="Times New Roman" w:hAnsi="Times New Roman"/>
            <w:lang w:val="bg-BG"/>
          </w:rPr>
          <w:t>/</w:t>
        </w:r>
        <w:r>
          <w:rPr>
            <w:rStyle w:val="Hyperlink"/>
            <w:rFonts w:ascii="Times New Roman" w:hAnsi="Times New Roman"/>
          </w:rPr>
          <w:t>sr</w:t>
        </w:r>
        <w:r>
          <w:rPr>
            <w:rStyle w:val="Hyperlink"/>
            <w:rFonts w:ascii="Times New Roman" w:hAnsi="Times New Roman"/>
            <w:lang w:val="bg-BG"/>
          </w:rPr>
          <w:t>151031.</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html</w:t>
        </w:r>
      </w:hyperlink>
      <w:r>
        <w:rPr>
          <w:rFonts w:ascii="Times New Roman" w:hAnsi="Times New Roman"/>
          <w:lang w:val="bg-BG"/>
        </w:rPr>
        <w:t xml:space="preserve">.   </w:t>
      </w:r>
    </w:p>
  </w:footnote>
  <w:footnote w:id="53">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bg-BG"/>
        </w:rPr>
        <w:t>Р</w:t>
      </w:r>
      <w:r>
        <w:rPr>
          <w:rFonts w:ascii="Times New Roman" w:hAnsi="Times New Roman"/>
        </w:rPr>
        <w:t>ешение на Комисията от 29 ноември 2015 г.</w:t>
      </w:r>
      <w:r>
        <w:rPr>
          <w:rFonts w:ascii="Times New Roman" w:hAnsi="Times New Roman"/>
          <w:lang w:val="bg-BG"/>
        </w:rPr>
        <w:t xml:space="preserve"> по дело </w:t>
      </w:r>
      <w:r>
        <w:rPr>
          <w:rFonts w:ascii="Times New Roman" w:hAnsi="Times New Roman"/>
        </w:rPr>
        <w:t xml:space="preserve">SA.43364, </w:t>
      </w:r>
      <w:r>
        <w:rPr>
          <w:rFonts w:ascii="Times New Roman" w:hAnsi="Times New Roman"/>
          <w:i/>
        </w:rPr>
        <w:t>Допълнителна помощ от 2015 г. за преструктуриране в полза на Piraeus Bank</w:t>
      </w:r>
      <w:r>
        <w:rPr>
          <w:rFonts w:ascii="Times New Roman" w:hAnsi="Times New Roman"/>
        </w:rPr>
        <w:t xml:space="preserve">, публикувано на </w:t>
      </w:r>
      <w:hyperlink r:id="rId53">
        <w:r>
          <w:rPr>
            <w:rStyle w:val="Hyperlink"/>
            <w:rFonts w:ascii="Times New Roman" w:hAnsi="Times New Roman"/>
          </w:rPr>
          <w:t>http://ec.europa.eu/competition/elojade/isef/case_details.cfm?proc_code=3_SA_43364</w:t>
        </w:r>
      </w:hyperlink>
      <w:r>
        <w:rPr>
          <w:rFonts w:ascii="Times New Roman" w:hAnsi="Times New Roman"/>
        </w:rPr>
        <w:t xml:space="preserve">.    </w:t>
      </w:r>
    </w:p>
  </w:footnote>
  <w:footnote w:id="54">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bg-BG"/>
        </w:rPr>
        <w:t>Р</w:t>
      </w:r>
      <w:r>
        <w:rPr>
          <w:rFonts w:ascii="Times New Roman" w:hAnsi="Times New Roman"/>
        </w:rPr>
        <w:t>ешение на Комисията от 4 декември 2015 г.</w:t>
      </w:r>
      <w:r>
        <w:rPr>
          <w:rFonts w:ascii="Times New Roman" w:hAnsi="Times New Roman"/>
          <w:lang w:val="bg-BG"/>
        </w:rPr>
        <w:t xml:space="preserve"> по дело </w:t>
      </w:r>
      <w:r>
        <w:rPr>
          <w:rFonts w:ascii="Times New Roman" w:hAnsi="Times New Roman"/>
        </w:rPr>
        <w:t xml:space="preserve">SA.43365, </w:t>
      </w:r>
      <w:r>
        <w:rPr>
          <w:rFonts w:ascii="Times New Roman" w:hAnsi="Times New Roman"/>
          <w:i/>
        </w:rPr>
        <w:t>Допълнителна помощ от 2015 г. за преструктуриране в полза на Националната банка на Гърция</w:t>
      </w:r>
      <w:r>
        <w:rPr>
          <w:rFonts w:ascii="Times New Roman" w:hAnsi="Times New Roman"/>
        </w:rPr>
        <w:t>, публик</w:t>
      </w:r>
      <w:r>
        <w:rPr>
          <w:rFonts w:ascii="Times New Roman" w:hAnsi="Times New Roman"/>
        </w:rPr>
        <w:t xml:space="preserve">увано на </w:t>
      </w:r>
      <w:hyperlink r:id="rId54">
        <w:r>
          <w:rPr>
            <w:rStyle w:val="Hyperlink"/>
            <w:rFonts w:ascii="Times New Roman" w:hAnsi="Times New Roman"/>
          </w:rPr>
          <w:t>http://ec.europa.eu/competition/elojade/isef/case_details.cfm?proc_code=3_SA_43365</w:t>
        </w:r>
      </w:hyperlink>
      <w:r>
        <w:rPr>
          <w:rFonts w:ascii="Times New Roman" w:hAnsi="Times New Roman"/>
        </w:rPr>
        <w:t xml:space="preserve">.   </w:t>
      </w:r>
    </w:p>
  </w:footnote>
  <w:footnote w:id="55">
    <w:p w:rsidR="00BA319C" w:rsidRDefault="008D6BD5">
      <w:pPr>
        <w:pStyle w:val="FootnoteText"/>
        <w:spacing w:after="0" w:line="240" w:lineRule="auto"/>
        <w:rPr>
          <w:rStyle w:val="FootnoteReference"/>
          <w:rFonts w:ascii="Times New Roman" w:hAnsi="Times New Roman"/>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lang w:val="bg-BG"/>
        </w:rPr>
        <w:t>Р</w:t>
      </w:r>
      <w:r>
        <w:rPr>
          <w:rFonts w:ascii="Times New Roman" w:hAnsi="Times New Roman"/>
        </w:rPr>
        <w:t>ешение на Комисията от 18 декември 2015 г.</w:t>
      </w:r>
      <w:r>
        <w:rPr>
          <w:rFonts w:ascii="Times New Roman" w:hAnsi="Times New Roman"/>
          <w:lang w:val="bg-BG"/>
        </w:rPr>
        <w:t xml:space="preserve"> по дело </w:t>
      </w:r>
      <w:r>
        <w:rPr>
          <w:rFonts w:ascii="Times New Roman" w:hAnsi="Times New Roman"/>
        </w:rPr>
        <w:t>SA.43367,</w:t>
      </w:r>
      <w:r>
        <w:rPr>
          <w:rFonts w:ascii="Times New Roman" w:hAnsi="Times New Roman"/>
          <w:lang w:val="bg-BG"/>
        </w:rPr>
        <w:t xml:space="preserve"> </w:t>
      </w:r>
      <w:r>
        <w:rPr>
          <w:rFonts w:ascii="Times New Roman" w:hAnsi="Times New Roman"/>
          <w:i/>
        </w:rPr>
        <w:t>Допълнителна помощ от 2015 г. за преструктуриране в полза на Cooperative Central Bank</w:t>
      </w:r>
      <w:r>
        <w:rPr>
          <w:rFonts w:ascii="Times New Roman" w:hAnsi="Times New Roman"/>
        </w:rPr>
        <w:t xml:space="preserve">, публикувано на </w:t>
      </w:r>
      <w:hyperlink r:id="rId55" w:history="1">
        <w:r>
          <w:rPr>
            <w:rStyle w:val="Hyperlink"/>
            <w:rFonts w:ascii="Times New Roman" w:hAnsi="Times New Roman"/>
          </w:rPr>
          <w:t>http://ec.europa.eu/competition/elojade/isef/</w:t>
        </w:r>
        <w:r>
          <w:rPr>
            <w:rStyle w:val="Hyperlink"/>
            <w:rFonts w:ascii="Times New Roman" w:hAnsi="Times New Roman"/>
          </w:rPr>
          <w:t>case_details.cfm?proc_code=3_SA_43367</w:t>
        </w:r>
      </w:hyperlink>
      <w:r>
        <w:rPr>
          <w:rFonts w:ascii="Times New Roman" w:hAnsi="Times New Roman"/>
        </w:rPr>
        <w:t xml:space="preserve">. </w:t>
      </w:r>
    </w:p>
  </w:footnote>
  <w:footnote w:id="56">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Португалия успешно завърши своята тригодишна програма за икономически реформи през юни 2014 г.</w:t>
      </w:r>
    </w:p>
  </w:footnote>
  <w:footnote w:id="57">
    <w:p w:rsidR="00BA319C" w:rsidRDefault="008D6BD5">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bg-BG"/>
        </w:rPr>
        <w:t>Р</w:t>
      </w:r>
      <w:r>
        <w:rPr>
          <w:rFonts w:ascii="Times New Roman" w:hAnsi="Times New Roman"/>
        </w:rPr>
        <w:t>ешение на Комисията от 19 декември 2015 г.</w:t>
      </w:r>
      <w:r>
        <w:rPr>
          <w:rFonts w:ascii="Times New Roman" w:hAnsi="Times New Roman"/>
          <w:lang w:val="bg-BG"/>
        </w:rPr>
        <w:t xml:space="preserve"> по дело </w:t>
      </w:r>
      <w:r>
        <w:rPr>
          <w:rFonts w:ascii="Times New Roman" w:hAnsi="Times New Roman"/>
        </w:rPr>
        <w:t xml:space="preserve">SA.43976, </w:t>
      </w:r>
      <w:r>
        <w:rPr>
          <w:rFonts w:ascii="Times New Roman" w:hAnsi="Times New Roman"/>
          <w:i/>
        </w:rPr>
        <w:t>Изменение от 2014 г. на преструктурирането на Banco Esp</w:t>
      </w:r>
      <w:r>
        <w:rPr>
          <w:rFonts w:ascii="Times New Roman" w:hAnsi="Times New Roman"/>
          <w:i/>
        </w:rPr>
        <w:t>irito Santo S.A. (Novo Banco S.A.)</w:t>
      </w:r>
      <w:r>
        <w:rPr>
          <w:rFonts w:ascii="Times New Roman" w:hAnsi="Times New Roman"/>
        </w:rPr>
        <w:t xml:space="preserve">, публикувано на </w:t>
      </w:r>
      <w:hyperlink r:id="rId56" w:history="1">
        <w:r>
          <w:rPr>
            <w:rStyle w:val="Hyperlink"/>
            <w:rFonts w:ascii="Times New Roman" w:hAnsi="Times New Roman"/>
          </w:rPr>
          <w:t>http://ec.europa.eu/competition/elojade/isef/case_details.cfm?proc_code=3_SA_43976</w:t>
        </w:r>
      </w:hyperlink>
      <w:r>
        <w:rPr>
          <w:rFonts w:ascii="Times New Roman" w:hAnsi="Times New Roman"/>
        </w:rPr>
        <w:t xml:space="preserve">. </w:t>
      </w:r>
    </w:p>
  </w:footnote>
  <w:footnote w:id="58">
    <w:p w:rsidR="00BA319C" w:rsidRDefault="008D6BD5">
      <w:pPr>
        <w:pStyle w:val="FootnoteText"/>
        <w:spacing w:after="0" w:line="240" w:lineRule="auto"/>
      </w:pPr>
      <w:r>
        <w:rPr>
          <w:rStyle w:val="FootnoteReference"/>
          <w:rFonts w:ascii="Times New Roman" w:hAnsi="Times New Roman"/>
        </w:rPr>
        <w:footnoteRef/>
      </w:r>
      <w:r>
        <w:t xml:space="preserve"> </w:t>
      </w:r>
      <w:r>
        <w:rPr>
          <w:rFonts w:ascii="Times New Roman" w:hAnsi="Times New Roman"/>
          <w:lang w:val="bg-BG"/>
        </w:rPr>
        <w:t>Р</w:t>
      </w:r>
      <w:r>
        <w:rPr>
          <w:rFonts w:ascii="Times New Roman" w:hAnsi="Times New Roman"/>
        </w:rPr>
        <w:t>ешение на Комисият</w:t>
      </w:r>
      <w:r>
        <w:rPr>
          <w:rFonts w:ascii="Times New Roman" w:hAnsi="Times New Roman"/>
        </w:rPr>
        <w:t>а от 21 декември 2015 г.</w:t>
      </w:r>
      <w:r>
        <w:rPr>
          <w:rFonts w:ascii="Times New Roman" w:hAnsi="Times New Roman"/>
          <w:lang w:val="bg-BG"/>
        </w:rPr>
        <w:t xml:space="preserve"> по дело </w:t>
      </w:r>
      <w:r>
        <w:rPr>
          <w:rFonts w:ascii="Times New Roman" w:hAnsi="Times New Roman"/>
        </w:rPr>
        <w:t xml:space="preserve">SA.43977, </w:t>
      </w:r>
      <w:r>
        <w:rPr>
          <w:rFonts w:ascii="Times New Roman" w:hAnsi="Times New Roman"/>
          <w:i/>
        </w:rPr>
        <w:t>Преструктуриране на Banif — Banco Internacional do Funchal, S.A</w:t>
      </w:r>
      <w:r>
        <w:rPr>
          <w:rFonts w:ascii="Times New Roman" w:hAnsi="Times New Roman"/>
        </w:rPr>
        <w:t xml:space="preserve">., публикувано на </w:t>
      </w:r>
      <w:hyperlink r:id="rId57" w:history="1">
        <w:r>
          <w:rPr>
            <w:rStyle w:val="Hyperlink"/>
            <w:rFonts w:ascii="Times New Roman" w:hAnsi="Times New Roman"/>
          </w:rPr>
          <w:t>http://ec.europa.eu/competition/e</w:t>
        </w:r>
        <w:r>
          <w:rPr>
            <w:rStyle w:val="Hyperlink"/>
            <w:rFonts w:ascii="Times New Roman" w:hAnsi="Times New Roman"/>
          </w:rPr>
          <w:t>lojade/isef/case_details.cfm?proc_code=3_SA_43977</w:t>
        </w:r>
      </w:hyperlink>
      <w:r>
        <w:rPr>
          <w:rFonts w:ascii="Times New Roman" w:hAnsi="Times New Roman"/>
        </w:rPr>
        <w:t>.</w:t>
      </w:r>
    </w:p>
  </w:footnote>
  <w:footnote w:id="59">
    <w:p w:rsidR="00BA319C" w:rsidRDefault="008D6BD5">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Проект за търговия между ЕС и Китай II</w:t>
      </w:r>
      <w:r>
        <w:rPr>
          <w:rFonts w:ascii="Times New Roman" w:hAnsi="Times New Roman"/>
          <w:lang w:val="bg-BG"/>
        </w:rPr>
        <w:t xml:space="preserve"> (</w:t>
      </w:r>
      <w:r>
        <w:rPr>
          <w:rFonts w:ascii="Times New Roman" w:hAnsi="Times New Roman"/>
        </w:rPr>
        <w:t>EU-China Trade Project II</w:t>
      </w:r>
      <w:r>
        <w:rPr>
          <w:rFonts w:ascii="Times New Roman" w:hAnsi="Times New Roman"/>
          <w:lang w:val="bg-BG"/>
        </w:rPr>
        <w:t>)</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9C" w:rsidRDefault="00BA319C" w:rsidP="008D6BD5">
    <w:pPr>
      <w:pStyle w:val="HeaderCoverPage"/>
      <w:numPr>
        <w:ilvl w:val="0"/>
        <w:numId w:val="0"/>
      </w:numPr>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9C" w:rsidRDefault="00BA3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9C" w:rsidRDefault="00BA31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9C" w:rsidRDefault="00BA3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554C"/>
    <w:multiLevelType w:val="hybridMultilevel"/>
    <w:tmpl w:val="2AAA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2452C9"/>
    <w:multiLevelType w:val="hybridMultilevel"/>
    <w:tmpl w:val="610208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8C791E"/>
    <w:multiLevelType w:val="hybridMultilevel"/>
    <w:tmpl w:val="A3E89144"/>
    <w:lvl w:ilvl="0" w:tplc="B66253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2C7DD6"/>
    <w:multiLevelType w:val="hybridMultilevel"/>
    <w:tmpl w:val="243C91CA"/>
    <w:lvl w:ilvl="0" w:tplc="5F8869F8">
      <w:start w:val="1"/>
      <w:numFmt w:val="upperRoman"/>
      <w:pStyle w:val="HeaderCoverPage"/>
      <w:lvlText w:val="%1."/>
      <w:lvlJc w:val="left"/>
      <w:pPr>
        <w:ind w:left="720" w:hanging="360"/>
      </w:pPr>
      <w:rPr>
        <w:rFonts w:ascii="Times New Roman" w:eastAsia="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characterSpacingControl w:val="doNotCompress"/>
  <w:hdrShapeDefaults>
    <o:shapedefaults v:ext="edit" spidmax="4710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C9C34F44B73943BA949B64B7321431EF"/>
    <w:docVar w:name="LW_CROSSREFERENCE" w:val="{SWD(2016) 198 final}"/>
    <w:docVar w:name="LW_DocType" w:val="NORMAL"/>
    <w:docVar w:name="LW_EMISSION" w:val="15.6.2016"/>
    <w:docVar w:name="LW_EMISSION_ISODATE" w:val="2016-06-15"/>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93"/>
    <w:docVar w:name="LW_REF.INTERNE" w:val="&lt;UNUSED&gt;"/>
    <w:docVar w:name="LW_SOUS.TITRE.OBJ.CP" w:val="&lt;UNUSED&gt;"/>
    <w:docVar w:name="LW_SUPERTITRE" w:val="&lt;UNUSED&gt;"/>
    <w:docVar w:name="LW_TITRE.OBJ.CP" w:val="\u1044?\u1086?\u1082?\u1083?\u1072?\u1076? \u1086?\u1090?\u1085?\u1086?\u1089?\u1085?\u1086? \u1087?\u1086?\u1083?\u1080?\u1090?\u1080?\u1082?\u1072?\u1090?\u1072? \u1074? \u1086?\u1073?\u1083?\u1072?\u1089?\u1090?\u1090?\u1072? \u1085?\u1072? \u1082?\u1086?\u1085?\u1082?\u1091?\u1088?\u1077?\u1085?\u1094?\u1080?\u1103?\u1090?\u1072? \u1079?\u1072? 2015 \u107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COMP\COMP-2016-00336\COMP-2016-00336-00-00-EN-REV-00.DOCX"/>
  </w:docVars>
  <w:rsids>
    <w:rsidRoot w:val="00BA319C"/>
    <w:rsid w:val="008D6BD5"/>
    <w:rsid w:val="00BA3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11">
    <w:name w:val="a__t11"/>
  </w:style>
  <w:style w:type="character" w:styleId="Hyperlink">
    <w:name w:val="Hyperlink"/>
    <w:uiPriority w:val="99"/>
    <w:unhideWhenUsed/>
    <w:rPr>
      <w:color w:val="0000FF"/>
      <w:u w:val="single"/>
    </w:rPr>
  </w:style>
  <w:style w:type="paragraph" w:styleId="FootnoteText">
    <w:name w:val="footnote text"/>
    <w:basedOn w:val="Normal"/>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rPr>
      <w:lang w:eastAsia="en-U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nhideWhenUsed/>
    <w:qFormat/>
    <w:rPr>
      <w:vertAlign w:val="superscript"/>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Pr>
      <w:color w:val="800080"/>
      <w:u w:val="single"/>
    </w:rPr>
  </w:style>
  <w:style w:type="character" w:customStyle="1" w:styleId="at1">
    <w:name w:val="a__t1"/>
  </w:style>
  <w:style w:type="character" w:customStyle="1" w:styleId="at3">
    <w:name w:val="a__t3"/>
  </w:style>
  <w:style w:type="character" w:customStyle="1" w:styleId="at2">
    <w:name w:val="a__t2"/>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lang w:eastAsia="en-US"/>
    </w:rPr>
  </w:style>
  <w:style w:type="paragraph" w:customStyle="1" w:styleId="HeaderCoverPage">
    <w:name w:val="Header Cover Page"/>
    <w:basedOn w:val="Normal"/>
    <w:link w:val="HeaderCoverPageChar"/>
    <w:pPr>
      <w:numPr>
        <w:numId w:val="3"/>
      </w:numPr>
      <w:tabs>
        <w:tab w:val="center" w:pos="4535"/>
        <w:tab w:val="right" w:pos="9071"/>
      </w:tabs>
      <w:spacing w:after="120" w:line="240" w:lineRule="auto"/>
      <w:ind w:left="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lang w:eastAsia="en-US"/>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pPr>
      <w:spacing w:after="160" w:line="240" w:lineRule="exact"/>
    </w:pPr>
    <w:rPr>
      <w:sz w:val="20"/>
      <w:szCs w:val="20"/>
      <w:vertAlign w:val="superscript"/>
      <w:lang w:eastAsia="en-GB"/>
    </w:rPr>
  </w:style>
  <w:style w:type="paragraph" w:styleId="Revision">
    <w:name w:val="Revision"/>
    <w:hidden/>
    <w:uiPriority w:val="99"/>
    <w:semiHidden/>
    <w:rPr>
      <w:sz w:val="22"/>
      <w:szCs w:val="22"/>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11">
    <w:name w:val="a__t11"/>
  </w:style>
  <w:style w:type="character" w:styleId="Hyperlink">
    <w:name w:val="Hyperlink"/>
    <w:uiPriority w:val="99"/>
    <w:unhideWhenUsed/>
    <w:rPr>
      <w:color w:val="0000FF"/>
      <w:u w:val="single"/>
    </w:rPr>
  </w:style>
  <w:style w:type="paragraph" w:styleId="FootnoteText">
    <w:name w:val="footnote text"/>
    <w:basedOn w:val="Normal"/>
    <w:unhideWhenUsed/>
    <w:qFormat/>
    <w:rPr>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Voetnootteks Char,fn Char,f Char"/>
    <w:rPr>
      <w:lang w:eastAsia="en-US"/>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link w:val="Ref"/>
    <w:unhideWhenUsed/>
    <w:qFormat/>
    <w:rPr>
      <w:vertAlign w:val="superscript"/>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Pr>
      <w:color w:val="800080"/>
      <w:u w:val="single"/>
    </w:rPr>
  </w:style>
  <w:style w:type="character" w:customStyle="1" w:styleId="at1">
    <w:name w:val="a__t1"/>
  </w:style>
  <w:style w:type="character" w:customStyle="1" w:styleId="at3">
    <w:name w:val="a__t3"/>
  </w:style>
  <w:style w:type="character" w:customStyle="1" w:styleId="at2">
    <w:name w:val="a__t2"/>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lang w:eastAsia="en-US"/>
    </w:rPr>
  </w:style>
  <w:style w:type="paragraph" w:customStyle="1" w:styleId="HeaderCoverPage">
    <w:name w:val="Header Cover Page"/>
    <w:basedOn w:val="Normal"/>
    <w:link w:val="HeaderCoverPageChar"/>
    <w:pPr>
      <w:numPr>
        <w:numId w:val="3"/>
      </w:numPr>
      <w:tabs>
        <w:tab w:val="center" w:pos="4535"/>
        <w:tab w:val="right" w:pos="9071"/>
      </w:tabs>
      <w:spacing w:after="120" w:line="240" w:lineRule="auto"/>
      <w:ind w:left="0"/>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lang w:eastAsia="en-US"/>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pPr>
      <w:spacing w:after="160" w:line="240" w:lineRule="exact"/>
    </w:pPr>
    <w:rPr>
      <w:sz w:val="20"/>
      <w:szCs w:val="20"/>
      <w:vertAlign w:val="superscript"/>
      <w:lang w:eastAsia="en-GB"/>
    </w:rPr>
  </w:style>
  <w:style w:type="paragraph" w:styleId="Revision">
    <w:name w:val="Revision"/>
    <w:hidden/>
    <w:uiPriority w:val="99"/>
    <w:semiHidden/>
    <w:rPr>
      <w:sz w:val="22"/>
      <w:szCs w:val="22"/>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725">
      <w:bodyDiv w:val="1"/>
      <w:marLeft w:val="0"/>
      <w:marRight w:val="0"/>
      <w:marTop w:val="0"/>
      <w:marBottom w:val="0"/>
      <w:divBdr>
        <w:top w:val="none" w:sz="0" w:space="0" w:color="auto"/>
        <w:left w:val="none" w:sz="0" w:space="0" w:color="auto"/>
        <w:bottom w:val="none" w:sz="0" w:space="0" w:color="auto"/>
        <w:right w:val="none" w:sz="0" w:space="0" w:color="auto"/>
      </w:divBdr>
    </w:div>
    <w:div w:id="138114997">
      <w:bodyDiv w:val="1"/>
      <w:marLeft w:val="0"/>
      <w:marRight w:val="0"/>
      <w:marTop w:val="0"/>
      <w:marBottom w:val="0"/>
      <w:divBdr>
        <w:top w:val="none" w:sz="0" w:space="0" w:color="auto"/>
        <w:left w:val="none" w:sz="0" w:space="0" w:color="auto"/>
        <w:bottom w:val="none" w:sz="0" w:space="0" w:color="auto"/>
        <w:right w:val="none" w:sz="0" w:space="0" w:color="auto"/>
      </w:divBdr>
    </w:div>
    <w:div w:id="164249153">
      <w:bodyDiv w:val="1"/>
      <w:marLeft w:val="0"/>
      <w:marRight w:val="0"/>
      <w:marTop w:val="0"/>
      <w:marBottom w:val="0"/>
      <w:divBdr>
        <w:top w:val="none" w:sz="0" w:space="0" w:color="auto"/>
        <w:left w:val="none" w:sz="0" w:space="0" w:color="auto"/>
        <w:bottom w:val="none" w:sz="0" w:space="0" w:color="auto"/>
        <w:right w:val="none" w:sz="0" w:space="0" w:color="auto"/>
      </w:divBdr>
      <w:divsChild>
        <w:div w:id="1551116788">
          <w:marLeft w:val="547"/>
          <w:marRight w:val="0"/>
          <w:marTop w:val="0"/>
          <w:marBottom w:val="0"/>
          <w:divBdr>
            <w:top w:val="none" w:sz="0" w:space="0" w:color="auto"/>
            <w:left w:val="none" w:sz="0" w:space="0" w:color="auto"/>
            <w:bottom w:val="none" w:sz="0" w:space="0" w:color="auto"/>
            <w:right w:val="none" w:sz="0" w:space="0" w:color="auto"/>
          </w:divBdr>
        </w:div>
      </w:divsChild>
    </w:div>
    <w:div w:id="201095686">
      <w:bodyDiv w:val="1"/>
      <w:marLeft w:val="0"/>
      <w:marRight w:val="0"/>
      <w:marTop w:val="0"/>
      <w:marBottom w:val="0"/>
      <w:divBdr>
        <w:top w:val="none" w:sz="0" w:space="0" w:color="auto"/>
        <w:left w:val="none" w:sz="0" w:space="0" w:color="auto"/>
        <w:bottom w:val="none" w:sz="0" w:space="0" w:color="auto"/>
        <w:right w:val="none" w:sz="0" w:space="0" w:color="auto"/>
      </w:divBdr>
    </w:div>
    <w:div w:id="249504361">
      <w:bodyDiv w:val="1"/>
      <w:marLeft w:val="0"/>
      <w:marRight w:val="0"/>
      <w:marTop w:val="0"/>
      <w:marBottom w:val="0"/>
      <w:divBdr>
        <w:top w:val="none" w:sz="0" w:space="0" w:color="auto"/>
        <w:left w:val="none" w:sz="0" w:space="0" w:color="auto"/>
        <w:bottom w:val="none" w:sz="0" w:space="0" w:color="auto"/>
        <w:right w:val="none" w:sz="0" w:space="0" w:color="auto"/>
      </w:divBdr>
    </w:div>
    <w:div w:id="250159904">
      <w:bodyDiv w:val="1"/>
      <w:marLeft w:val="0"/>
      <w:marRight w:val="0"/>
      <w:marTop w:val="0"/>
      <w:marBottom w:val="0"/>
      <w:divBdr>
        <w:top w:val="none" w:sz="0" w:space="0" w:color="auto"/>
        <w:left w:val="none" w:sz="0" w:space="0" w:color="auto"/>
        <w:bottom w:val="none" w:sz="0" w:space="0" w:color="auto"/>
        <w:right w:val="none" w:sz="0" w:space="0" w:color="auto"/>
      </w:divBdr>
    </w:div>
    <w:div w:id="328411732">
      <w:bodyDiv w:val="1"/>
      <w:marLeft w:val="0"/>
      <w:marRight w:val="0"/>
      <w:marTop w:val="0"/>
      <w:marBottom w:val="0"/>
      <w:divBdr>
        <w:top w:val="none" w:sz="0" w:space="0" w:color="auto"/>
        <w:left w:val="none" w:sz="0" w:space="0" w:color="auto"/>
        <w:bottom w:val="none" w:sz="0" w:space="0" w:color="auto"/>
        <w:right w:val="none" w:sz="0" w:space="0" w:color="auto"/>
      </w:divBdr>
      <w:divsChild>
        <w:div w:id="1083377238">
          <w:marLeft w:val="0"/>
          <w:marRight w:val="0"/>
          <w:marTop w:val="0"/>
          <w:marBottom w:val="0"/>
          <w:divBdr>
            <w:top w:val="none" w:sz="0" w:space="0" w:color="auto"/>
            <w:left w:val="none" w:sz="0" w:space="0" w:color="auto"/>
            <w:bottom w:val="none" w:sz="0" w:space="0" w:color="auto"/>
            <w:right w:val="none" w:sz="0" w:space="0" w:color="auto"/>
          </w:divBdr>
        </w:div>
        <w:div w:id="2029066860">
          <w:marLeft w:val="0"/>
          <w:marRight w:val="0"/>
          <w:marTop w:val="0"/>
          <w:marBottom w:val="0"/>
          <w:divBdr>
            <w:top w:val="none" w:sz="0" w:space="0" w:color="auto"/>
            <w:left w:val="none" w:sz="0" w:space="0" w:color="auto"/>
            <w:bottom w:val="none" w:sz="0" w:space="0" w:color="auto"/>
            <w:right w:val="none" w:sz="0" w:space="0" w:color="auto"/>
          </w:divBdr>
        </w:div>
      </w:divsChild>
    </w:div>
    <w:div w:id="336662167">
      <w:bodyDiv w:val="1"/>
      <w:marLeft w:val="0"/>
      <w:marRight w:val="0"/>
      <w:marTop w:val="0"/>
      <w:marBottom w:val="0"/>
      <w:divBdr>
        <w:top w:val="none" w:sz="0" w:space="0" w:color="auto"/>
        <w:left w:val="none" w:sz="0" w:space="0" w:color="auto"/>
        <w:bottom w:val="none" w:sz="0" w:space="0" w:color="auto"/>
        <w:right w:val="none" w:sz="0" w:space="0" w:color="auto"/>
      </w:divBdr>
    </w:div>
    <w:div w:id="338236823">
      <w:bodyDiv w:val="1"/>
      <w:marLeft w:val="0"/>
      <w:marRight w:val="0"/>
      <w:marTop w:val="0"/>
      <w:marBottom w:val="0"/>
      <w:divBdr>
        <w:top w:val="none" w:sz="0" w:space="0" w:color="auto"/>
        <w:left w:val="none" w:sz="0" w:space="0" w:color="auto"/>
        <w:bottom w:val="none" w:sz="0" w:space="0" w:color="auto"/>
        <w:right w:val="none" w:sz="0" w:space="0" w:color="auto"/>
      </w:divBdr>
    </w:div>
    <w:div w:id="354622246">
      <w:bodyDiv w:val="1"/>
      <w:marLeft w:val="0"/>
      <w:marRight w:val="0"/>
      <w:marTop w:val="0"/>
      <w:marBottom w:val="0"/>
      <w:divBdr>
        <w:top w:val="none" w:sz="0" w:space="0" w:color="auto"/>
        <w:left w:val="none" w:sz="0" w:space="0" w:color="auto"/>
        <w:bottom w:val="none" w:sz="0" w:space="0" w:color="auto"/>
        <w:right w:val="none" w:sz="0" w:space="0" w:color="auto"/>
      </w:divBdr>
    </w:div>
    <w:div w:id="442460929">
      <w:bodyDiv w:val="1"/>
      <w:marLeft w:val="0"/>
      <w:marRight w:val="0"/>
      <w:marTop w:val="0"/>
      <w:marBottom w:val="0"/>
      <w:divBdr>
        <w:top w:val="none" w:sz="0" w:space="0" w:color="auto"/>
        <w:left w:val="none" w:sz="0" w:space="0" w:color="auto"/>
        <w:bottom w:val="none" w:sz="0" w:space="0" w:color="auto"/>
        <w:right w:val="none" w:sz="0" w:space="0" w:color="auto"/>
      </w:divBdr>
    </w:div>
    <w:div w:id="568152643">
      <w:bodyDiv w:val="1"/>
      <w:marLeft w:val="0"/>
      <w:marRight w:val="0"/>
      <w:marTop w:val="0"/>
      <w:marBottom w:val="0"/>
      <w:divBdr>
        <w:top w:val="none" w:sz="0" w:space="0" w:color="auto"/>
        <w:left w:val="none" w:sz="0" w:space="0" w:color="auto"/>
        <w:bottom w:val="none" w:sz="0" w:space="0" w:color="auto"/>
        <w:right w:val="none" w:sz="0" w:space="0" w:color="auto"/>
      </w:divBdr>
      <w:divsChild>
        <w:div w:id="917448681">
          <w:marLeft w:val="0"/>
          <w:marRight w:val="0"/>
          <w:marTop w:val="0"/>
          <w:marBottom w:val="0"/>
          <w:divBdr>
            <w:top w:val="none" w:sz="0" w:space="0" w:color="auto"/>
            <w:left w:val="none" w:sz="0" w:space="0" w:color="auto"/>
            <w:bottom w:val="none" w:sz="0" w:space="0" w:color="auto"/>
            <w:right w:val="none" w:sz="0" w:space="0" w:color="auto"/>
          </w:divBdr>
        </w:div>
      </w:divsChild>
    </w:div>
    <w:div w:id="653529084">
      <w:bodyDiv w:val="1"/>
      <w:marLeft w:val="0"/>
      <w:marRight w:val="0"/>
      <w:marTop w:val="0"/>
      <w:marBottom w:val="0"/>
      <w:divBdr>
        <w:top w:val="none" w:sz="0" w:space="0" w:color="auto"/>
        <w:left w:val="none" w:sz="0" w:space="0" w:color="auto"/>
        <w:bottom w:val="none" w:sz="0" w:space="0" w:color="auto"/>
        <w:right w:val="none" w:sz="0" w:space="0" w:color="auto"/>
      </w:divBdr>
    </w:div>
    <w:div w:id="794375163">
      <w:bodyDiv w:val="1"/>
      <w:marLeft w:val="0"/>
      <w:marRight w:val="0"/>
      <w:marTop w:val="0"/>
      <w:marBottom w:val="0"/>
      <w:divBdr>
        <w:top w:val="none" w:sz="0" w:space="0" w:color="auto"/>
        <w:left w:val="none" w:sz="0" w:space="0" w:color="auto"/>
        <w:bottom w:val="none" w:sz="0" w:space="0" w:color="auto"/>
        <w:right w:val="none" w:sz="0" w:space="0" w:color="auto"/>
      </w:divBdr>
    </w:div>
    <w:div w:id="865992765">
      <w:bodyDiv w:val="1"/>
      <w:marLeft w:val="0"/>
      <w:marRight w:val="0"/>
      <w:marTop w:val="0"/>
      <w:marBottom w:val="0"/>
      <w:divBdr>
        <w:top w:val="none" w:sz="0" w:space="0" w:color="auto"/>
        <w:left w:val="none" w:sz="0" w:space="0" w:color="auto"/>
        <w:bottom w:val="none" w:sz="0" w:space="0" w:color="auto"/>
        <w:right w:val="none" w:sz="0" w:space="0" w:color="auto"/>
      </w:divBdr>
    </w:div>
    <w:div w:id="882253559">
      <w:bodyDiv w:val="1"/>
      <w:marLeft w:val="0"/>
      <w:marRight w:val="0"/>
      <w:marTop w:val="0"/>
      <w:marBottom w:val="0"/>
      <w:divBdr>
        <w:top w:val="none" w:sz="0" w:space="0" w:color="auto"/>
        <w:left w:val="none" w:sz="0" w:space="0" w:color="auto"/>
        <w:bottom w:val="none" w:sz="0" w:space="0" w:color="auto"/>
        <w:right w:val="none" w:sz="0" w:space="0" w:color="auto"/>
      </w:divBdr>
    </w:div>
    <w:div w:id="908199911">
      <w:bodyDiv w:val="1"/>
      <w:marLeft w:val="0"/>
      <w:marRight w:val="0"/>
      <w:marTop w:val="0"/>
      <w:marBottom w:val="0"/>
      <w:divBdr>
        <w:top w:val="none" w:sz="0" w:space="0" w:color="auto"/>
        <w:left w:val="none" w:sz="0" w:space="0" w:color="auto"/>
        <w:bottom w:val="none" w:sz="0" w:space="0" w:color="auto"/>
        <w:right w:val="none" w:sz="0" w:space="0" w:color="auto"/>
      </w:divBdr>
    </w:div>
    <w:div w:id="1112672687">
      <w:bodyDiv w:val="1"/>
      <w:marLeft w:val="0"/>
      <w:marRight w:val="0"/>
      <w:marTop w:val="0"/>
      <w:marBottom w:val="0"/>
      <w:divBdr>
        <w:top w:val="none" w:sz="0" w:space="0" w:color="auto"/>
        <w:left w:val="none" w:sz="0" w:space="0" w:color="auto"/>
        <w:bottom w:val="none" w:sz="0" w:space="0" w:color="auto"/>
        <w:right w:val="none" w:sz="0" w:space="0" w:color="auto"/>
      </w:divBdr>
    </w:div>
    <w:div w:id="1116413498">
      <w:bodyDiv w:val="1"/>
      <w:marLeft w:val="0"/>
      <w:marRight w:val="0"/>
      <w:marTop w:val="0"/>
      <w:marBottom w:val="0"/>
      <w:divBdr>
        <w:top w:val="none" w:sz="0" w:space="0" w:color="auto"/>
        <w:left w:val="none" w:sz="0" w:space="0" w:color="auto"/>
        <w:bottom w:val="none" w:sz="0" w:space="0" w:color="auto"/>
        <w:right w:val="none" w:sz="0" w:space="0" w:color="auto"/>
      </w:divBdr>
    </w:div>
    <w:div w:id="1180465607">
      <w:bodyDiv w:val="1"/>
      <w:marLeft w:val="0"/>
      <w:marRight w:val="0"/>
      <w:marTop w:val="0"/>
      <w:marBottom w:val="0"/>
      <w:divBdr>
        <w:top w:val="none" w:sz="0" w:space="0" w:color="auto"/>
        <w:left w:val="none" w:sz="0" w:space="0" w:color="auto"/>
        <w:bottom w:val="none" w:sz="0" w:space="0" w:color="auto"/>
        <w:right w:val="none" w:sz="0" w:space="0" w:color="auto"/>
      </w:divBdr>
      <w:divsChild>
        <w:div w:id="1366640607">
          <w:marLeft w:val="0"/>
          <w:marRight w:val="0"/>
          <w:marTop w:val="0"/>
          <w:marBottom w:val="0"/>
          <w:divBdr>
            <w:top w:val="none" w:sz="0" w:space="0" w:color="auto"/>
            <w:left w:val="none" w:sz="0" w:space="0" w:color="auto"/>
            <w:bottom w:val="none" w:sz="0" w:space="0" w:color="auto"/>
            <w:right w:val="none" w:sz="0" w:space="0" w:color="auto"/>
          </w:divBdr>
        </w:div>
      </w:divsChild>
    </w:div>
    <w:div w:id="1195582538">
      <w:bodyDiv w:val="1"/>
      <w:marLeft w:val="0"/>
      <w:marRight w:val="0"/>
      <w:marTop w:val="0"/>
      <w:marBottom w:val="0"/>
      <w:divBdr>
        <w:top w:val="none" w:sz="0" w:space="0" w:color="auto"/>
        <w:left w:val="none" w:sz="0" w:space="0" w:color="auto"/>
        <w:bottom w:val="none" w:sz="0" w:space="0" w:color="auto"/>
        <w:right w:val="none" w:sz="0" w:space="0" w:color="auto"/>
      </w:divBdr>
      <w:divsChild>
        <w:div w:id="1695958913">
          <w:marLeft w:val="0"/>
          <w:marRight w:val="0"/>
          <w:marTop w:val="0"/>
          <w:marBottom w:val="0"/>
          <w:divBdr>
            <w:top w:val="none" w:sz="0" w:space="0" w:color="auto"/>
            <w:left w:val="none" w:sz="0" w:space="0" w:color="auto"/>
            <w:bottom w:val="none" w:sz="0" w:space="0" w:color="auto"/>
            <w:right w:val="none" w:sz="0" w:space="0" w:color="auto"/>
          </w:divBdr>
        </w:div>
        <w:div w:id="1096752876">
          <w:marLeft w:val="0"/>
          <w:marRight w:val="0"/>
          <w:marTop w:val="0"/>
          <w:marBottom w:val="0"/>
          <w:divBdr>
            <w:top w:val="none" w:sz="0" w:space="0" w:color="auto"/>
            <w:left w:val="none" w:sz="0" w:space="0" w:color="auto"/>
            <w:bottom w:val="none" w:sz="0" w:space="0" w:color="auto"/>
            <w:right w:val="none" w:sz="0" w:space="0" w:color="auto"/>
          </w:divBdr>
        </w:div>
      </w:divsChild>
    </w:div>
    <w:div w:id="1203205290">
      <w:bodyDiv w:val="1"/>
      <w:marLeft w:val="0"/>
      <w:marRight w:val="0"/>
      <w:marTop w:val="0"/>
      <w:marBottom w:val="0"/>
      <w:divBdr>
        <w:top w:val="none" w:sz="0" w:space="0" w:color="auto"/>
        <w:left w:val="none" w:sz="0" w:space="0" w:color="auto"/>
        <w:bottom w:val="none" w:sz="0" w:space="0" w:color="auto"/>
        <w:right w:val="none" w:sz="0" w:space="0" w:color="auto"/>
      </w:divBdr>
      <w:divsChild>
        <w:div w:id="517474833">
          <w:marLeft w:val="720"/>
          <w:marRight w:val="0"/>
          <w:marTop w:val="0"/>
          <w:marBottom w:val="0"/>
          <w:divBdr>
            <w:top w:val="none" w:sz="0" w:space="0" w:color="auto"/>
            <w:left w:val="none" w:sz="0" w:space="0" w:color="auto"/>
            <w:bottom w:val="none" w:sz="0" w:space="0" w:color="auto"/>
            <w:right w:val="none" w:sz="0" w:space="0" w:color="auto"/>
          </w:divBdr>
        </w:div>
        <w:div w:id="607929745">
          <w:marLeft w:val="720"/>
          <w:marRight w:val="0"/>
          <w:marTop w:val="0"/>
          <w:marBottom w:val="0"/>
          <w:divBdr>
            <w:top w:val="none" w:sz="0" w:space="0" w:color="auto"/>
            <w:left w:val="none" w:sz="0" w:space="0" w:color="auto"/>
            <w:bottom w:val="none" w:sz="0" w:space="0" w:color="auto"/>
            <w:right w:val="none" w:sz="0" w:space="0" w:color="auto"/>
          </w:divBdr>
        </w:div>
        <w:div w:id="663438723">
          <w:marLeft w:val="720"/>
          <w:marRight w:val="0"/>
          <w:marTop w:val="0"/>
          <w:marBottom w:val="0"/>
          <w:divBdr>
            <w:top w:val="none" w:sz="0" w:space="0" w:color="auto"/>
            <w:left w:val="none" w:sz="0" w:space="0" w:color="auto"/>
            <w:bottom w:val="none" w:sz="0" w:space="0" w:color="auto"/>
            <w:right w:val="none" w:sz="0" w:space="0" w:color="auto"/>
          </w:divBdr>
        </w:div>
        <w:div w:id="1245604360">
          <w:marLeft w:val="720"/>
          <w:marRight w:val="0"/>
          <w:marTop w:val="0"/>
          <w:marBottom w:val="0"/>
          <w:divBdr>
            <w:top w:val="none" w:sz="0" w:space="0" w:color="auto"/>
            <w:left w:val="none" w:sz="0" w:space="0" w:color="auto"/>
            <w:bottom w:val="none" w:sz="0" w:space="0" w:color="auto"/>
            <w:right w:val="none" w:sz="0" w:space="0" w:color="auto"/>
          </w:divBdr>
        </w:div>
        <w:div w:id="1866673779">
          <w:marLeft w:val="720"/>
          <w:marRight w:val="0"/>
          <w:marTop w:val="0"/>
          <w:marBottom w:val="0"/>
          <w:divBdr>
            <w:top w:val="none" w:sz="0" w:space="0" w:color="auto"/>
            <w:left w:val="none" w:sz="0" w:space="0" w:color="auto"/>
            <w:bottom w:val="none" w:sz="0" w:space="0" w:color="auto"/>
            <w:right w:val="none" w:sz="0" w:space="0" w:color="auto"/>
          </w:divBdr>
        </w:div>
      </w:divsChild>
    </w:div>
    <w:div w:id="1255895331">
      <w:bodyDiv w:val="1"/>
      <w:marLeft w:val="0"/>
      <w:marRight w:val="0"/>
      <w:marTop w:val="0"/>
      <w:marBottom w:val="0"/>
      <w:divBdr>
        <w:top w:val="none" w:sz="0" w:space="0" w:color="auto"/>
        <w:left w:val="none" w:sz="0" w:space="0" w:color="auto"/>
        <w:bottom w:val="none" w:sz="0" w:space="0" w:color="auto"/>
        <w:right w:val="none" w:sz="0" w:space="0" w:color="auto"/>
      </w:divBdr>
      <w:divsChild>
        <w:div w:id="522207705">
          <w:marLeft w:val="547"/>
          <w:marRight w:val="0"/>
          <w:marTop w:val="0"/>
          <w:marBottom w:val="0"/>
          <w:divBdr>
            <w:top w:val="none" w:sz="0" w:space="0" w:color="auto"/>
            <w:left w:val="none" w:sz="0" w:space="0" w:color="auto"/>
            <w:bottom w:val="none" w:sz="0" w:space="0" w:color="auto"/>
            <w:right w:val="none" w:sz="0" w:space="0" w:color="auto"/>
          </w:divBdr>
        </w:div>
      </w:divsChild>
    </w:div>
    <w:div w:id="1308971220">
      <w:bodyDiv w:val="1"/>
      <w:marLeft w:val="0"/>
      <w:marRight w:val="0"/>
      <w:marTop w:val="0"/>
      <w:marBottom w:val="0"/>
      <w:divBdr>
        <w:top w:val="none" w:sz="0" w:space="0" w:color="auto"/>
        <w:left w:val="none" w:sz="0" w:space="0" w:color="auto"/>
        <w:bottom w:val="none" w:sz="0" w:space="0" w:color="auto"/>
        <w:right w:val="none" w:sz="0" w:space="0" w:color="auto"/>
      </w:divBdr>
    </w:div>
    <w:div w:id="1310012464">
      <w:bodyDiv w:val="1"/>
      <w:marLeft w:val="0"/>
      <w:marRight w:val="0"/>
      <w:marTop w:val="0"/>
      <w:marBottom w:val="0"/>
      <w:divBdr>
        <w:top w:val="none" w:sz="0" w:space="0" w:color="auto"/>
        <w:left w:val="none" w:sz="0" w:space="0" w:color="auto"/>
        <w:bottom w:val="none" w:sz="0" w:space="0" w:color="auto"/>
        <w:right w:val="none" w:sz="0" w:space="0" w:color="auto"/>
      </w:divBdr>
    </w:div>
    <w:div w:id="1328560483">
      <w:bodyDiv w:val="1"/>
      <w:marLeft w:val="0"/>
      <w:marRight w:val="0"/>
      <w:marTop w:val="0"/>
      <w:marBottom w:val="0"/>
      <w:divBdr>
        <w:top w:val="none" w:sz="0" w:space="0" w:color="auto"/>
        <w:left w:val="none" w:sz="0" w:space="0" w:color="auto"/>
        <w:bottom w:val="none" w:sz="0" w:space="0" w:color="auto"/>
        <w:right w:val="none" w:sz="0" w:space="0" w:color="auto"/>
      </w:divBdr>
      <w:divsChild>
        <w:div w:id="1790464151">
          <w:marLeft w:val="0"/>
          <w:marRight w:val="0"/>
          <w:marTop w:val="0"/>
          <w:marBottom w:val="0"/>
          <w:divBdr>
            <w:top w:val="none" w:sz="0" w:space="0" w:color="auto"/>
            <w:left w:val="none" w:sz="0" w:space="0" w:color="auto"/>
            <w:bottom w:val="none" w:sz="0" w:space="0" w:color="auto"/>
            <w:right w:val="none" w:sz="0" w:space="0" w:color="auto"/>
          </w:divBdr>
        </w:div>
      </w:divsChild>
    </w:div>
    <w:div w:id="1409032863">
      <w:bodyDiv w:val="1"/>
      <w:marLeft w:val="0"/>
      <w:marRight w:val="0"/>
      <w:marTop w:val="0"/>
      <w:marBottom w:val="0"/>
      <w:divBdr>
        <w:top w:val="none" w:sz="0" w:space="0" w:color="auto"/>
        <w:left w:val="none" w:sz="0" w:space="0" w:color="auto"/>
        <w:bottom w:val="none" w:sz="0" w:space="0" w:color="auto"/>
        <w:right w:val="none" w:sz="0" w:space="0" w:color="auto"/>
      </w:divBdr>
    </w:div>
    <w:div w:id="1447626273">
      <w:bodyDiv w:val="1"/>
      <w:marLeft w:val="0"/>
      <w:marRight w:val="0"/>
      <w:marTop w:val="0"/>
      <w:marBottom w:val="0"/>
      <w:divBdr>
        <w:top w:val="none" w:sz="0" w:space="0" w:color="auto"/>
        <w:left w:val="none" w:sz="0" w:space="0" w:color="auto"/>
        <w:bottom w:val="none" w:sz="0" w:space="0" w:color="auto"/>
        <w:right w:val="none" w:sz="0" w:space="0" w:color="auto"/>
      </w:divBdr>
      <w:divsChild>
        <w:div w:id="2092845573">
          <w:marLeft w:val="0"/>
          <w:marRight w:val="0"/>
          <w:marTop w:val="0"/>
          <w:marBottom w:val="0"/>
          <w:divBdr>
            <w:top w:val="none" w:sz="0" w:space="0" w:color="auto"/>
            <w:left w:val="none" w:sz="0" w:space="0" w:color="auto"/>
            <w:bottom w:val="none" w:sz="0" w:space="0" w:color="auto"/>
            <w:right w:val="none" w:sz="0" w:space="0" w:color="auto"/>
          </w:divBdr>
        </w:div>
        <w:div w:id="908150034">
          <w:marLeft w:val="0"/>
          <w:marRight w:val="0"/>
          <w:marTop w:val="0"/>
          <w:marBottom w:val="0"/>
          <w:divBdr>
            <w:top w:val="none" w:sz="0" w:space="0" w:color="auto"/>
            <w:left w:val="none" w:sz="0" w:space="0" w:color="auto"/>
            <w:bottom w:val="none" w:sz="0" w:space="0" w:color="auto"/>
            <w:right w:val="none" w:sz="0" w:space="0" w:color="auto"/>
          </w:divBdr>
        </w:div>
      </w:divsChild>
    </w:div>
    <w:div w:id="1535463198">
      <w:bodyDiv w:val="1"/>
      <w:marLeft w:val="0"/>
      <w:marRight w:val="0"/>
      <w:marTop w:val="0"/>
      <w:marBottom w:val="0"/>
      <w:divBdr>
        <w:top w:val="none" w:sz="0" w:space="0" w:color="auto"/>
        <w:left w:val="none" w:sz="0" w:space="0" w:color="auto"/>
        <w:bottom w:val="none" w:sz="0" w:space="0" w:color="auto"/>
        <w:right w:val="none" w:sz="0" w:space="0" w:color="auto"/>
      </w:divBdr>
      <w:divsChild>
        <w:div w:id="1563180469">
          <w:marLeft w:val="0"/>
          <w:marRight w:val="0"/>
          <w:marTop w:val="0"/>
          <w:marBottom w:val="0"/>
          <w:divBdr>
            <w:top w:val="none" w:sz="0" w:space="0" w:color="auto"/>
            <w:left w:val="none" w:sz="0" w:space="0" w:color="auto"/>
            <w:bottom w:val="none" w:sz="0" w:space="0" w:color="auto"/>
            <w:right w:val="none" w:sz="0" w:space="0" w:color="auto"/>
          </w:divBdr>
        </w:div>
      </w:divsChild>
    </w:div>
    <w:div w:id="1600481965">
      <w:bodyDiv w:val="1"/>
      <w:marLeft w:val="0"/>
      <w:marRight w:val="0"/>
      <w:marTop w:val="0"/>
      <w:marBottom w:val="0"/>
      <w:divBdr>
        <w:top w:val="none" w:sz="0" w:space="0" w:color="auto"/>
        <w:left w:val="none" w:sz="0" w:space="0" w:color="auto"/>
        <w:bottom w:val="none" w:sz="0" w:space="0" w:color="auto"/>
        <w:right w:val="none" w:sz="0" w:space="0" w:color="auto"/>
      </w:divBdr>
    </w:div>
    <w:div w:id="1722748249">
      <w:bodyDiv w:val="1"/>
      <w:marLeft w:val="0"/>
      <w:marRight w:val="0"/>
      <w:marTop w:val="0"/>
      <w:marBottom w:val="0"/>
      <w:divBdr>
        <w:top w:val="none" w:sz="0" w:space="0" w:color="auto"/>
        <w:left w:val="none" w:sz="0" w:space="0" w:color="auto"/>
        <w:bottom w:val="none" w:sz="0" w:space="0" w:color="auto"/>
        <w:right w:val="none" w:sz="0" w:space="0" w:color="auto"/>
      </w:divBdr>
      <w:divsChild>
        <w:div w:id="213661701">
          <w:marLeft w:val="0"/>
          <w:marRight w:val="0"/>
          <w:marTop w:val="0"/>
          <w:marBottom w:val="0"/>
          <w:divBdr>
            <w:top w:val="none" w:sz="0" w:space="0" w:color="auto"/>
            <w:left w:val="none" w:sz="0" w:space="0" w:color="auto"/>
            <w:bottom w:val="none" w:sz="0" w:space="0" w:color="auto"/>
            <w:right w:val="none" w:sz="0" w:space="0" w:color="auto"/>
          </w:divBdr>
        </w:div>
        <w:div w:id="761023633">
          <w:marLeft w:val="0"/>
          <w:marRight w:val="0"/>
          <w:marTop w:val="0"/>
          <w:marBottom w:val="0"/>
          <w:divBdr>
            <w:top w:val="none" w:sz="0" w:space="0" w:color="auto"/>
            <w:left w:val="none" w:sz="0" w:space="0" w:color="auto"/>
            <w:bottom w:val="none" w:sz="0" w:space="0" w:color="auto"/>
            <w:right w:val="none" w:sz="0" w:space="0" w:color="auto"/>
          </w:divBdr>
        </w:div>
      </w:divsChild>
    </w:div>
    <w:div w:id="1760561651">
      <w:bodyDiv w:val="1"/>
      <w:marLeft w:val="0"/>
      <w:marRight w:val="0"/>
      <w:marTop w:val="0"/>
      <w:marBottom w:val="0"/>
      <w:divBdr>
        <w:top w:val="none" w:sz="0" w:space="0" w:color="auto"/>
        <w:left w:val="none" w:sz="0" w:space="0" w:color="auto"/>
        <w:bottom w:val="none" w:sz="0" w:space="0" w:color="auto"/>
        <w:right w:val="none" w:sz="0" w:space="0" w:color="auto"/>
      </w:divBdr>
    </w:div>
    <w:div w:id="1794250922">
      <w:bodyDiv w:val="1"/>
      <w:marLeft w:val="0"/>
      <w:marRight w:val="0"/>
      <w:marTop w:val="0"/>
      <w:marBottom w:val="0"/>
      <w:divBdr>
        <w:top w:val="none" w:sz="0" w:space="0" w:color="auto"/>
        <w:left w:val="none" w:sz="0" w:space="0" w:color="auto"/>
        <w:bottom w:val="none" w:sz="0" w:space="0" w:color="auto"/>
        <w:right w:val="none" w:sz="0" w:space="0" w:color="auto"/>
      </w:divBdr>
    </w:div>
    <w:div w:id="1866484603">
      <w:bodyDiv w:val="1"/>
      <w:marLeft w:val="0"/>
      <w:marRight w:val="0"/>
      <w:marTop w:val="0"/>
      <w:marBottom w:val="0"/>
      <w:divBdr>
        <w:top w:val="none" w:sz="0" w:space="0" w:color="auto"/>
        <w:left w:val="none" w:sz="0" w:space="0" w:color="auto"/>
        <w:bottom w:val="none" w:sz="0" w:space="0" w:color="auto"/>
        <w:right w:val="none" w:sz="0" w:space="0" w:color="auto"/>
      </w:divBdr>
      <w:divsChild>
        <w:div w:id="1332685472">
          <w:marLeft w:val="0"/>
          <w:marRight w:val="0"/>
          <w:marTop w:val="0"/>
          <w:marBottom w:val="0"/>
          <w:divBdr>
            <w:top w:val="none" w:sz="0" w:space="0" w:color="auto"/>
            <w:left w:val="none" w:sz="0" w:space="0" w:color="auto"/>
            <w:bottom w:val="none" w:sz="0" w:space="0" w:color="auto"/>
            <w:right w:val="none" w:sz="0" w:space="0" w:color="auto"/>
          </w:divBdr>
        </w:div>
        <w:div w:id="1480074102">
          <w:marLeft w:val="0"/>
          <w:marRight w:val="0"/>
          <w:marTop w:val="0"/>
          <w:marBottom w:val="0"/>
          <w:divBdr>
            <w:top w:val="none" w:sz="0" w:space="0" w:color="auto"/>
            <w:left w:val="none" w:sz="0" w:space="0" w:color="auto"/>
            <w:bottom w:val="none" w:sz="0" w:space="0" w:color="auto"/>
            <w:right w:val="none" w:sz="0" w:space="0" w:color="auto"/>
          </w:divBdr>
        </w:div>
      </w:divsChild>
    </w:div>
    <w:div w:id="1876261713">
      <w:bodyDiv w:val="1"/>
      <w:marLeft w:val="0"/>
      <w:marRight w:val="0"/>
      <w:marTop w:val="0"/>
      <w:marBottom w:val="0"/>
      <w:divBdr>
        <w:top w:val="none" w:sz="0" w:space="0" w:color="auto"/>
        <w:left w:val="none" w:sz="0" w:space="0" w:color="auto"/>
        <w:bottom w:val="none" w:sz="0" w:space="0" w:color="auto"/>
        <w:right w:val="none" w:sz="0" w:space="0" w:color="auto"/>
      </w:divBdr>
      <w:divsChild>
        <w:div w:id="505219002">
          <w:marLeft w:val="720"/>
          <w:marRight w:val="0"/>
          <w:marTop w:val="0"/>
          <w:marBottom w:val="0"/>
          <w:divBdr>
            <w:top w:val="none" w:sz="0" w:space="0" w:color="auto"/>
            <w:left w:val="none" w:sz="0" w:space="0" w:color="auto"/>
            <w:bottom w:val="none" w:sz="0" w:space="0" w:color="auto"/>
            <w:right w:val="none" w:sz="0" w:space="0" w:color="auto"/>
          </w:divBdr>
        </w:div>
        <w:div w:id="1409883108">
          <w:marLeft w:val="720"/>
          <w:marRight w:val="0"/>
          <w:marTop w:val="0"/>
          <w:marBottom w:val="0"/>
          <w:divBdr>
            <w:top w:val="none" w:sz="0" w:space="0" w:color="auto"/>
            <w:left w:val="none" w:sz="0" w:space="0" w:color="auto"/>
            <w:bottom w:val="none" w:sz="0" w:space="0" w:color="auto"/>
            <w:right w:val="none" w:sz="0" w:space="0" w:color="auto"/>
          </w:divBdr>
        </w:div>
        <w:div w:id="1470171813">
          <w:marLeft w:val="1440"/>
          <w:marRight w:val="0"/>
          <w:marTop w:val="0"/>
          <w:marBottom w:val="0"/>
          <w:divBdr>
            <w:top w:val="none" w:sz="0" w:space="0" w:color="auto"/>
            <w:left w:val="none" w:sz="0" w:space="0" w:color="auto"/>
            <w:bottom w:val="none" w:sz="0" w:space="0" w:color="auto"/>
            <w:right w:val="none" w:sz="0" w:space="0" w:color="auto"/>
          </w:divBdr>
        </w:div>
        <w:div w:id="1825900112">
          <w:marLeft w:val="1440"/>
          <w:marRight w:val="0"/>
          <w:marTop w:val="0"/>
          <w:marBottom w:val="0"/>
          <w:divBdr>
            <w:top w:val="none" w:sz="0" w:space="0" w:color="auto"/>
            <w:left w:val="none" w:sz="0" w:space="0" w:color="auto"/>
            <w:bottom w:val="none" w:sz="0" w:space="0" w:color="auto"/>
            <w:right w:val="none" w:sz="0" w:space="0" w:color="auto"/>
          </w:divBdr>
        </w:div>
        <w:div w:id="1889875159">
          <w:marLeft w:val="1440"/>
          <w:marRight w:val="0"/>
          <w:marTop w:val="0"/>
          <w:marBottom w:val="0"/>
          <w:divBdr>
            <w:top w:val="none" w:sz="0" w:space="0" w:color="auto"/>
            <w:left w:val="none" w:sz="0" w:space="0" w:color="auto"/>
            <w:bottom w:val="none" w:sz="0" w:space="0" w:color="auto"/>
            <w:right w:val="none" w:sz="0" w:space="0" w:color="auto"/>
          </w:divBdr>
        </w:div>
        <w:div w:id="2019503696">
          <w:marLeft w:val="1440"/>
          <w:marRight w:val="0"/>
          <w:marTop w:val="0"/>
          <w:marBottom w:val="0"/>
          <w:divBdr>
            <w:top w:val="none" w:sz="0" w:space="0" w:color="auto"/>
            <w:left w:val="none" w:sz="0" w:space="0" w:color="auto"/>
            <w:bottom w:val="none" w:sz="0" w:space="0" w:color="auto"/>
            <w:right w:val="none" w:sz="0" w:space="0" w:color="auto"/>
          </w:divBdr>
        </w:div>
      </w:divsChild>
    </w:div>
    <w:div w:id="1893686747">
      <w:bodyDiv w:val="1"/>
      <w:marLeft w:val="0"/>
      <w:marRight w:val="0"/>
      <w:marTop w:val="0"/>
      <w:marBottom w:val="0"/>
      <w:divBdr>
        <w:top w:val="none" w:sz="0" w:space="0" w:color="auto"/>
        <w:left w:val="none" w:sz="0" w:space="0" w:color="auto"/>
        <w:bottom w:val="none" w:sz="0" w:space="0" w:color="auto"/>
        <w:right w:val="none" w:sz="0" w:space="0" w:color="auto"/>
      </w:divBdr>
    </w:div>
    <w:div w:id="1903445609">
      <w:bodyDiv w:val="1"/>
      <w:marLeft w:val="0"/>
      <w:marRight w:val="0"/>
      <w:marTop w:val="0"/>
      <w:marBottom w:val="0"/>
      <w:divBdr>
        <w:top w:val="none" w:sz="0" w:space="0" w:color="auto"/>
        <w:left w:val="none" w:sz="0" w:space="0" w:color="auto"/>
        <w:bottom w:val="none" w:sz="0" w:space="0" w:color="auto"/>
        <w:right w:val="none" w:sz="0" w:space="0" w:color="auto"/>
      </w:divBdr>
    </w:div>
    <w:div w:id="1914312226">
      <w:bodyDiv w:val="1"/>
      <w:marLeft w:val="0"/>
      <w:marRight w:val="0"/>
      <w:marTop w:val="0"/>
      <w:marBottom w:val="0"/>
      <w:divBdr>
        <w:top w:val="none" w:sz="0" w:space="0" w:color="auto"/>
        <w:left w:val="none" w:sz="0" w:space="0" w:color="auto"/>
        <w:bottom w:val="none" w:sz="0" w:space="0" w:color="auto"/>
        <w:right w:val="none" w:sz="0" w:space="0" w:color="auto"/>
      </w:divBdr>
      <w:divsChild>
        <w:div w:id="1507479994">
          <w:marLeft w:val="0"/>
          <w:marRight w:val="0"/>
          <w:marTop w:val="0"/>
          <w:marBottom w:val="0"/>
          <w:divBdr>
            <w:top w:val="none" w:sz="0" w:space="0" w:color="auto"/>
            <w:left w:val="none" w:sz="0" w:space="0" w:color="auto"/>
            <w:bottom w:val="none" w:sz="0" w:space="0" w:color="auto"/>
            <w:right w:val="none" w:sz="0" w:space="0" w:color="auto"/>
          </w:divBdr>
        </w:div>
        <w:div w:id="1647930325">
          <w:marLeft w:val="0"/>
          <w:marRight w:val="0"/>
          <w:marTop w:val="0"/>
          <w:marBottom w:val="0"/>
          <w:divBdr>
            <w:top w:val="none" w:sz="0" w:space="0" w:color="auto"/>
            <w:left w:val="none" w:sz="0" w:space="0" w:color="auto"/>
            <w:bottom w:val="none" w:sz="0" w:space="0" w:color="auto"/>
            <w:right w:val="none" w:sz="0" w:space="0" w:color="auto"/>
          </w:divBdr>
        </w:div>
      </w:divsChild>
    </w:div>
    <w:div w:id="1933511182">
      <w:bodyDiv w:val="1"/>
      <w:marLeft w:val="0"/>
      <w:marRight w:val="0"/>
      <w:marTop w:val="0"/>
      <w:marBottom w:val="0"/>
      <w:divBdr>
        <w:top w:val="none" w:sz="0" w:space="0" w:color="auto"/>
        <w:left w:val="none" w:sz="0" w:space="0" w:color="auto"/>
        <w:bottom w:val="none" w:sz="0" w:space="0" w:color="auto"/>
        <w:right w:val="none" w:sz="0" w:space="0" w:color="auto"/>
      </w:divBdr>
    </w:div>
    <w:div w:id="1971158399">
      <w:bodyDiv w:val="1"/>
      <w:marLeft w:val="0"/>
      <w:marRight w:val="0"/>
      <w:marTop w:val="0"/>
      <w:marBottom w:val="0"/>
      <w:divBdr>
        <w:top w:val="none" w:sz="0" w:space="0" w:color="auto"/>
        <w:left w:val="none" w:sz="0" w:space="0" w:color="auto"/>
        <w:bottom w:val="none" w:sz="0" w:space="0" w:color="auto"/>
        <w:right w:val="none" w:sz="0" w:space="0" w:color="auto"/>
      </w:divBdr>
    </w:div>
    <w:div w:id="2043287544">
      <w:bodyDiv w:val="1"/>
      <w:marLeft w:val="0"/>
      <w:marRight w:val="0"/>
      <w:marTop w:val="0"/>
      <w:marBottom w:val="0"/>
      <w:divBdr>
        <w:top w:val="none" w:sz="0" w:space="0" w:color="auto"/>
        <w:left w:val="none" w:sz="0" w:space="0" w:color="auto"/>
        <w:bottom w:val="none" w:sz="0" w:space="0" w:color="auto"/>
        <w:right w:val="none" w:sz="0" w:space="0" w:color="auto"/>
      </w:divBdr>
    </w:div>
    <w:div w:id="2066683133">
      <w:bodyDiv w:val="1"/>
      <w:marLeft w:val="0"/>
      <w:marRight w:val="0"/>
      <w:marTop w:val="0"/>
      <w:marBottom w:val="0"/>
      <w:divBdr>
        <w:top w:val="none" w:sz="0" w:space="0" w:color="auto"/>
        <w:left w:val="none" w:sz="0" w:space="0" w:color="auto"/>
        <w:bottom w:val="none" w:sz="0" w:space="0" w:color="auto"/>
        <w:right w:val="none" w:sz="0" w:space="0" w:color="auto"/>
      </w:divBdr>
      <w:divsChild>
        <w:div w:id="1301426242">
          <w:marLeft w:val="0"/>
          <w:marRight w:val="0"/>
          <w:marTop w:val="0"/>
          <w:marBottom w:val="0"/>
          <w:divBdr>
            <w:top w:val="none" w:sz="0" w:space="0" w:color="auto"/>
            <w:left w:val="none" w:sz="0" w:space="0" w:color="auto"/>
            <w:bottom w:val="none" w:sz="0" w:space="0" w:color="auto"/>
            <w:right w:val="none" w:sz="0" w:space="0" w:color="auto"/>
          </w:divBdr>
        </w:div>
      </w:divsChild>
    </w:div>
    <w:div w:id="2142532494">
      <w:bodyDiv w:val="1"/>
      <w:marLeft w:val="0"/>
      <w:marRight w:val="0"/>
      <w:marTop w:val="0"/>
      <w:marBottom w:val="0"/>
      <w:divBdr>
        <w:top w:val="none" w:sz="0" w:space="0" w:color="auto"/>
        <w:left w:val="none" w:sz="0" w:space="0" w:color="auto"/>
        <w:bottom w:val="none" w:sz="0" w:space="0" w:color="auto"/>
        <w:right w:val="none" w:sz="0" w:space="0" w:color="auto"/>
      </w:divBdr>
      <w:divsChild>
        <w:div w:id="124656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competition/elojade/isef/case_details.cfm?proc_code=2_M_7194" TargetMode="External"/><Relationship Id="rId18" Type="http://schemas.openxmlformats.org/officeDocument/2006/relationships/hyperlink" Target="http://europa.eu/rapid/press-release_MEMO-15-4782_en.htm" TargetMode="External"/><Relationship Id="rId26" Type="http://schemas.openxmlformats.org/officeDocument/2006/relationships/hyperlink" Target="http://europa.eu/rapid/press-release_IP-14-215_en.htm" TargetMode="External"/><Relationship Id="rId39" Type="http://schemas.openxmlformats.org/officeDocument/2006/relationships/hyperlink" Target="http://europa.eu/rapid/press-release_IP-14-2742_en.htm" TargetMode="External"/><Relationship Id="rId21" Type="http://schemas.openxmlformats.org/officeDocument/2006/relationships/hyperlink" Target="http://ec.europa.eu/competition/elojade/isef/case_details.cfm?proc_code=2_M_7612" TargetMode="External"/><Relationship Id="rId34" Type="http://schemas.openxmlformats.org/officeDocument/2006/relationships/hyperlink" Target="http://europa.eu/rapid/press-release_IP-15-6221_bg.htm" TargetMode="External"/><Relationship Id="rId42" Type="http://schemas.openxmlformats.org/officeDocument/2006/relationships/hyperlink" Target="http://ec.europa.eu/competition/elojade/isef/case_details.cfm?proc_code=1_39563" TargetMode="External"/><Relationship Id="rId47" Type="http://schemas.openxmlformats.org/officeDocument/2006/relationships/hyperlink" Target="http://eur-lex.europa.eu/legal-content/BG/TXT/?qid=1427289116879&amp;uri=CELEX:32014L0059" TargetMode="External"/><Relationship Id="rId50" Type="http://schemas.openxmlformats.org/officeDocument/2006/relationships/hyperlink" Target="http://ec.europa.eu/competition/elojade/isef/case_details.cfm?proc_code=3_SA_41925" TargetMode="External"/><Relationship Id="rId55" Type="http://schemas.openxmlformats.org/officeDocument/2006/relationships/hyperlink" Target="http://ec.europa.eu/competition/elojade/isef/case_details.cfm?proc_code=3_SA_43367" TargetMode="External"/><Relationship Id="rId7" Type="http://schemas.openxmlformats.org/officeDocument/2006/relationships/hyperlink" Target="http://eur-lex.europa.eu/LexUriServ/LexUriServ.do?uri=OJ:C:2013:025:0001:0026:bg:PDF" TargetMode="External"/><Relationship Id="rId12" Type="http://schemas.openxmlformats.org/officeDocument/2006/relationships/hyperlink" Target="http://europa.eu/rapid/press-release_IP-15-5166_en.htm" TargetMode="External"/><Relationship Id="rId17" Type="http://schemas.openxmlformats.org/officeDocument/2006/relationships/hyperlink" Target="http://europa.eu/rapid/press-release_IP-15-6271_en.htm" TargetMode="External"/><Relationship Id="rId25" Type="http://schemas.openxmlformats.org/officeDocument/2006/relationships/hyperlink" Target="http://europa.eu/rapid/press-release_IP-15-4828_bg.htm" TargetMode="External"/><Relationship Id="rId33" Type="http://schemas.openxmlformats.org/officeDocument/2006/relationships/hyperlink" Target="http://ec.europa.eu/competition/elojade/isef/case_details.cfm?proc_code=3_SA_38374" TargetMode="External"/><Relationship Id="rId38" Type="http://schemas.openxmlformats.org/officeDocument/2006/relationships/hyperlink" Target="http://europa.eu/rapid/press-release_IP-16-42_bg.htm" TargetMode="External"/><Relationship Id="rId46" Type="http://schemas.openxmlformats.org/officeDocument/2006/relationships/hyperlink" Target="http://eur-lex.europa.eu/legal-content/BG/TXT/HTML/?uri=CELEX:32015R0751&amp;from=BG" TargetMode="External"/><Relationship Id="rId2" Type="http://schemas.openxmlformats.org/officeDocument/2006/relationships/hyperlink" Target="http://ec.europa.eu/priorities/jobs-growth-and-investment/investment-plan_bg" TargetMode="External"/><Relationship Id="rId16" Type="http://schemas.openxmlformats.org/officeDocument/2006/relationships/hyperlink" Target="http://eur-lex.europa.eu/legal-content/BG/TXT/HTML/?uri=CELEX:32015R2120&amp;from=EN" TargetMode="External"/><Relationship Id="rId20" Type="http://schemas.openxmlformats.org/officeDocument/2006/relationships/hyperlink" Target="http://ec.europa.eu/competition/elojade/isef/case_details.cfm?proc_code=2_M_7421" TargetMode="External"/><Relationship Id="rId29" Type="http://schemas.openxmlformats.org/officeDocument/2006/relationships/hyperlink" Target="http://eur-lex.europa.eu/legal-content/BG/TXT/?uri=CELEX%3A52014XC0628%2801%29" TargetMode="External"/><Relationship Id="rId41" Type="http://schemas.openxmlformats.org/officeDocument/2006/relationships/hyperlink" Target="http://eur-lex.europa.eu/legal-content/BG/TXT/HTML/?uri=CELEX:52014DC0453&amp;from=EN" TargetMode="External"/><Relationship Id="rId54" Type="http://schemas.openxmlformats.org/officeDocument/2006/relationships/hyperlink" Target="http://ec.europa.eu/competition/elojade/isef/case_details.cfm?proc_code=3_SA_43365" TargetMode="External"/><Relationship Id="rId1" Type="http://schemas.openxmlformats.org/officeDocument/2006/relationships/hyperlink" Target="http://ec.europa.eu/priorities/jobs-growth-and-investment/investment-plan_bg" TargetMode="External"/><Relationship Id="rId6" Type="http://schemas.openxmlformats.org/officeDocument/2006/relationships/hyperlink" Target="http://eur-lex.europa.eu/legal-content/BG/TXT/HTML/?uri=CELEX:52014XC0122(04)&amp;from=EN" TargetMode="External"/><Relationship Id="rId11" Type="http://schemas.openxmlformats.org/officeDocument/2006/relationships/hyperlink" Target="http://europa.eu/rapid/press-release_IP-15-4780_bg.htm" TargetMode="External"/><Relationship Id="rId24" Type="http://schemas.openxmlformats.org/officeDocument/2006/relationships/hyperlink" Target="http://eur-lex.europa.eu/legal-content/BG/TXT/?qid=1465157281068&amp;uri=CELEX:52015DC0080" TargetMode="External"/><Relationship Id="rId32" Type="http://schemas.openxmlformats.org/officeDocument/2006/relationships/hyperlink" Target="http://ec.europa.eu/competition/elojade/isef/case_details.cfm?proc_code=3_SA_38375" TargetMode="External"/><Relationship Id="rId37" Type="http://schemas.openxmlformats.org/officeDocument/2006/relationships/hyperlink" Target="http://europa.eu/rapid/press-release_IP-15-4080_en.htm" TargetMode="External"/><Relationship Id="rId40" Type="http://schemas.openxmlformats.org/officeDocument/2006/relationships/hyperlink" Target="http://eur-lex.europa.eu/legal-content/BG/TXT/?qid=1465196718775&amp;uri=CELEX:32003R0001" TargetMode="External"/><Relationship Id="rId45" Type="http://schemas.openxmlformats.org/officeDocument/2006/relationships/hyperlink" Target="http://europa.eu/rapid/press-release_IP-15-5323_bg.htm" TargetMode="External"/><Relationship Id="rId53" Type="http://schemas.openxmlformats.org/officeDocument/2006/relationships/hyperlink" Target="http://ec.europa.eu/competition/elojade/isef/case_details.cfm?proc_code=3_SA_43364" TargetMode="External"/><Relationship Id="rId5" Type="http://schemas.openxmlformats.org/officeDocument/2006/relationships/hyperlink" Target="http://eur-lex.europa.eu/legal-content/BG/TXT/HTML/?uri=CELEX:52014XC0627(01)&amp;from=BG" TargetMode="External"/><Relationship Id="rId15" Type="http://schemas.openxmlformats.org/officeDocument/2006/relationships/hyperlink" Target="http://europa.eu/rapid/press-release_IP-15-5432_en.htm" TargetMode="External"/><Relationship Id="rId23" Type="http://schemas.openxmlformats.org/officeDocument/2006/relationships/hyperlink" Target="http://ec.europa.eu/competition/elojade/isef/case_details.cfm?proc_code=2_M_7419" TargetMode="External"/><Relationship Id="rId28" Type="http://schemas.openxmlformats.org/officeDocument/2006/relationships/hyperlink" Target="http://europa.eu/rapid/press-release_IP-15-6289_bg.htm" TargetMode="External"/><Relationship Id="rId36" Type="http://schemas.openxmlformats.org/officeDocument/2006/relationships/hyperlink" Target="http://ec.europa.eu/competition/elojade/isef/case_details.cfm?proc_code=3_SA_38944" TargetMode="External"/><Relationship Id="rId49" Type="http://schemas.openxmlformats.org/officeDocument/2006/relationships/hyperlink" Target="http://ec.europa.eu/competition/elojade/isef/case_details.cfm?proc_code=3_SA_41134" TargetMode="External"/><Relationship Id="rId57" Type="http://schemas.openxmlformats.org/officeDocument/2006/relationships/hyperlink" Target="http://ec.europa.eu/competition/elojade/isef/case_details.cfm?proc_code=3_SA_43977" TargetMode="External"/><Relationship Id="rId10" Type="http://schemas.openxmlformats.org/officeDocument/2006/relationships/hyperlink" Target="http://www.europarl.europa.eu/RegData/etudes/STUD/2015/542235/IPOL_STU(2015)542235_EN.pdf" TargetMode="External"/><Relationship Id="rId19" Type="http://schemas.openxmlformats.org/officeDocument/2006/relationships/hyperlink" Target="http://ec.europa.eu/competition/elojade/isef/case_details.cfm?proc_code=1_39523" TargetMode="External"/><Relationship Id="rId31" Type="http://schemas.openxmlformats.org/officeDocument/2006/relationships/hyperlink" Target="http://europa.eu/rapid/press-release_IP-15-4610_bg.htm" TargetMode="External"/><Relationship Id="rId44" Type="http://schemas.openxmlformats.org/officeDocument/2006/relationships/hyperlink" Target="http://ec.europa.eu/competition/elojade/isef/case_details.cfm?proc_code=1_39861" TargetMode="External"/><Relationship Id="rId52" Type="http://schemas.openxmlformats.org/officeDocument/2006/relationships/hyperlink" Target="https://www.bankingsupervision.europa.eu/press/pr/date/2015/html/sr151031.en.html" TargetMode="External"/><Relationship Id="rId4" Type="http://schemas.openxmlformats.org/officeDocument/2006/relationships/hyperlink" Target="http://eur-lex.europa.eu/legal-content/BG/TXT/HTML/?uri=CELEX:32014R0651&amp;from=BG" TargetMode="External"/><Relationship Id="rId9" Type="http://schemas.openxmlformats.org/officeDocument/2006/relationships/hyperlink" Target="http://eur-lex.europa.eu/legal-content/BG/TXT/?uri=celex%3A52015DC0192" TargetMode="External"/><Relationship Id="rId14" Type="http://schemas.openxmlformats.org/officeDocument/2006/relationships/hyperlink" Target="http://ec.europa.eu/competition/elojade/isef/case_details.cfm?proc_code=2_M_7499" TargetMode="External"/><Relationship Id="rId22" Type="http://schemas.openxmlformats.org/officeDocument/2006/relationships/hyperlink" Target="http://ec.europa.eu/competition/elojade/isef/case_details.cfm?proc_code=2_M_7637" TargetMode="External"/><Relationship Id="rId27" Type="http://schemas.openxmlformats.org/officeDocument/2006/relationships/hyperlink" Target="http://europa.eu/rapid/press-release_IP-15-4651_bg.htm" TargetMode="External"/><Relationship Id="rId30" Type="http://schemas.openxmlformats.org/officeDocument/2006/relationships/hyperlink" Target="http://ec.europa.eu/competition/elojade/isef/index.cfm?fuseaction=dsp_result" TargetMode="External"/><Relationship Id="rId35" Type="http://schemas.openxmlformats.org/officeDocument/2006/relationships/hyperlink" Target="http://ec.europa.eu/competition/elojade/isef/case_details.cfm?proc_code=3_SA_38373" TargetMode="External"/><Relationship Id="rId43" Type="http://schemas.openxmlformats.org/officeDocument/2006/relationships/hyperlink" Target="http://ec.europa.eu/competition/elojade/isef/case_details.cfm?proc_code=1_39639" TargetMode="External"/><Relationship Id="rId48" Type="http://schemas.openxmlformats.org/officeDocument/2006/relationships/hyperlink" Target="http://ec.europa.eu/competition/elojade/isef/case_details.cfm?proc_code=3_SA_39543" TargetMode="External"/><Relationship Id="rId56" Type="http://schemas.openxmlformats.org/officeDocument/2006/relationships/hyperlink" Target="http://ec.europa.eu/competition/elojade/isef/case_details.cfm?proc_code=3_SA_43976" TargetMode="External"/><Relationship Id="rId8" Type="http://schemas.openxmlformats.org/officeDocument/2006/relationships/hyperlink" Target="http://ec.europa.eu/priorities/digital-single-market_en" TargetMode="External"/><Relationship Id="rId51" Type="http://schemas.openxmlformats.org/officeDocument/2006/relationships/hyperlink" Target="http://ec.europa.eu/competition/elojade/isef/case_details.cfm?proc_code=3_SA_43547" TargetMode="External"/><Relationship Id="rId3" Type="http://schemas.openxmlformats.org/officeDocument/2006/relationships/hyperlink" Target="http://ec.europa.eu/competition/state_aid/modernisation/index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DA80-5272-4CC7-8BD9-E61AEE9A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9302</Words>
  <Characters>53027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62205</CharactersWithSpaces>
  <SharedDoc>false</SharedDoc>
  <HLinks>
    <vt:vector size="288" baseType="variant">
      <vt:variant>
        <vt:i4>2162734</vt:i4>
      </vt:variant>
      <vt:variant>
        <vt:i4>141</vt:i4>
      </vt:variant>
      <vt:variant>
        <vt:i4>0</vt:i4>
      </vt:variant>
      <vt:variant>
        <vt:i4>5</vt:i4>
      </vt:variant>
      <vt:variant>
        <vt:lpwstr>http://ec.europa.eu/competition/elojade/isef/case_details.cfm?proc_code=3_SA_43365</vt:lpwstr>
      </vt:variant>
      <vt:variant>
        <vt:lpwstr/>
      </vt:variant>
      <vt:variant>
        <vt:i4>2097198</vt:i4>
      </vt:variant>
      <vt:variant>
        <vt:i4>138</vt:i4>
      </vt:variant>
      <vt:variant>
        <vt:i4>0</vt:i4>
      </vt:variant>
      <vt:variant>
        <vt:i4>5</vt:i4>
      </vt:variant>
      <vt:variant>
        <vt:lpwstr>http://ec.europa.eu/competition/elojade/isef/case_details.cfm?proc_code=3_SA_43364</vt:lpwstr>
      </vt:variant>
      <vt:variant>
        <vt:lpwstr/>
      </vt:variant>
      <vt:variant>
        <vt:i4>196626</vt:i4>
      </vt:variant>
      <vt:variant>
        <vt:i4>135</vt:i4>
      </vt:variant>
      <vt:variant>
        <vt:i4>0</vt:i4>
      </vt:variant>
      <vt:variant>
        <vt:i4>5</vt:i4>
      </vt:variant>
      <vt:variant>
        <vt:lpwstr>https://www.bankingsupervision.europa.eu/press/pr/date/2015/html/sr151031.en.html</vt:lpwstr>
      </vt:variant>
      <vt:variant>
        <vt:lpwstr/>
      </vt:variant>
      <vt:variant>
        <vt:i4>5308465</vt:i4>
      </vt:variant>
      <vt:variant>
        <vt:i4>132</vt:i4>
      </vt:variant>
      <vt:variant>
        <vt:i4>0</vt:i4>
      </vt:variant>
      <vt:variant>
        <vt:i4>5</vt:i4>
      </vt:variant>
      <vt:variant>
        <vt:lpwstr>http://eur-lex.europa.eu/legal-content/EN/TXT/?uri=uriserv%3AOJ.L_.2015.123.01.0001.01.ENG</vt:lpwstr>
      </vt:variant>
      <vt:variant>
        <vt:lpwstr/>
      </vt:variant>
      <vt:variant>
        <vt:i4>5177420</vt:i4>
      </vt:variant>
      <vt:variant>
        <vt:i4>129</vt:i4>
      </vt:variant>
      <vt:variant>
        <vt:i4>0</vt:i4>
      </vt:variant>
      <vt:variant>
        <vt:i4>5</vt:i4>
      </vt:variant>
      <vt:variant>
        <vt:lpwstr>http://europa.eu/rapid/press-release_IP-15-5323_en.htm</vt:lpwstr>
      </vt:variant>
      <vt:variant>
        <vt:lpwstr/>
      </vt:variant>
      <vt:variant>
        <vt:i4>8192014</vt:i4>
      </vt:variant>
      <vt:variant>
        <vt:i4>126</vt:i4>
      </vt:variant>
      <vt:variant>
        <vt:i4>0</vt:i4>
      </vt:variant>
      <vt:variant>
        <vt:i4>5</vt:i4>
      </vt:variant>
      <vt:variant>
        <vt:lpwstr>http://ec.europa.eu/competition/elojade/isef/case_details.cfm?proc_code=1_39861</vt:lpwstr>
      </vt:variant>
      <vt:variant>
        <vt:lpwstr/>
      </vt:variant>
      <vt:variant>
        <vt:i4>7864320</vt:i4>
      </vt:variant>
      <vt:variant>
        <vt:i4>123</vt:i4>
      </vt:variant>
      <vt:variant>
        <vt:i4>0</vt:i4>
      </vt:variant>
      <vt:variant>
        <vt:i4>5</vt:i4>
      </vt:variant>
      <vt:variant>
        <vt:lpwstr>http://ec.europa.eu/competition/elojade/isef/case_details.cfm?proc_code=1_39639</vt:lpwstr>
      </vt:variant>
      <vt:variant>
        <vt:lpwstr/>
      </vt:variant>
      <vt:variant>
        <vt:i4>8192003</vt:i4>
      </vt:variant>
      <vt:variant>
        <vt:i4>120</vt:i4>
      </vt:variant>
      <vt:variant>
        <vt:i4>0</vt:i4>
      </vt:variant>
      <vt:variant>
        <vt:i4>5</vt:i4>
      </vt:variant>
      <vt:variant>
        <vt:lpwstr>http://ec.europa.eu/competition/elojade/isef/case_details.cfm?proc_code=1_39563</vt:lpwstr>
      </vt:variant>
      <vt:variant>
        <vt:lpwstr/>
      </vt:variant>
      <vt:variant>
        <vt:i4>8323168</vt:i4>
      </vt:variant>
      <vt:variant>
        <vt:i4>117</vt:i4>
      </vt:variant>
      <vt:variant>
        <vt:i4>0</vt:i4>
      </vt:variant>
      <vt:variant>
        <vt:i4>5</vt:i4>
      </vt:variant>
      <vt:variant>
        <vt:lpwstr>http://eur-lex.europa.eu/legal-content/EN/TXT/?uri=CELEX%3A52014DC0453</vt:lpwstr>
      </vt:variant>
      <vt:variant>
        <vt:lpwstr/>
      </vt:variant>
      <vt:variant>
        <vt:i4>917583</vt:i4>
      </vt:variant>
      <vt:variant>
        <vt:i4>114</vt:i4>
      </vt:variant>
      <vt:variant>
        <vt:i4>0</vt:i4>
      </vt:variant>
      <vt:variant>
        <vt:i4>5</vt:i4>
      </vt:variant>
      <vt:variant>
        <vt:lpwstr>http://eur-lex.europa.eu/legal-content/EN/ALL/?uri=celex%3A32003R0001</vt:lpwstr>
      </vt:variant>
      <vt:variant>
        <vt:lpwstr/>
      </vt:variant>
      <vt:variant>
        <vt:i4>5177417</vt:i4>
      </vt:variant>
      <vt:variant>
        <vt:i4>111</vt:i4>
      </vt:variant>
      <vt:variant>
        <vt:i4>0</vt:i4>
      </vt:variant>
      <vt:variant>
        <vt:i4>5</vt:i4>
      </vt:variant>
      <vt:variant>
        <vt:lpwstr>http://europa.eu/rapid/press-release_IP-14-2742_en.htm</vt:lpwstr>
      </vt:variant>
      <vt:variant>
        <vt:lpwstr/>
      </vt:variant>
      <vt:variant>
        <vt:i4>8323198</vt:i4>
      </vt:variant>
      <vt:variant>
        <vt:i4>108</vt:i4>
      </vt:variant>
      <vt:variant>
        <vt:i4>0</vt:i4>
      </vt:variant>
      <vt:variant>
        <vt:i4>5</vt:i4>
      </vt:variant>
      <vt:variant>
        <vt:lpwstr>http://europa.eu/rapid/press-release_IP-16-42_en.htm</vt:lpwstr>
      </vt:variant>
      <vt:variant>
        <vt:lpwstr/>
      </vt:variant>
      <vt:variant>
        <vt:i4>4456524</vt:i4>
      </vt:variant>
      <vt:variant>
        <vt:i4>105</vt:i4>
      </vt:variant>
      <vt:variant>
        <vt:i4>0</vt:i4>
      </vt:variant>
      <vt:variant>
        <vt:i4>5</vt:i4>
      </vt:variant>
      <vt:variant>
        <vt:lpwstr>http://europa.eu/rapid/press-release_IP-15-4080_en.htm</vt:lpwstr>
      </vt:variant>
      <vt:variant>
        <vt:lpwstr/>
      </vt:variant>
      <vt:variant>
        <vt:i4>2949159</vt:i4>
      </vt:variant>
      <vt:variant>
        <vt:i4>102</vt:i4>
      </vt:variant>
      <vt:variant>
        <vt:i4>0</vt:i4>
      </vt:variant>
      <vt:variant>
        <vt:i4>5</vt:i4>
      </vt:variant>
      <vt:variant>
        <vt:lpwstr>http://ec.europa.eu/competition/elojade/isef/case_details.cfm?proc_code=3_SA_38944</vt:lpwstr>
      </vt:variant>
      <vt:variant>
        <vt:lpwstr/>
      </vt:variant>
      <vt:variant>
        <vt:i4>2097188</vt:i4>
      </vt:variant>
      <vt:variant>
        <vt:i4>99</vt:i4>
      </vt:variant>
      <vt:variant>
        <vt:i4>0</vt:i4>
      </vt:variant>
      <vt:variant>
        <vt:i4>5</vt:i4>
      </vt:variant>
      <vt:variant>
        <vt:lpwstr>http://ec.europa.eu/competition/elojade/isef/case_details.cfm?proc_code=3_SA_38373</vt:lpwstr>
      </vt:variant>
      <vt:variant>
        <vt:lpwstr/>
      </vt:variant>
      <vt:variant>
        <vt:i4>4980815</vt:i4>
      </vt:variant>
      <vt:variant>
        <vt:i4>96</vt:i4>
      </vt:variant>
      <vt:variant>
        <vt:i4>0</vt:i4>
      </vt:variant>
      <vt:variant>
        <vt:i4>5</vt:i4>
      </vt:variant>
      <vt:variant>
        <vt:lpwstr>http://europa.eu/rapid/press-release_IP-15-6221_en.htm</vt:lpwstr>
      </vt:variant>
      <vt:variant>
        <vt:lpwstr/>
      </vt:variant>
      <vt:variant>
        <vt:i4>2555940</vt:i4>
      </vt:variant>
      <vt:variant>
        <vt:i4>93</vt:i4>
      </vt:variant>
      <vt:variant>
        <vt:i4>0</vt:i4>
      </vt:variant>
      <vt:variant>
        <vt:i4>5</vt:i4>
      </vt:variant>
      <vt:variant>
        <vt:lpwstr>http://ec.europa.eu/competition/elojade/isef/case_details.cfm?proc_code=3_SA_38374</vt:lpwstr>
      </vt:variant>
      <vt:variant>
        <vt:lpwstr/>
      </vt:variant>
      <vt:variant>
        <vt:i4>2490404</vt:i4>
      </vt:variant>
      <vt:variant>
        <vt:i4>90</vt:i4>
      </vt:variant>
      <vt:variant>
        <vt:i4>0</vt:i4>
      </vt:variant>
      <vt:variant>
        <vt:i4>5</vt:i4>
      </vt:variant>
      <vt:variant>
        <vt:lpwstr>http://ec.europa.eu/competition/elojade/isef/case_details.cfm?proc_code=3_SA_38375</vt:lpwstr>
      </vt:variant>
      <vt:variant>
        <vt:lpwstr/>
      </vt:variant>
      <vt:variant>
        <vt:i4>5046346</vt:i4>
      </vt:variant>
      <vt:variant>
        <vt:i4>87</vt:i4>
      </vt:variant>
      <vt:variant>
        <vt:i4>0</vt:i4>
      </vt:variant>
      <vt:variant>
        <vt:i4>5</vt:i4>
      </vt:variant>
      <vt:variant>
        <vt:lpwstr>http://europa.eu/rapid/press-release_IP-15-4610_en.htm</vt:lpwstr>
      </vt:variant>
      <vt:variant>
        <vt:lpwstr/>
      </vt:variant>
      <vt:variant>
        <vt:i4>3604495</vt:i4>
      </vt:variant>
      <vt:variant>
        <vt:i4>84</vt:i4>
      </vt:variant>
      <vt:variant>
        <vt:i4>0</vt:i4>
      </vt:variant>
      <vt:variant>
        <vt:i4>5</vt:i4>
      </vt:variant>
      <vt:variant>
        <vt:lpwstr>http://ec.europa.eu/competition/elojade/isef/index.cfm?fuseaction=dsp_result</vt:lpwstr>
      </vt:variant>
      <vt:variant>
        <vt:lpwstr/>
      </vt:variant>
      <vt:variant>
        <vt:i4>5963803</vt:i4>
      </vt:variant>
      <vt:variant>
        <vt:i4>81</vt:i4>
      </vt:variant>
      <vt:variant>
        <vt:i4>0</vt:i4>
      </vt:variant>
      <vt:variant>
        <vt:i4>5</vt:i4>
      </vt:variant>
      <vt:variant>
        <vt:lpwstr>http://eur-lex.europa.eu/legal-content/EN/TXT/?uri=CELEX:52014XC0628%2801%29</vt:lpwstr>
      </vt:variant>
      <vt:variant>
        <vt:lpwstr/>
      </vt:variant>
      <vt:variant>
        <vt:i4>4587591</vt:i4>
      </vt:variant>
      <vt:variant>
        <vt:i4>78</vt:i4>
      </vt:variant>
      <vt:variant>
        <vt:i4>0</vt:i4>
      </vt:variant>
      <vt:variant>
        <vt:i4>5</vt:i4>
      </vt:variant>
      <vt:variant>
        <vt:lpwstr>http://europa.eu/rapid/press-release_IP-15-6289_en.htm</vt:lpwstr>
      </vt:variant>
      <vt:variant>
        <vt:lpwstr/>
      </vt:variant>
      <vt:variant>
        <vt:i4>4784203</vt:i4>
      </vt:variant>
      <vt:variant>
        <vt:i4>75</vt:i4>
      </vt:variant>
      <vt:variant>
        <vt:i4>0</vt:i4>
      </vt:variant>
      <vt:variant>
        <vt:i4>5</vt:i4>
      </vt:variant>
      <vt:variant>
        <vt:lpwstr>http://europa.eu/rapid/press-release_IP-15-4651_en.htm</vt:lpwstr>
      </vt:variant>
      <vt:variant>
        <vt:lpwstr/>
      </vt:variant>
      <vt:variant>
        <vt:i4>4522011</vt:i4>
      </vt:variant>
      <vt:variant>
        <vt:i4>72</vt:i4>
      </vt:variant>
      <vt:variant>
        <vt:i4>0</vt:i4>
      </vt:variant>
      <vt:variant>
        <vt:i4>5</vt:i4>
      </vt:variant>
      <vt:variant>
        <vt:lpwstr>http://europa.eu/rapid/press-release_IP-14-215_en.htm</vt:lpwstr>
      </vt:variant>
      <vt:variant>
        <vt:lpwstr/>
      </vt:variant>
      <vt:variant>
        <vt:i4>5111884</vt:i4>
      </vt:variant>
      <vt:variant>
        <vt:i4>69</vt:i4>
      </vt:variant>
      <vt:variant>
        <vt:i4>0</vt:i4>
      </vt:variant>
      <vt:variant>
        <vt:i4>5</vt:i4>
      </vt:variant>
      <vt:variant>
        <vt:lpwstr>http://europa.eu/rapid/press-release_IP-15-4828_en.htm</vt:lpwstr>
      </vt:variant>
      <vt:variant>
        <vt:lpwstr/>
      </vt:variant>
      <vt:variant>
        <vt:i4>2031694</vt:i4>
      </vt:variant>
      <vt:variant>
        <vt:i4>66</vt:i4>
      </vt:variant>
      <vt:variant>
        <vt:i4>0</vt:i4>
      </vt:variant>
      <vt:variant>
        <vt:i4>5</vt:i4>
      </vt:variant>
      <vt:variant>
        <vt:lpwstr>http://eur-lex.europa.eu/legal-content/EN/TXT/?uri=COM%3A2015%3A80%3AFIN</vt:lpwstr>
      </vt:variant>
      <vt:variant>
        <vt:lpwstr/>
      </vt:variant>
      <vt:variant>
        <vt:i4>7929859</vt:i4>
      </vt:variant>
      <vt:variant>
        <vt:i4>63</vt:i4>
      </vt:variant>
      <vt:variant>
        <vt:i4>0</vt:i4>
      </vt:variant>
      <vt:variant>
        <vt:i4>5</vt:i4>
      </vt:variant>
      <vt:variant>
        <vt:lpwstr>http://ec.europa.eu/competition/elojade/isef/case_details.cfm?proc_code=1_39523</vt:lpwstr>
      </vt:variant>
      <vt:variant>
        <vt:lpwstr/>
      </vt:variant>
      <vt:variant>
        <vt:i4>2097261</vt:i4>
      </vt:variant>
      <vt:variant>
        <vt:i4>60</vt:i4>
      </vt:variant>
      <vt:variant>
        <vt:i4>0</vt:i4>
      </vt:variant>
      <vt:variant>
        <vt:i4>5</vt:i4>
      </vt:variant>
      <vt:variant>
        <vt:lpwstr>http://ec.europa.eu/competition/elojade/isef/case_details.cfm?proc_code=2_M_7419</vt:lpwstr>
      </vt:variant>
      <vt:variant>
        <vt:lpwstr/>
      </vt:variant>
      <vt:variant>
        <vt:i4>2883695</vt:i4>
      </vt:variant>
      <vt:variant>
        <vt:i4>57</vt:i4>
      </vt:variant>
      <vt:variant>
        <vt:i4>0</vt:i4>
      </vt:variant>
      <vt:variant>
        <vt:i4>5</vt:i4>
      </vt:variant>
      <vt:variant>
        <vt:lpwstr>http://ec.europa.eu/competition/elojade/isef/case_details.cfm?proc_code=2_M_7637</vt:lpwstr>
      </vt:variant>
      <vt:variant>
        <vt:lpwstr/>
      </vt:variant>
      <vt:variant>
        <vt:i4>2687085</vt:i4>
      </vt:variant>
      <vt:variant>
        <vt:i4>54</vt:i4>
      </vt:variant>
      <vt:variant>
        <vt:i4>0</vt:i4>
      </vt:variant>
      <vt:variant>
        <vt:i4>5</vt:i4>
      </vt:variant>
      <vt:variant>
        <vt:lpwstr>http://ec.europa.eu/competition/elojade/isef/case_details.cfm?proc_code=2_M_7612</vt:lpwstr>
      </vt:variant>
      <vt:variant>
        <vt:lpwstr/>
      </vt:variant>
      <vt:variant>
        <vt:i4>2621550</vt:i4>
      </vt:variant>
      <vt:variant>
        <vt:i4>51</vt:i4>
      </vt:variant>
      <vt:variant>
        <vt:i4>0</vt:i4>
      </vt:variant>
      <vt:variant>
        <vt:i4>5</vt:i4>
      </vt:variant>
      <vt:variant>
        <vt:lpwstr>http://ec.europa.eu/competition/elojade/isef/case_details.cfm?proc_code=2_M_7421</vt:lpwstr>
      </vt:variant>
      <vt:variant>
        <vt:lpwstr/>
      </vt:variant>
      <vt:variant>
        <vt:i4>2949171</vt:i4>
      </vt:variant>
      <vt:variant>
        <vt:i4>48</vt:i4>
      </vt:variant>
      <vt:variant>
        <vt:i4>0</vt:i4>
      </vt:variant>
      <vt:variant>
        <vt:i4>5</vt:i4>
      </vt:variant>
      <vt:variant>
        <vt:lpwstr>http://europa.eu/rapid/press-release_MEMO-15-4782_en.htm</vt:lpwstr>
      </vt:variant>
      <vt:variant>
        <vt:lpwstr/>
      </vt:variant>
      <vt:variant>
        <vt:i4>4784207</vt:i4>
      </vt:variant>
      <vt:variant>
        <vt:i4>45</vt:i4>
      </vt:variant>
      <vt:variant>
        <vt:i4>0</vt:i4>
      </vt:variant>
      <vt:variant>
        <vt:i4>5</vt:i4>
      </vt:variant>
      <vt:variant>
        <vt:lpwstr>http://europa.eu/rapid/press-release_IP-15-6271_en.htm</vt:lpwstr>
      </vt:variant>
      <vt:variant>
        <vt:lpwstr/>
      </vt:variant>
      <vt:variant>
        <vt:i4>1835074</vt:i4>
      </vt:variant>
      <vt:variant>
        <vt:i4>42</vt:i4>
      </vt:variant>
      <vt:variant>
        <vt:i4>0</vt:i4>
      </vt:variant>
      <vt:variant>
        <vt:i4>5</vt:i4>
      </vt:variant>
      <vt:variant>
        <vt:lpwstr>http://eur-lex.europa.eu/legal-content/EN/TXT/?uri=CELEX%3A32015R2120</vt:lpwstr>
      </vt:variant>
      <vt:variant>
        <vt:lpwstr/>
      </vt:variant>
      <vt:variant>
        <vt:i4>5111882</vt:i4>
      </vt:variant>
      <vt:variant>
        <vt:i4>39</vt:i4>
      </vt:variant>
      <vt:variant>
        <vt:i4>0</vt:i4>
      </vt:variant>
      <vt:variant>
        <vt:i4>5</vt:i4>
      </vt:variant>
      <vt:variant>
        <vt:lpwstr>http://europa.eu/rapid/press-release_IP-15-5432_en.htm</vt:lpwstr>
      </vt:variant>
      <vt:variant>
        <vt:lpwstr/>
      </vt:variant>
      <vt:variant>
        <vt:i4>2097253</vt:i4>
      </vt:variant>
      <vt:variant>
        <vt:i4>36</vt:i4>
      </vt:variant>
      <vt:variant>
        <vt:i4>0</vt:i4>
      </vt:variant>
      <vt:variant>
        <vt:i4>5</vt:i4>
      </vt:variant>
      <vt:variant>
        <vt:lpwstr>http://ec.europa.eu/competition/elojade/isef/case_details.cfm?proc_code=2_M_7499</vt:lpwstr>
      </vt:variant>
      <vt:variant>
        <vt:lpwstr/>
      </vt:variant>
      <vt:variant>
        <vt:i4>2621541</vt:i4>
      </vt:variant>
      <vt:variant>
        <vt:i4>33</vt:i4>
      </vt:variant>
      <vt:variant>
        <vt:i4>0</vt:i4>
      </vt:variant>
      <vt:variant>
        <vt:i4>5</vt:i4>
      </vt:variant>
      <vt:variant>
        <vt:lpwstr>http://ec.europa.eu/competition/elojade/isef/case_details.cfm?proc_code=2_M_7194</vt:lpwstr>
      </vt:variant>
      <vt:variant>
        <vt:lpwstr/>
      </vt:variant>
      <vt:variant>
        <vt:i4>4915275</vt:i4>
      </vt:variant>
      <vt:variant>
        <vt:i4>30</vt:i4>
      </vt:variant>
      <vt:variant>
        <vt:i4>0</vt:i4>
      </vt:variant>
      <vt:variant>
        <vt:i4>5</vt:i4>
      </vt:variant>
      <vt:variant>
        <vt:lpwstr>http://europa.eu/rapid/press-release_IP-15-5166_en.htm</vt:lpwstr>
      </vt:variant>
      <vt:variant>
        <vt:lpwstr/>
      </vt:variant>
      <vt:variant>
        <vt:i4>4456523</vt:i4>
      </vt:variant>
      <vt:variant>
        <vt:i4>27</vt:i4>
      </vt:variant>
      <vt:variant>
        <vt:i4>0</vt:i4>
      </vt:variant>
      <vt:variant>
        <vt:i4>5</vt:i4>
      </vt:variant>
      <vt:variant>
        <vt:lpwstr>http://europa.eu/rapid/press-release_IP-15-4780_en.htm</vt:lpwstr>
      </vt:variant>
      <vt:variant>
        <vt:lpwstr/>
      </vt:variant>
      <vt:variant>
        <vt:i4>262217</vt:i4>
      </vt:variant>
      <vt:variant>
        <vt:i4>24</vt:i4>
      </vt:variant>
      <vt:variant>
        <vt:i4>0</vt:i4>
      </vt:variant>
      <vt:variant>
        <vt:i4>5</vt:i4>
      </vt:variant>
      <vt:variant>
        <vt:lpwstr>http://www.europarl.europa.eu/RegData/etudes/STUD/2015/542235/IPOL_STU%282015%29542235_EN.pdf</vt:lpwstr>
      </vt:variant>
      <vt:variant>
        <vt:lpwstr/>
      </vt:variant>
      <vt:variant>
        <vt:i4>7995500</vt:i4>
      </vt:variant>
      <vt:variant>
        <vt:i4>21</vt:i4>
      </vt:variant>
      <vt:variant>
        <vt:i4>0</vt:i4>
      </vt:variant>
      <vt:variant>
        <vt:i4>5</vt:i4>
      </vt:variant>
      <vt:variant>
        <vt:lpwstr>http://eur-lex.europa.eu/legal-content/EN/TXT/?uri=celex%3A52015DC0192</vt:lpwstr>
      </vt:variant>
      <vt:variant>
        <vt:lpwstr/>
      </vt:variant>
      <vt:variant>
        <vt:i4>2162690</vt:i4>
      </vt:variant>
      <vt:variant>
        <vt:i4>18</vt:i4>
      </vt:variant>
      <vt:variant>
        <vt:i4>0</vt:i4>
      </vt:variant>
      <vt:variant>
        <vt:i4>5</vt:i4>
      </vt:variant>
      <vt:variant>
        <vt:lpwstr>http://eur-lex.europa.eu/_x000b_LexUriServ/LexUriServ.do?uri=OJ:C:2013:025:0001:0026:en:PDF</vt:lpwstr>
      </vt:variant>
      <vt:variant>
        <vt:lpwstr/>
      </vt:variant>
      <vt:variant>
        <vt:i4>5308441</vt:i4>
      </vt:variant>
      <vt:variant>
        <vt:i4>15</vt:i4>
      </vt:variant>
      <vt:variant>
        <vt:i4>0</vt:i4>
      </vt:variant>
      <vt:variant>
        <vt:i4>5</vt:i4>
      </vt:variant>
      <vt:variant>
        <vt:lpwstr>http://eur-lex.europa.eu/legal-content/EN/TXT/?uri=CELEX:52014XC0122(04)</vt:lpwstr>
      </vt:variant>
      <vt:variant>
        <vt:lpwstr/>
      </vt:variant>
      <vt:variant>
        <vt:i4>6881354</vt:i4>
      </vt:variant>
      <vt:variant>
        <vt:i4>12</vt:i4>
      </vt:variant>
      <vt:variant>
        <vt:i4>0</vt:i4>
      </vt:variant>
      <vt:variant>
        <vt:i4>5</vt:i4>
      </vt:variant>
      <vt:variant>
        <vt:lpwstr>http://eur-lex.europa.eu/legal-content/EN/TXT/?uri=uriserv:OJ.C_.2014.198.01.0001.01.ENG</vt:lpwstr>
      </vt:variant>
      <vt:variant>
        <vt:lpwstr/>
      </vt:variant>
      <vt:variant>
        <vt:i4>6815818</vt:i4>
      </vt:variant>
      <vt:variant>
        <vt:i4>9</vt:i4>
      </vt:variant>
      <vt:variant>
        <vt:i4>0</vt:i4>
      </vt:variant>
      <vt:variant>
        <vt:i4>5</vt:i4>
      </vt:variant>
      <vt:variant>
        <vt:lpwstr>http://eur-lex.europa.eu/legal-content/EN/TXT/?uri=uriserv:OJ.L_.2014.187.01.0001.01.ENG</vt:lpwstr>
      </vt:variant>
      <vt:variant>
        <vt:lpwstr/>
      </vt:variant>
      <vt:variant>
        <vt:i4>720927</vt:i4>
      </vt:variant>
      <vt:variant>
        <vt:i4>6</vt:i4>
      </vt:variant>
      <vt:variant>
        <vt:i4>0</vt:i4>
      </vt:variant>
      <vt:variant>
        <vt:i4>5</vt:i4>
      </vt:variant>
      <vt:variant>
        <vt:lpwstr>http://ec.europa.eu/competition/state_aid/modernisation/index_en.html</vt:lpwstr>
      </vt:variant>
      <vt:variant>
        <vt:lpwstr/>
      </vt:variant>
      <vt:variant>
        <vt:i4>3342427</vt:i4>
      </vt:variant>
      <vt:variant>
        <vt:i4>3</vt:i4>
      </vt:variant>
      <vt:variant>
        <vt:i4>0</vt:i4>
      </vt:variant>
      <vt:variant>
        <vt:i4>5</vt:i4>
      </vt:variant>
      <vt:variant>
        <vt:lpwstr>http://ec.europa.eu/priorities/jobs-growth-investment/plan/efsi/index_en.htm</vt:lpwstr>
      </vt:variant>
      <vt:variant>
        <vt:lpwstr/>
      </vt:variant>
      <vt:variant>
        <vt:i4>8323148</vt:i4>
      </vt:variant>
      <vt:variant>
        <vt:i4>0</vt:i4>
      </vt:variant>
      <vt:variant>
        <vt:i4>0</vt:i4>
      </vt:variant>
      <vt:variant>
        <vt:i4>5</vt:i4>
      </vt:variant>
      <vt:variant>
        <vt:lpwstr>http://ec.europa.eu/priorities/jobs-growth-investment/plan/index_en.htm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2016-04-05T12:55:00Z</cp:lastPrinted>
  <dcterms:created xsi:type="dcterms:W3CDTF">2016-06-14T16:12:00Z</dcterms:created>
  <dcterms:modified xsi:type="dcterms:W3CDTF">2016-06-15T06:25:00Z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AdHocReviewCycleID">
    <vt:i4>1975865362</vt:i4>
  </property>
  <property fmtid="{D5CDD505-2E9C-101B-9397-08002B2CF9AE}" pid="6" name="_NewReviewCycle">
    <vt:lpwstr/>
  </property>
  <property fmtid="{D5CDD505-2E9C-101B-9397-08002B2CF9AE}" pid="7" name="_EmailSubject">
    <vt:lpwstr>ACR 2015 - translation</vt:lpwstr>
  </property>
  <property fmtid="{D5CDD505-2E9C-101B-9397-08002B2CF9AE}" pid="8" name="_AuthorEmail">
    <vt:lpwstr>Inga.GUSSEVA@ec.europa.eu</vt:lpwstr>
  </property>
  <property fmtid="{D5CDD505-2E9C-101B-9397-08002B2CF9AE}" pid="9" name="_AuthorEmailDisplayName">
    <vt:lpwstr>GUSSEVA Inga (COMP)</vt:lpwstr>
  </property>
  <property fmtid="{D5CDD505-2E9C-101B-9397-08002B2CF9AE}" pid="10" name="_ReviewingToolsShownOnce">
    <vt:lpwstr/>
  </property>
  <property fmtid="{D5CDD505-2E9C-101B-9397-08002B2CF9AE}" pid="11" name="DocStatus">
    <vt:lpwstr>Red</vt:lpwstr>
  </property>
</Properties>
</file>