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9D" w:rsidRDefault="00344DB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D7A3A21848543AF8EA2637AA543F58B" style="width:450.75pt;height:293.25pt">
            <v:imagedata r:id="rId8" o:title=""/>
          </v:shape>
        </w:pict>
      </w:r>
    </w:p>
    <w:bookmarkEnd w:id="0"/>
    <w:p w:rsidR="00E4299D" w:rsidRDefault="00E4299D">
      <w:pPr>
        <w:rPr>
          <w:noProof/>
        </w:rPr>
        <w:sectPr w:rsidR="00E4299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E4299D" w:rsidRDefault="00344DB1">
      <w:pPr>
        <w:spacing w:before="360" w:after="0" w:line="240" w:lineRule="auto"/>
        <w:jc w:val="center"/>
        <w:rPr>
          <w:rFonts w:ascii="Times New Roman" w:eastAsia="Times New Roman" w:hAnsi="Times New Roman" w:cs="Times New Roman"/>
          <w:b/>
          <w:noProof/>
          <w:sz w:val="24"/>
        </w:rPr>
      </w:pPr>
      <w:r>
        <w:rPr>
          <w:rFonts w:ascii="Times New Roman" w:hAnsi="Times New Roman"/>
          <w:b/>
          <w:noProof/>
          <w:sz w:val="24"/>
        </w:rPr>
        <w:lastRenderedPageBreak/>
        <w:t>COMMUNICATION DE LA COMMISSION AU CONSEIL</w:t>
      </w:r>
    </w:p>
    <w:p w:rsidR="00E4299D" w:rsidRDefault="00344DB1">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Informations financières sur le Fonds européen de </w:t>
      </w:r>
      <w:r>
        <w:rPr>
          <w:rFonts w:ascii="Times New Roman" w:hAnsi="Times New Roman"/>
          <w:b/>
          <w:noProof/>
          <w:sz w:val="24"/>
        </w:rPr>
        <w:t>développement</w:t>
      </w:r>
    </w:p>
    <w:p w:rsidR="00E4299D" w:rsidRDefault="00344DB1">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Avant-propos</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Conformément à l'article 7, paragraphe 3, de l'accord interne relatif au 11</w:t>
      </w:r>
      <w:r>
        <w:rPr>
          <w:rFonts w:ascii="Times New Roman" w:hAnsi="Times New Roman"/>
          <w:noProof/>
          <w:sz w:val="24"/>
          <w:vertAlign w:val="superscript"/>
        </w:rPr>
        <w:t>e</w:t>
      </w:r>
      <w:r>
        <w:rPr>
          <w:rFonts w:ascii="Times New Roman" w:hAnsi="Times New Roman"/>
          <w:noProof/>
          <w:sz w:val="24"/>
        </w:rPr>
        <w:t xml:space="preserve"> FED</w:t>
      </w:r>
      <w:r>
        <w:rPr>
          <w:rFonts w:ascii="Times New Roman" w:hAnsi="Times New Roman"/>
          <w:noProof/>
          <w:sz w:val="24"/>
          <w:vertAlign w:val="superscript"/>
        </w:rPr>
        <w:footnoteReference w:id="1"/>
      </w:r>
      <w:r>
        <w:rPr>
          <w:rFonts w:ascii="Times New Roman" w:hAnsi="Times New Roman"/>
          <w:noProof/>
          <w:sz w:val="24"/>
        </w:rPr>
        <w:t xml:space="preserve"> et à l'article 21, paragraphe 2, du règlement (UE) 2015/323 du Conseil portant règlement financier applicable au 11</w:t>
      </w:r>
      <w:r>
        <w:rPr>
          <w:rFonts w:ascii="Times New Roman" w:hAnsi="Times New Roman"/>
          <w:noProof/>
          <w:sz w:val="24"/>
          <w:vertAlign w:val="superscript"/>
        </w:rPr>
        <w:t>e</w:t>
      </w:r>
      <w:r>
        <w:rPr>
          <w:rFonts w:ascii="Times New Roman" w:hAnsi="Times New Roman"/>
          <w:noProof/>
          <w:sz w:val="24"/>
        </w:rPr>
        <w:t xml:space="preserve"> Fonds européen de développemen</w:t>
      </w:r>
      <w:r>
        <w:rPr>
          <w:rFonts w:ascii="Times New Roman" w:hAnsi="Times New Roman"/>
          <w:noProof/>
          <w:sz w:val="24"/>
        </w:rPr>
        <w:t>t</w:t>
      </w:r>
      <w:r>
        <w:rPr>
          <w:rFonts w:ascii="Times New Roman" w:hAnsi="Times New Roman"/>
          <w:noProof/>
          <w:sz w:val="24"/>
          <w:vertAlign w:val="superscript"/>
        </w:rPr>
        <w:footnoteReference w:id="2"/>
      </w:r>
      <w:r>
        <w:rPr>
          <w:rFonts w:ascii="Times New Roman" w:hAnsi="Times New Roman"/>
          <w:noProof/>
          <w:sz w:val="24"/>
        </w:rPr>
        <w:t xml:space="preserve"> (ci-après le «règlement financier du 11</w:t>
      </w:r>
      <w:r>
        <w:rPr>
          <w:rFonts w:ascii="Times New Roman" w:hAnsi="Times New Roman"/>
          <w:noProof/>
          <w:sz w:val="24"/>
          <w:vertAlign w:val="superscript"/>
        </w:rPr>
        <w:t>e</w:t>
      </w:r>
      <w:r>
        <w:rPr>
          <w:rFonts w:ascii="Times New Roman" w:hAnsi="Times New Roman"/>
          <w:noProof/>
          <w:sz w:val="24"/>
        </w:rPr>
        <w:t xml:space="preserve"> FED»), la Commission présente dans le présent document une estimation des engagements, des paiements et des contributions pour les exercices 2016 et 2017, en tenant compte des prévisions de la Banque européenne d</w:t>
      </w:r>
      <w:r>
        <w:rPr>
          <w:rFonts w:ascii="Times New Roman" w:hAnsi="Times New Roman"/>
          <w:noProof/>
          <w:sz w:val="24"/>
        </w:rPr>
        <w:t xml:space="preserve">’investissement (BEI). </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Le présent document expose l’exécution financière des FED (du 8</w:t>
      </w:r>
      <w:r>
        <w:rPr>
          <w:rFonts w:ascii="Times New Roman" w:hAnsi="Times New Roman"/>
          <w:noProof/>
          <w:sz w:val="24"/>
          <w:vertAlign w:val="superscript"/>
        </w:rPr>
        <w:t>e</w:t>
      </w:r>
      <w:r>
        <w:rPr>
          <w:rFonts w:ascii="Times New Roman" w:hAnsi="Times New Roman"/>
          <w:noProof/>
          <w:sz w:val="24"/>
        </w:rPr>
        <w:t xml:space="preserve"> au 11</w:t>
      </w:r>
      <w:r>
        <w:rPr>
          <w:rFonts w:ascii="Times New Roman" w:hAnsi="Times New Roman"/>
          <w:noProof/>
          <w:sz w:val="24"/>
          <w:vertAlign w:val="superscript"/>
        </w:rPr>
        <w:t>e</w:t>
      </w:r>
      <w:r>
        <w:rPr>
          <w:rFonts w:ascii="Times New Roman" w:hAnsi="Times New Roman"/>
          <w:noProof/>
          <w:sz w:val="24"/>
        </w:rPr>
        <w:t>) pour 2015 et les prévisions d’exécution pour 2016 et 2017.</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 xml:space="preserve">Les contributions sont directement versées par les États membres à la Banque européenne </w:t>
      </w:r>
      <w:r>
        <w:rPr>
          <w:rFonts w:ascii="Times New Roman" w:hAnsi="Times New Roman"/>
          <w:noProof/>
          <w:sz w:val="24"/>
        </w:rPr>
        <w:t>d'investissement (BEI) pour les instruments des 9</w:t>
      </w:r>
      <w:r>
        <w:rPr>
          <w:rFonts w:ascii="Times New Roman" w:hAnsi="Times New Roman"/>
          <w:noProof/>
          <w:sz w:val="24"/>
          <w:vertAlign w:val="superscript"/>
        </w:rPr>
        <w:t>e</w:t>
      </w:r>
      <w:r>
        <w:rPr>
          <w:rFonts w:ascii="Times New Roman" w:hAnsi="Times New Roman"/>
          <w:noProof/>
          <w:sz w:val="24"/>
        </w:rPr>
        <w:t>, 10</w:t>
      </w:r>
      <w:r>
        <w:rPr>
          <w:rFonts w:ascii="Times New Roman" w:hAnsi="Times New Roman"/>
          <w:noProof/>
          <w:sz w:val="24"/>
          <w:vertAlign w:val="superscript"/>
        </w:rPr>
        <w:t>e</w:t>
      </w:r>
      <w:r>
        <w:rPr>
          <w:rFonts w:ascii="Times New Roman" w:hAnsi="Times New Roman"/>
          <w:noProof/>
          <w:sz w:val="24"/>
        </w:rPr>
        <w:t xml:space="preserve"> et 11</w:t>
      </w:r>
      <w:r>
        <w:rPr>
          <w:rFonts w:ascii="Times New Roman" w:hAnsi="Times New Roman"/>
          <w:noProof/>
          <w:sz w:val="24"/>
          <w:vertAlign w:val="superscript"/>
        </w:rPr>
        <w:t>e</w:t>
      </w:r>
      <w:r>
        <w:rPr>
          <w:rFonts w:ascii="Times New Roman" w:hAnsi="Times New Roman"/>
          <w:noProof/>
          <w:sz w:val="24"/>
        </w:rPr>
        <w:t xml:space="preserve"> FED dont elle assure la gestion (la facilité d’investissement et les bonifications d’intérêt). </w:t>
      </w:r>
    </w:p>
    <w:p w:rsidR="00E4299D" w:rsidRDefault="00344DB1">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Introduction</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La Commission et la BEI ont actualisé, pour chacun des pays ACP</w:t>
      </w:r>
      <w:r>
        <w:rPr>
          <w:rFonts w:ascii="Times New Roman" w:hAnsi="Times New Roman"/>
          <w:noProof/>
          <w:sz w:val="24"/>
          <w:vertAlign w:val="superscript"/>
        </w:rPr>
        <w:footnoteReference w:id="3"/>
      </w:r>
      <w:r>
        <w:rPr>
          <w:rFonts w:ascii="Times New Roman" w:hAnsi="Times New Roman"/>
          <w:noProof/>
          <w:sz w:val="24"/>
        </w:rPr>
        <w:t xml:space="preserve"> et des PTOM</w:t>
      </w:r>
      <w:r>
        <w:rPr>
          <w:rFonts w:ascii="Times New Roman" w:hAnsi="Times New Roman"/>
          <w:noProof/>
          <w:sz w:val="24"/>
          <w:vertAlign w:val="superscript"/>
        </w:rPr>
        <w:footnoteReference w:id="4"/>
      </w:r>
      <w:r>
        <w:rPr>
          <w:rFonts w:ascii="Times New Roman" w:hAnsi="Times New Roman"/>
          <w:noProof/>
          <w:sz w:val="24"/>
        </w:rPr>
        <w:t>, leurs</w:t>
      </w:r>
      <w:r>
        <w:rPr>
          <w:rFonts w:ascii="Times New Roman" w:hAnsi="Times New Roman"/>
          <w:noProof/>
          <w:sz w:val="24"/>
        </w:rPr>
        <w:t xml:space="preserve"> prévisions d’engagements et de paiements pour les exercices 2016 et 2017. Les prévisions de paiements, en particulier, ont été élaborées dans l’objectif d’aider les États membres à réserver des montants les plus exacts possible sur leurs budgets nationaux</w:t>
      </w:r>
      <w:r>
        <w:rPr>
          <w:rFonts w:ascii="Times New Roman" w:hAnsi="Times New Roman"/>
          <w:noProof/>
          <w:sz w:val="24"/>
        </w:rPr>
        <w:t>, tout en s’assurant qu’un volume suffisant de ressources financières soit disponible pour le FED afin d’éviter des problèmes de trésorerie.</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Conformément à l’article 7 de l’accord interne relatif au 11</w:t>
      </w:r>
      <w:r>
        <w:rPr>
          <w:rFonts w:ascii="Times New Roman" w:hAnsi="Times New Roman"/>
          <w:noProof/>
          <w:sz w:val="24"/>
          <w:vertAlign w:val="superscript"/>
        </w:rPr>
        <w:t>e</w:t>
      </w:r>
      <w:r>
        <w:rPr>
          <w:rFonts w:ascii="Times New Roman" w:hAnsi="Times New Roman"/>
          <w:noProof/>
          <w:sz w:val="24"/>
        </w:rPr>
        <w:t xml:space="preserve"> FED</w:t>
      </w:r>
      <w:r>
        <w:rPr>
          <w:rFonts w:ascii="Times New Roman" w:hAnsi="Times New Roman"/>
          <w:noProof/>
          <w:sz w:val="24"/>
          <w:vertAlign w:val="superscript"/>
        </w:rPr>
        <w:footnoteReference w:id="5"/>
      </w:r>
      <w:r>
        <w:rPr>
          <w:rFonts w:ascii="Times New Roman" w:hAnsi="Times New Roman"/>
          <w:noProof/>
          <w:sz w:val="24"/>
        </w:rPr>
        <w:t xml:space="preserve"> et à l’article 21, paragraphe 4, du règlement fi</w:t>
      </w:r>
      <w:r>
        <w:rPr>
          <w:rFonts w:ascii="Times New Roman" w:hAnsi="Times New Roman"/>
          <w:noProof/>
          <w:sz w:val="24"/>
        </w:rPr>
        <w:t>nancier du 11</w:t>
      </w:r>
      <w:r>
        <w:rPr>
          <w:rFonts w:ascii="Times New Roman" w:hAnsi="Times New Roman"/>
          <w:noProof/>
          <w:sz w:val="24"/>
          <w:vertAlign w:val="superscript"/>
        </w:rPr>
        <w:t>e</w:t>
      </w:r>
      <w:r>
        <w:rPr>
          <w:rFonts w:ascii="Times New Roman" w:hAnsi="Times New Roman"/>
          <w:noProof/>
          <w:sz w:val="24"/>
        </w:rPr>
        <w:t xml:space="preserve"> FED</w:t>
      </w:r>
      <w:r>
        <w:rPr>
          <w:rFonts w:ascii="Times New Roman" w:hAnsi="Times New Roman"/>
          <w:noProof/>
          <w:sz w:val="24"/>
          <w:vertAlign w:val="superscript"/>
        </w:rPr>
        <w:footnoteReference w:id="6"/>
      </w:r>
      <w:r>
        <w:rPr>
          <w:rFonts w:ascii="Times New Roman" w:hAnsi="Times New Roman"/>
          <w:noProof/>
          <w:sz w:val="24"/>
        </w:rPr>
        <w:t>, les estimations fournies dans le présent document ont été actualisées.</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Le graphique ci-dessous donne un aperçu général de l’évolution des engagements et paiements bruts réalisés depuis 1999 jusqu'en 2015 et attendus pour la période 201</w:t>
      </w:r>
      <w:r>
        <w:rPr>
          <w:rFonts w:ascii="Times New Roman" w:hAnsi="Times New Roman"/>
          <w:noProof/>
          <w:sz w:val="24"/>
        </w:rPr>
        <w:t>6</w:t>
      </w:r>
      <w:r>
        <w:rPr>
          <w:noProof/>
        </w:rPr>
        <w:noBreakHyphen/>
      </w:r>
      <w:r>
        <w:rPr>
          <w:rFonts w:ascii="Times New Roman" w:hAnsi="Times New Roman"/>
          <w:noProof/>
          <w:sz w:val="24"/>
        </w:rPr>
        <w:t>2017 (montants cumulés Commission et BEI).</w:t>
      </w:r>
    </w:p>
    <w:p w:rsidR="00E4299D" w:rsidRDefault="00E4299D">
      <w:pPr>
        <w:spacing w:before="120" w:after="120" w:line="240" w:lineRule="auto"/>
        <w:ind w:left="850"/>
        <w:jc w:val="both"/>
        <w:rPr>
          <w:rFonts w:ascii="Times New Roman" w:eastAsia="Times New Roman" w:hAnsi="Times New Roman" w:cs="Times New Roman"/>
          <w:noProof/>
          <w:sz w:val="24"/>
        </w:rPr>
      </w:pPr>
    </w:p>
    <w:p w:rsidR="00E4299D" w:rsidRDefault="00E4299D">
      <w:pPr>
        <w:spacing w:before="120" w:after="120" w:line="240" w:lineRule="auto"/>
        <w:ind w:left="850"/>
        <w:jc w:val="both"/>
        <w:rPr>
          <w:rFonts w:ascii="Times New Roman" w:eastAsia="Times New Roman" w:hAnsi="Times New Roman" w:cs="Times New Roman"/>
          <w:noProof/>
          <w:sz w:val="24"/>
        </w:rPr>
      </w:pPr>
    </w:p>
    <w:p w:rsidR="00E4299D" w:rsidRDefault="00E4299D">
      <w:pPr>
        <w:spacing w:before="120" w:after="120" w:line="240" w:lineRule="auto"/>
        <w:ind w:left="850"/>
        <w:jc w:val="both"/>
        <w:rPr>
          <w:rFonts w:ascii="Times New Roman" w:eastAsia="Times New Roman" w:hAnsi="Times New Roman" w:cs="Times New Roman"/>
          <w:noProof/>
          <w:sz w:val="24"/>
        </w:rPr>
      </w:pPr>
    </w:p>
    <w:p w:rsidR="00E4299D" w:rsidRDefault="00E4299D">
      <w:pPr>
        <w:spacing w:before="120" w:after="120" w:line="240" w:lineRule="auto"/>
        <w:ind w:left="850"/>
        <w:jc w:val="both"/>
        <w:rPr>
          <w:rFonts w:ascii="Times New Roman" w:eastAsia="Times New Roman" w:hAnsi="Times New Roman" w:cs="Times New Roman"/>
          <w:noProof/>
          <w:sz w:val="24"/>
        </w:rPr>
      </w:pPr>
    </w:p>
    <w:p w:rsidR="00E4299D" w:rsidRDefault="00344DB1">
      <w:pPr>
        <w:spacing w:before="120" w:after="120" w:line="240" w:lineRule="auto"/>
        <w:ind w:left="850"/>
        <w:jc w:val="both"/>
        <w:rPr>
          <w:rFonts w:ascii="Times New Roman" w:eastAsia="Times New Roman" w:hAnsi="Times New Roman" w:cs="Times New Roman"/>
          <w:b/>
          <w:noProof/>
          <w:sz w:val="24"/>
        </w:rPr>
      </w:pPr>
      <w:r>
        <w:rPr>
          <w:rFonts w:ascii="Times New Roman" w:hAnsi="Times New Roman"/>
          <w:b/>
          <w:noProof/>
          <w:sz w:val="24"/>
        </w:rPr>
        <w:lastRenderedPageBreak/>
        <w:t>Engagements et paiements bruts: tendance 1999</w:t>
      </w:r>
      <w:r>
        <w:rPr>
          <w:noProof/>
        </w:rPr>
        <w:noBreakHyphen/>
      </w:r>
      <w:r>
        <w:rPr>
          <w:rFonts w:ascii="Times New Roman" w:hAnsi="Times New Roman"/>
          <w:b/>
          <w:noProof/>
          <w:sz w:val="24"/>
        </w:rPr>
        <w:t>2017 (en millions d’EUR)</w:t>
      </w:r>
    </w:p>
    <w:p w:rsidR="00E4299D" w:rsidRDefault="00344DB1">
      <w:pPr>
        <w:spacing w:before="120" w:after="12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lang w:val="en-GB" w:eastAsia="en-GB" w:bidi="ar-SA"/>
        </w:rPr>
        <w:drawing>
          <wp:inline distT="0" distB="0" distL="0" distR="0">
            <wp:extent cx="6025515" cy="3596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l="691" t="14476" r="809"/>
                    <a:stretch>
                      <a:fillRect/>
                    </a:stretch>
                  </pic:blipFill>
                  <pic:spPr bwMode="auto">
                    <a:xfrm>
                      <a:off x="0" y="0"/>
                      <a:ext cx="6025515" cy="3596005"/>
                    </a:xfrm>
                    <a:prstGeom prst="rect">
                      <a:avLst/>
                    </a:prstGeom>
                    <a:ln>
                      <a:noFill/>
                    </a:ln>
                    <a:effectLst>
                      <a:softEdge rad="112500"/>
                    </a:effectLst>
                  </pic:spPr>
                </pic:pic>
              </a:graphicData>
            </a:graphic>
          </wp:inline>
        </w:drawing>
      </w:r>
    </w:p>
    <w:p w:rsidR="00E4299D" w:rsidRDefault="00344DB1">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Remarque: chiffres de la mise en œuvre des Fonds européens de développement à partir du 31 décembre 2015 (engagements, paiements et </w:t>
      </w:r>
      <w:r>
        <w:rPr>
          <w:rFonts w:ascii="Times New Roman" w:hAnsi="Times New Roman"/>
          <w:noProof/>
          <w:sz w:val="24"/>
        </w:rPr>
        <w:t>situation financière) et prévisions pour 2016 et 2017.</w:t>
      </w:r>
    </w:p>
    <w:p w:rsidR="00E4299D" w:rsidRDefault="00344DB1">
      <w:pPr>
        <w:keepNext/>
        <w:numPr>
          <w:ilvl w:val="0"/>
          <w:numId w:val="9"/>
        </w:numPr>
        <w:tabs>
          <w:tab w:val="clear" w:pos="850"/>
          <w:tab w:val="num" w:pos="0"/>
        </w:tabs>
        <w:spacing w:before="360" w:after="120" w:line="240" w:lineRule="auto"/>
        <w:ind w:left="0" w:firstLine="0"/>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Prévisions financières pour les exercices 2016</w:t>
      </w:r>
      <w:r>
        <w:rPr>
          <w:noProof/>
        </w:rPr>
        <w:noBreakHyphen/>
      </w:r>
      <w:r>
        <w:rPr>
          <w:rFonts w:ascii="Times New Roman" w:hAnsi="Times New Roman"/>
          <w:b/>
          <w:smallCaps/>
          <w:noProof/>
          <w:sz w:val="24"/>
        </w:rPr>
        <w:t>2017</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Le tableau ci-après fait le point sur les engagements, les paiements et les contributions, sur la base des dernières prévisions de la Commission.</w:t>
      </w:r>
    </w:p>
    <w:tbl>
      <w:tblPr>
        <w:tblW w:w="6960" w:type="dxa"/>
        <w:tblInd w:w="93" w:type="dxa"/>
        <w:tblLook w:val="04A0" w:firstRow="1" w:lastRow="0" w:firstColumn="1" w:lastColumn="0" w:noHBand="0" w:noVBand="1"/>
      </w:tblPr>
      <w:tblGrid>
        <w:gridCol w:w="1900"/>
        <w:gridCol w:w="1900"/>
        <w:gridCol w:w="1580"/>
        <w:gridCol w:w="1580"/>
      </w:tblGrid>
      <w:tr w:rsidR="00E4299D">
        <w:trPr>
          <w:trHeight w:val="240"/>
        </w:trPr>
        <w:tc>
          <w:tcPr>
            <w:tcW w:w="1900" w:type="dxa"/>
            <w:tcBorders>
              <w:top w:val="single" w:sz="8" w:space="0" w:color="auto"/>
              <w:left w:val="single" w:sz="8" w:space="0" w:color="auto"/>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single" w:sz="8" w:space="0" w:color="auto"/>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rsidR="00E4299D">
        <w:trPr>
          <w:trHeight w:val="240"/>
        </w:trPr>
        <w:tc>
          <w:tcPr>
            <w:tcW w:w="3800" w:type="dxa"/>
            <w:gridSpan w:val="2"/>
            <w:tcBorders>
              <w:top w:val="nil"/>
              <w:left w:val="single" w:sz="8" w:space="0" w:color="auto"/>
              <w:bottom w:val="nil"/>
              <w:right w:val="nil"/>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Prévisions 2016</w:t>
            </w:r>
            <w:r>
              <w:rPr>
                <w:noProof/>
              </w:rPr>
              <w:noBreakHyphen/>
            </w:r>
            <w:r>
              <w:rPr>
                <w:rFonts w:ascii="Times New Roman" w:hAnsi="Times New Roman"/>
                <w:b/>
                <w:noProof/>
                <w:sz w:val="24"/>
              </w:rPr>
              <w:t xml:space="preserve"> 2017 (*)</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2016</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2017</w:t>
            </w:r>
          </w:p>
        </w:tc>
      </w:tr>
      <w:tr w:rsidR="00E4299D">
        <w:trPr>
          <w:trHeight w:val="240"/>
        </w:trPr>
        <w:tc>
          <w:tcPr>
            <w:tcW w:w="1900" w:type="dxa"/>
            <w:tcBorders>
              <w:top w:val="nil"/>
              <w:left w:val="single" w:sz="8" w:space="0" w:color="auto"/>
              <w:bottom w:val="single" w:sz="8"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nil"/>
              <w:left w:val="nil"/>
              <w:bottom w:val="single" w:sz="8"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(en EUR)</w:t>
            </w:r>
          </w:p>
        </w:tc>
        <w:tc>
          <w:tcPr>
            <w:tcW w:w="1580" w:type="dxa"/>
            <w:tcBorders>
              <w:top w:val="nil"/>
              <w:left w:val="nil"/>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(en EUR) </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Engagements</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5 325</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4 663</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855</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880</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Total</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6 180</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5 543</w:t>
            </w:r>
          </w:p>
        </w:tc>
      </w:tr>
      <w:tr w:rsidR="00E4299D">
        <w:trPr>
          <w:trHeight w:val="240"/>
        </w:trPr>
        <w:tc>
          <w:tcPr>
            <w:tcW w:w="1900" w:type="dxa"/>
            <w:tcBorders>
              <w:top w:val="single" w:sz="8" w:space="0" w:color="auto"/>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single" w:sz="8" w:space="0" w:color="auto"/>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single" w:sz="8" w:space="0" w:color="auto"/>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single" w:sz="8" w:space="0" w:color="auto"/>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Paiements</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3 751</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3 900</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410</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460</w:t>
            </w:r>
          </w:p>
        </w:tc>
      </w:tr>
      <w:tr w:rsidR="00E4299D">
        <w:trPr>
          <w:trHeight w:val="24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single" w:sz="8"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Total</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4 161</w:t>
            </w:r>
          </w:p>
        </w:tc>
        <w:tc>
          <w:tcPr>
            <w:tcW w:w="1580" w:type="dxa"/>
            <w:tcBorders>
              <w:top w:val="nil"/>
              <w:left w:val="nil"/>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4 360</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Contributions</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3 450</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3 850</w:t>
            </w:r>
          </w:p>
        </w:tc>
      </w:tr>
      <w:tr w:rsidR="00E4299D">
        <w:trPr>
          <w:trHeight w:val="240"/>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580" w:type="dxa"/>
            <w:tcBorders>
              <w:top w:val="nil"/>
              <w:left w:val="single" w:sz="8" w:space="0" w:color="auto"/>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r>
      <w:tr w:rsidR="00E4299D">
        <w:trPr>
          <w:trHeight w:val="24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single" w:sz="8"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Total</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3 600</w:t>
            </w:r>
          </w:p>
        </w:tc>
        <w:tc>
          <w:tcPr>
            <w:tcW w:w="1580" w:type="dxa"/>
            <w:tcBorders>
              <w:top w:val="nil"/>
              <w:left w:val="nil"/>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4 000</w:t>
            </w:r>
          </w:p>
        </w:tc>
      </w:tr>
    </w:tbl>
    <w:p w:rsidR="00E4299D" w:rsidRDefault="00344DB1">
      <w:pPr>
        <w:spacing w:before="120" w:after="120" w:line="240" w:lineRule="auto"/>
        <w:jc w:val="both"/>
        <w:rPr>
          <w:rFonts w:ascii="Times New Roman" w:eastAsia="Times New Roman" w:hAnsi="Times New Roman" w:cs="Times New Roman"/>
          <w:noProof/>
          <w:sz w:val="20"/>
          <w:szCs w:val="20"/>
        </w:rPr>
      </w:pPr>
      <w:r>
        <w:rPr>
          <w:rFonts w:ascii="Times New Roman" w:hAnsi="Times New Roman"/>
          <w:noProof/>
          <w:sz w:val="20"/>
        </w:rPr>
        <w:t>* Il s’agit de montants bruts, c’est-à-dire sans déduction des dégagements ni des recouvrements/remboursements. Cette approche correspond à celle utilisée pour le budget général de l’Union.</w:t>
      </w:r>
    </w:p>
    <w:p w:rsidR="00E4299D" w:rsidRDefault="00344DB1">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rPr>
      </w:pPr>
      <w:r>
        <w:rPr>
          <w:noProof/>
        </w:rPr>
        <w:br w:type="page"/>
      </w:r>
      <w:r>
        <w:rPr>
          <w:rFonts w:ascii="Times New Roman" w:hAnsi="Times New Roman"/>
          <w:b/>
          <w:smallCaps/>
          <w:noProof/>
          <w:sz w:val="24"/>
        </w:rPr>
        <w:lastRenderedPageBreak/>
        <w:t>Estimation non contraignante des contributions pour 2018</w:t>
      </w:r>
      <w:r>
        <w:rPr>
          <w:noProof/>
        </w:rPr>
        <w:noBreakHyphen/>
      </w:r>
      <w:r>
        <w:rPr>
          <w:rFonts w:ascii="Times New Roman" w:hAnsi="Times New Roman"/>
          <w:b/>
          <w:smallCaps/>
          <w:noProof/>
          <w:sz w:val="24"/>
        </w:rPr>
        <w:t>2019</w:t>
      </w:r>
    </w:p>
    <w:tbl>
      <w:tblPr>
        <w:tblW w:w="6960" w:type="dxa"/>
        <w:tblInd w:w="93" w:type="dxa"/>
        <w:tblLook w:val="04A0" w:firstRow="1" w:lastRow="0" w:firstColumn="1" w:lastColumn="0" w:noHBand="0" w:noVBand="1"/>
      </w:tblPr>
      <w:tblGrid>
        <w:gridCol w:w="1900"/>
        <w:gridCol w:w="1900"/>
        <w:gridCol w:w="1580"/>
        <w:gridCol w:w="1580"/>
      </w:tblGrid>
      <w:tr w:rsidR="00E4299D">
        <w:trPr>
          <w:trHeight w:val="315"/>
        </w:trPr>
        <w:tc>
          <w:tcPr>
            <w:tcW w:w="1900" w:type="dxa"/>
            <w:tcBorders>
              <w:top w:val="single" w:sz="8" w:space="0" w:color="auto"/>
              <w:left w:val="single" w:sz="8" w:space="0" w:color="auto"/>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single" w:sz="8" w:space="0" w:color="auto"/>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single" w:sz="8" w:space="0" w:color="auto"/>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rsidR="00E4299D">
        <w:trPr>
          <w:trHeight w:val="315"/>
        </w:trPr>
        <w:tc>
          <w:tcPr>
            <w:tcW w:w="3800" w:type="dxa"/>
            <w:gridSpan w:val="2"/>
            <w:tcBorders>
              <w:top w:val="nil"/>
              <w:left w:val="single" w:sz="8" w:space="0" w:color="auto"/>
              <w:bottom w:val="nil"/>
              <w:right w:val="single" w:sz="4" w:space="0" w:color="000000"/>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Prévisions 2018-2019 (*)</w:t>
            </w:r>
          </w:p>
        </w:tc>
        <w:tc>
          <w:tcPr>
            <w:tcW w:w="15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2018</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2019</w:t>
            </w:r>
          </w:p>
        </w:tc>
      </w:tr>
      <w:tr w:rsidR="00E4299D">
        <w:trPr>
          <w:trHeight w:val="330"/>
        </w:trPr>
        <w:tc>
          <w:tcPr>
            <w:tcW w:w="1900" w:type="dxa"/>
            <w:tcBorders>
              <w:top w:val="nil"/>
              <w:left w:val="single" w:sz="8" w:space="0" w:color="auto"/>
              <w:bottom w:val="single" w:sz="8"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900" w:type="dxa"/>
            <w:tcBorders>
              <w:top w:val="nil"/>
              <w:left w:val="nil"/>
              <w:bottom w:val="single" w:sz="8"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c>
          <w:tcPr>
            <w:tcW w:w="1580" w:type="dxa"/>
            <w:tcBorders>
              <w:top w:val="nil"/>
              <w:left w:val="nil"/>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w:t>
            </w:r>
          </w:p>
        </w:tc>
      </w:tr>
      <w:tr w:rsidR="00E4299D">
        <w:trPr>
          <w:trHeight w:val="315"/>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rsidR="00E4299D">
        <w:trPr>
          <w:trHeight w:val="315"/>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Contributions</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Commission</w:t>
            </w:r>
          </w:p>
        </w:tc>
        <w:tc>
          <w:tcPr>
            <w:tcW w:w="15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4 550</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4 500</w:t>
            </w:r>
          </w:p>
        </w:tc>
      </w:tr>
      <w:tr w:rsidR="00E4299D">
        <w:trPr>
          <w:trHeight w:val="315"/>
        </w:trPr>
        <w:tc>
          <w:tcPr>
            <w:tcW w:w="1900" w:type="dxa"/>
            <w:tcBorders>
              <w:top w:val="nil"/>
              <w:left w:val="single" w:sz="8"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BEI</w:t>
            </w:r>
          </w:p>
        </w:tc>
        <w:tc>
          <w:tcPr>
            <w:tcW w:w="15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250(**)</w:t>
            </w:r>
          </w:p>
        </w:tc>
        <w:tc>
          <w:tcPr>
            <w:tcW w:w="1580" w:type="dxa"/>
            <w:tcBorders>
              <w:top w:val="nil"/>
              <w:left w:val="nil"/>
              <w:bottom w:val="nil"/>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r>
      <w:tr w:rsidR="00E4299D">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4"/>
                <w:szCs w:val="24"/>
              </w:rPr>
            </w:pPr>
            <w:r>
              <w:rPr>
                <w:rFonts w:ascii="Times New Roman" w:hAnsi="Times New Roman"/>
                <w:noProof/>
                <w:sz w:val="24"/>
              </w:rPr>
              <w:t> </w:t>
            </w:r>
          </w:p>
        </w:tc>
        <w:tc>
          <w:tcPr>
            <w:tcW w:w="1900" w:type="dxa"/>
            <w:tcBorders>
              <w:top w:val="nil"/>
              <w:left w:val="nil"/>
              <w:bottom w:val="single" w:sz="8"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rPr>
              <w:t>Total</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4 800</w:t>
            </w:r>
          </w:p>
        </w:tc>
        <w:tc>
          <w:tcPr>
            <w:tcW w:w="1580" w:type="dxa"/>
            <w:tcBorders>
              <w:top w:val="nil"/>
              <w:left w:val="nil"/>
              <w:bottom w:val="single" w:sz="8" w:space="0" w:color="auto"/>
              <w:right w:val="single" w:sz="8"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rPr>
              <w:t>4 800</w:t>
            </w:r>
          </w:p>
        </w:tc>
      </w:tr>
    </w:tbl>
    <w:p w:rsidR="00E4299D" w:rsidRDefault="00344DB1">
      <w:pPr>
        <w:spacing w:before="120" w:after="120" w:line="240" w:lineRule="auto"/>
        <w:jc w:val="both"/>
        <w:rPr>
          <w:rFonts w:ascii="Times New Roman" w:eastAsia="Times New Roman" w:hAnsi="Times New Roman" w:cs="Times New Roman"/>
          <w:noProof/>
          <w:sz w:val="20"/>
          <w:szCs w:val="20"/>
        </w:rPr>
      </w:pPr>
      <w:r>
        <w:rPr>
          <w:rFonts w:ascii="Times New Roman" w:hAnsi="Times New Roman"/>
          <w:noProof/>
          <w:sz w:val="20"/>
        </w:rPr>
        <w:t>* Article 21, paragraphe 2, du règlement financier du</w:t>
      </w:r>
      <w:r>
        <w:rPr>
          <w:rFonts w:ascii="Times New Roman" w:hAnsi="Times New Roman"/>
          <w:noProof/>
          <w:sz w:val="20"/>
        </w:rPr>
        <w:t xml:space="preserve"> 11</w:t>
      </w:r>
      <w:r>
        <w:rPr>
          <w:rFonts w:ascii="Times New Roman" w:hAnsi="Times New Roman"/>
          <w:noProof/>
          <w:sz w:val="20"/>
          <w:vertAlign w:val="superscript"/>
        </w:rPr>
        <w:t>e</w:t>
      </w:r>
      <w:r>
        <w:rPr>
          <w:rFonts w:ascii="Times New Roman" w:hAnsi="Times New Roman"/>
          <w:noProof/>
          <w:sz w:val="20"/>
        </w:rPr>
        <w:t xml:space="preserve"> FED [(UE) 2015/323]: prévisions indicatives et non contraignantes, fondées sur une approche statistique, concernant le montant annuel des contributions escompté pour les exercices n + 3 et n + 4.</w:t>
      </w:r>
      <w:r>
        <w:rPr>
          <w:rFonts w:ascii="Times New Roman" w:eastAsia="Times New Roman" w:hAnsi="Times New Roman" w:cs="Times New Roman"/>
          <w:noProof/>
          <w:sz w:val="20"/>
          <w:szCs w:val="20"/>
        </w:rPr>
        <w:br/>
      </w:r>
      <w:r>
        <w:rPr>
          <w:rFonts w:ascii="Times New Roman" w:hAnsi="Times New Roman"/>
          <w:noProof/>
          <w:sz w:val="20"/>
        </w:rPr>
        <w:t>** réf. BEI notes explicatives du 17.11.2015, MD no: 15</w:t>
      </w:r>
      <w:r>
        <w:rPr>
          <w:rFonts w:ascii="Times New Roman" w:hAnsi="Times New Roman"/>
          <w:noProof/>
          <w:sz w:val="20"/>
        </w:rPr>
        <w:t>1/15 ADD 1 ACP.</w:t>
      </w:r>
    </w:p>
    <w:p w:rsidR="00E4299D" w:rsidRDefault="00344DB1">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Exécution financière pour 2015 et prévisions d'exécution pour les exercices 2016 et 2017</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Les prévisions actualisées sont présentées aux annexes 1 à 3.</w:t>
      </w:r>
    </w:p>
    <w:p w:rsidR="00E4299D" w:rsidRDefault="00344DB1">
      <w:pPr>
        <w:spacing w:before="120" w:after="120" w:line="240" w:lineRule="auto"/>
        <w:ind w:left="850"/>
        <w:jc w:val="both"/>
        <w:rPr>
          <w:rFonts w:ascii="Times New Roman" w:eastAsia="Times New Roman" w:hAnsi="Times New Roman" w:cs="Times New Roman"/>
          <w:noProof/>
          <w:sz w:val="24"/>
          <w:highlight w:val="yellow"/>
        </w:rPr>
      </w:pPr>
      <w:r>
        <w:rPr>
          <w:rFonts w:ascii="Times New Roman" w:hAnsi="Times New Roman"/>
          <w:noProof/>
          <w:sz w:val="24"/>
        </w:rPr>
        <w:t>Les montants totaux à la fin de l'année pour les engagements et les paiements de 2015 ont</w:t>
      </w:r>
      <w:r>
        <w:rPr>
          <w:rFonts w:ascii="Times New Roman" w:hAnsi="Times New Roman"/>
          <w:noProof/>
          <w:sz w:val="24"/>
        </w:rPr>
        <w:t xml:space="preserve"> dépassé les estimations figurant dans la décision du Conseil de novembre 2015.</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L’estimation de 2015 pour les engagements figurant dans la communication d'octobre 2015 (4 947 millions d’euros) est dépassée de 527 millions d’euros. On peut donc s'attendre à</w:t>
      </w:r>
      <w:r>
        <w:rPr>
          <w:rFonts w:ascii="Times New Roman" w:hAnsi="Times New Roman"/>
          <w:noProof/>
          <w:sz w:val="24"/>
        </w:rPr>
        <w:t xml:space="preserve"> ce que tous les engagements pour le 11</w:t>
      </w:r>
      <w:r>
        <w:rPr>
          <w:rFonts w:ascii="Times New Roman" w:hAnsi="Times New Roman"/>
          <w:noProof/>
          <w:sz w:val="24"/>
          <w:vertAlign w:val="superscript"/>
        </w:rPr>
        <w:t>e</w:t>
      </w:r>
      <w:r>
        <w:rPr>
          <w:rFonts w:ascii="Times New Roman" w:hAnsi="Times New Roman"/>
          <w:noProof/>
          <w:sz w:val="24"/>
        </w:rPr>
        <w:t xml:space="preserve"> FED soient respectés à la fin de la période d'exécution.</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Les paiements du FED ont dépassé l’objectif de paiement de 3 100 millions d'euros de 110 millions d’euros. Ce bon résultat est la conséquence des performances</w:t>
      </w:r>
      <w:r>
        <w:rPr>
          <w:rFonts w:ascii="Times New Roman" w:hAnsi="Times New Roman"/>
          <w:noProof/>
          <w:sz w:val="24"/>
        </w:rPr>
        <w:t xml:space="preserve"> positives enregistrées en décembre 2015 (20,5 % des décaissements annuels). Aucun paiement n’a été effectué en 2015 au titre du nouveau fonds fiduciaire d'urgence de l’Union européenne en faveur de la stabilité et de la lutte contre les causes profondes d</w:t>
      </w:r>
      <w:r>
        <w:rPr>
          <w:rFonts w:ascii="Times New Roman" w:hAnsi="Times New Roman"/>
          <w:noProof/>
          <w:sz w:val="24"/>
        </w:rPr>
        <w:t>e la migration irrégulière et du phénomène des personnes déplacées en Afrique (EUTF Africa)</w:t>
      </w:r>
      <w:r>
        <w:rPr>
          <w:rFonts w:ascii="Times New Roman" w:hAnsi="Times New Roman"/>
          <w:noProof/>
          <w:sz w:val="24"/>
          <w:vertAlign w:val="superscript"/>
        </w:rPr>
        <w:footnoteReference w:id="7"/>
      </w:r>
      <w:r>
        <w:rPr>
          <w:rFonts w:ascii="Times New Roman" w:hAnsi="Times New Roman"/>
          <w:noProof/>
          <w:sz w:val="24"/>
        </w:rPr>
        <w:t>.</w:t>
      </w:r>
    </w:p>
    <w:p w:rsidR="00E4299D" w:rsidRDefault="00344DB1">
      <w:pPr>
        <w:spacing w:before="120" w:after="120" w:line="240" w:lineRule="auto"/>
        <w:ind w:left="850"/>
        <w:jc w:val="both"/>
        <w:rPr>
          <w:rFonts w:ascii="Times New Roman" w:eastAsia="Times New Roman" w:hAnsi="Times New Roman" w:cs="Times New Roman"/>
          <w:noProof/>
          <w:sz w:val="24"/>
        </w:rPr>
      </w:pPr>
      <w:r>
        <w:rPr>
          <w:rFonts w:ascii="Times New Roman" w:hAnsi="Times New Roman"/>
          <w:noProof/>
          <w:sz w:val="24"/>
        </w:rPr>
        <w:t>Une situation de trésorerie difficile et tendue est prévue pour la période 2016</w:t>
      </w:r>
      <w:r>
        <w:rPr>
          <w:noProof/>
        </w:rPr>
        <w:noBreakHyphen/>
      </w:r>
      <w:r>
        <w:rPr>
          <w:rFonts w:ascii="Times New Roman" w:hAnsi="Times New Roman"/>
          <w:noProof/>
          <w:sz w:val="24"/>
        </w:rPr>
        <w:t>2017, notamment en raison d'une diminution du solde de trésorerie du compte FED en</w:t>
      </w:r>
      <w:r>
        <w:rPr>
          <w:rFonts w:ascii="Times New Roman" w:hAnsi="Times New Roman"/>
          <w:noProof/>
          <w:sz w:val="24"/>
        </w:rPr>
        <w:t xml:space="preserve"> 2015 (contributions appelées = 3 200 millions d’euros contre paiements = 3 210 millions d’euros), des décaissements rapides attendus pour l'EUTF Africa et d'une possible augmentation des décaissements pour la facilité de soutien à la paix pour l'Afrique.</w:t>
      </w:r>
    </w:p>
    <w:p w:rsidR="00E4299D" w:rsidRDefault="00344DB1">
      <w:pPr>
        <w:spacing w:before="120" w:after="120" w:line="240" w:lineRule="auto"/>
        <w:ind w:left="850"/>
        <w:jc w:val="both"/>
        <w:rPr>
          <w:rFonts w:ascii="Times New Roman" w:eastAsia="Times New Roman" w:hAnsi="Times New Roman" w:cs="Times New Roman"/>
          <w:noProof/>
          <w:sz w:val="24"/>
          <w:highlight w:val="yellow"/>
        </w:rPr>
      </w:pPr>
      <w:r>
        <w:rPr>
          <w:rFonts w:ascii="Times New Roman" w:hAnsi="Times New Roman"/>
          <w:noProof/>
          <w:sz w:val="24"/>
        </w:rPr>
        <w:t>La bonne exécution des paiements en 2015 s'ajoute aux prévisions d'une situation de trésorerie tendue en 2016</w:t>
      </w:r>
      <w:r>
        <w:rPr>
          <w:noProof/>
        </w:rPr>
        <w:noBreakHyphen/>
      </w:r>
      <w:r>
        <w:rPr>
          <w:rFonts w:ascii="Times New Roman" w:hAnsi="Times New Roman"/>
          <w:noProof/>
          <w:sz w:val="24"/>
        </w:rPr>
        <w:t>2017.</w:t>
      </w:r>
    </w:p>
    <w:p w:rsidR="00E4299D" w:rsidRDefault="00E4299D">
      <w:pPr>
        <w:spacing w:before="120" w:after="120" w:line="240" w:lineRule="auto"/>
        <w:ind w:left="850"/>
        <w:jc w:val="both"/>
        <w:rPr>
          <w:rFonts w:ascii="Times New Roman" w:eastAsia="Times New Roman" w:hAnsi="Times New Roman" w:cs="Times New Roman"/>
          <w:noProof/>
          <w:sz w:val="24"/>
        </w:rPr>
      </w:pPr>
    </w:p>
    <w:p w:rsidR="00E4299D" w:rsidRDefault="00344DB1">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Les annexes 1, 2 et 3 indiquent respectivement les engagements et les paiements observés ainsi que la situation financière par rapport aux </w:t>
      </w:r>
      <w:r>
        <w:rPr>
          <w:rFonts w:ascii="Times New Roman" w:hAnsi="Times New Roman"/>
          <w:noProof/>
          <w:sz w:val="24"/>
        </w:rPr>
        <w:t>prévisions précédentes pour les périodes 2016</w:t>
      </w:r>
      <w:r>
        <w:rPr>
          <w:noProof/>
        </w:rPr>
        <w:noBreakHyphen/>
      </w:r>
      <w:r>
        <w:rPr>
          <w:rFonts w:ascii="Times New Roman" w:hAnsi="Times New Roman"/>
          <w:noProof/>
          <w:sz w:val="24"/>
        </w:rPr>
        <w:t>2017.</w:t>
      </w:r>
    </w:p>
    <w:p w:rsidR="00E4299D" w:rsidRDefault="00344DB1">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annexes 4 et 5 montrent respectivement les contributions pour 2016 et 2017 par tranche et par État membre.</w:t>
      </w:r>
      <w:bookmarkStart w:id="1" w:name="_GoBack"/>
      <w:bookmarkEnd w:id="1"/>
    </w:p>
    <w:p w:rsidR="00E4299D" w:rsidRDefault="00E4299D">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rPr>
        <w:sectPr w:rsidR="00E4299D">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E4299D" w:rsidRDefault="00344DB1">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lastRenderedPageBreak/>
        <w:t>Annexe 1: prévisions d’engagements</w:t>
      </w:r>
      <w:r>
        <w:rPr>
          <w:rFonts w:ascii="Times New Roman" w:hAnsi="Times New Roman"/>
          <w:b/>
          <w:noProof/>
          <w:sz w:val="24"/>
          <w:vertAlign w:val="superscript"/>
        </w:rPr>
        <w:footnoteReference w:id="8"/>
      </w:r>
      <w:r>
        <w:rPr>
          <w:rFonts w:ascii="Times New Roman" w:hAnsi="Times New Roman"/>
          <w:b/>
          <w:noProof/>
          <w:sz w:val="24"/>
        </w:rPr>
        <w:t xml:space="preserve"> pour 2015, 2016 et 2017 (en millions d’EUR)</w:t>
      </w:r>
    </w:p>
    <w:tbl>
      <w:tblPr>
        <w:tblW w:w="9960" w:type="dxa"/>
        <w:tblInd w:w="108" w:type="dxa"/>
        <w:tblLook w:val="04A0" w:firstRow="1" w:lastRow="0" w:firstColumn="1" w:lastColumn="0" w:noHBand="0" w:noVBand="1"/>
      </w:tblPr>
      <w:tblGrid>
        <w:gridCol w:w="3040"/>
        <w:gridCol w:w="1466"/>
        <w:gridCol w:w="1120"/>
        <w:gridCol w:w="1466"/>
        <w:gridCol w:w="1200"/>
        <w:gridCol w:w="1466"/>
        <w:gridCol w:w="1240"/>
      </w:tblGrid>
      <w:tr w:rsidR="00E4299D">
        <w:trPr>
          <w:trHeight w:val="255"/>
        </w:trPr>
        <w:tc>
          <w:tcPr>
            <w:tcW w:w="3040" w:type="dxa"/>
            <w:tcBorders>
              <w:top w:val="nil"/>
              <w:left w:val="nil"/>
              <w:bottom w:val="nil"/>
              <w:right w:val="nil"/>
            </w:tcBorders>
            <w:shd w:val="clear" w:color="auto" w:fill="auto"/>
            <w:noWrap/>
            <w:vAlign w:val="bottom"/>
            <w:hideMark/>
          </w:tcPr>
          <w:p w:rsidR="00E4299D" w:rsidRDefault="00E4299D">
            <w:pPr>
              <w:spacing w:after="0" w:line="240" w:lineRule="auto"/>
              <w:rPr>
                <w:rFonts w:ascii="Times New Roman" w:eastAsia="Times New Roman" w:hAnsi="Times New Roman" w:cs="Times New Roman"/>
                <w:noProof/>
                <w:sz w:val="20"/>
                <w:szCs w:val="20"/>
              </w:rPr>
            </w:pPr>
          </w:p>
        </w:tc>
        <w:tc>
          <w:tcPr>
            <w:tcW w:w="2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2015</w:t>
            </w:r>
          </w:p>
        </w:tc>
        <w:tc>
          <w:tcPr>
            <w:tcW w:w="22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2016</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2017</w:t>
            </w:r>
          </w:p>
        </w:tc>
      </w:tr>
      <w:tr w:rsidR="00E4299D">
        <w:trPr>
          <w:trHeight w:val="510"/>
        </w:trPr>
        <w:tc>
          <w:tcPr>
            <w:tcW w:w="3040" w:type="dxa"/>
            <w:tcBorders>
              <w:top w:val="nil"/>
              <w:left w:val="nil"/>
              <w:bottom w:val="nil"/>
              <w:right w:val="nil"/>
            </w:tcBorders>
            <w:shd w:val="clear" w:color="auto" w:fill="auto"/>
            <w:noWrap/>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Octobre 2015*</w:t>
            </w:r>
          </w:p>
        </w:tc>
        <w:tc>
          <w:tcPr>
            <w:tcW w:w="1120" w:type="dxa"/>
            <w:tcBorders>
              <w:top w:val="nil"/>
              <w:left w:val="nil"/>
              <w:bottom w:val="single" w:sz="4" w:space="0" w:color="auto"/>
              <w:right w:val="single" w:sz="4" w:space="0" w:color="auto"/>
            </w:tcBorders>
            <w:shd w:val="clear" w:color="000000" w:fill="B7DEE8"/>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Chiffres réels 2015</w:t>
            </w:r>
          </w:p>
        </w:tc>
        <w:tc>
          <w:tcPr>
            <w:tcW w:w="1080" w:type="dxa"/>
            <w:tcBorders>
              <w:top w:val="nil"/>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Octobre 2015*</w:t>
            </w:r>
          </w:p>
        </w:tc>
        <w:tc>
          <w:tcPr>
            <w:tcW w:w="1200" w:type="dxa"/>
            <w:tcBorders>
              <w:top w:val="nil"/>
              <w:left w:val="nil"/>
              <w:bottom w:val="single" w:sz="4" w:space="0" w:color="auto"/>
              <w:right w:val="single" w:sz="4" w:space="0" w:color="auto"/>
            </w:tcBorders>
            <w:shd w:val="clear" w:color="000000" w:fill="B7DEE8"/>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Juin 2016</w:t>
            </w:r>
          </w:p>
        </w:tc>
        <w:tc>
          <w:tcPr>
            <w:tcW w:w="1200" w:type="dxa"/>
            <w:tcBorders>
              <w:top w:val="nil"/>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Octobre 2015*</w:t>
            </w:r>
          </w:p>
        </w:tc>
        <w:tc>
          <w:tcPr>
            <w:tcW w:w="1240" w:type="dxa"/>
            <w:tcBorders>
              <w:top w:val="nil"/>
              <w:left w:val="nil"/>
              <w:bottom w:val="single" w:sz="4" w:space="0" w:color="auto"/>
              <w:right w:val="single" w:sz="4" w:space="0" w:color="auto"/>
            </w:tcBorders>
            <w:shd w:val="clear" w:color="000000" w:fill="B7DEE8"/>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Juin 2016</w:t>
            </w:r>
          </w:p>
        </w:tc>
      </w:tr>
      <w:tr w:rsidR="00E4299D">
        <w:trPr>
          <w:trHeight w:val="255"/>
        </w:trPr>
        <w:tc>
          <w:tcPr>
            <w:tcW w:w="3040" w:type="dxa"/>
            <w:tcBorders>
              <w:top w:val="single" w:sz="4" w:space="0" w:color="auto"/>
              <w:left w:val="single" w:sz="4" w:space="0" w:color="auto"/>
              <w:bottom w:val="nil"/>
              <w:right w:val="nil"/>
            </w:tcBorders>
            <w:shd w:val="clear" w:color="auto" w:fill="auto"/>
            <w:noWrap/>
            <w:vAlign w:val="center"/>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Régions</w:t>
            </w:r>
          </w:p>
        </w:tc>
        <w:tc>
          <w:tcPr>
            <w:tcW w:w="10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l’Est</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625</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627</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810</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l'Ouest</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966</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1 204</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1 776</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 xml:space="preserve">Afrique </w:t>
            </w:r>
            <w:r>
              <w:rPr>
                <w:rFonts w:ascii="Times New Roman" w:hAnsi="Times New Roman"/>
                <w:noProof/>
                <w:sz w:val="20"/>
              </w:rPr>
              <w:t>centrale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692</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737</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1 139</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Caraïbes</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74</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213</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Pacifique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48</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25</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australe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368</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355</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560</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2 658</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3 045</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4 525</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Autres</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de soutien à la paix, droits de l’homme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592</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646</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545</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 xml:space="preserve">Facilité pour </w:t>
            </w:r>
            <w:r>
              <w:rPr>
                <w:rFonts w:ascii="Times New Roman" w:hAnsi="Times New Roman"/>
                <w:noProof/>
                <w:sz w:val="20"/>
              </w:rPr>
              <w:t>l'eau et l'énergie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100</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98</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100</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Fonds fiduciaire (**)</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1 395</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1 377</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Autres (***)</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201</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309</w:t>
            </w:r>
          </w:p>
        </w:tc>
        <w:tc>
          <w:tcPr>
            <w:tcW w:w="108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155</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30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2 288</w:t>
            </w:r>
          </w:p>
        </w:tc>
        <w:tc>
          <w:tcPr>
            <w:tcW w:w="112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2 430</w:t>
            </w:r>
          </w:p>
        </w:tc>
        <w:tc>
          <w:tcPr>
            <w:tcW w:w="108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0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800</w:t>
            </w:r>
          </w:p>
        </w:tc>
        <w:tc>
          <w:tcPr>
            <w:tcW w:w="120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rsidR="00E4299D">
        <w:trPr>
          <w:trHeight w:val="255"/>
        </w:trPr>
        <w:tc>
          <w:tcPr>
            <w:tcW w:w="3040" w:type="dxa"/>
            <w:tcBorders>
              <w:top w:val="nil"/>
              <w:left w:val="single" w:sz="4" w:space="0" w:color="auto"/>
              <w:bottom w:val="single" w:sz="4"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4 947</w:t>
            </w:r>
          </w:p>
        </w:tc>
        <w:tc>
          <w:tcPr>
            <w:tcW w:w="112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5 474</w:t>
            </w:r>
          </w:p>
        </w:tc>
        <w:tc>
          <w:tcPr>
            <w:tcW w:w="108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4 663</w:t>
            </w:r>
          </w:p>
        </w:tc>
        <w:tc>
          <w:tcPr>
            <w:tcW w:w="120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5 325</w:t>
            </w:r>
          </w:p>
        </w:tc>
        <w:tc>
          <w:tcPr>
            <w:tcW w:w="120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4 963</w:t>
            </w:r>
          </w:p>
        </w:tc>
        <w:tc>
          <w:tcPr>
            <w:tcW w:w="124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4 663</w:t>
            </w:r>
          </w:p>
        </w:tc>
      </w:tr>
      <w:tr w:rsidR="00E4299D">
        <w:trPr>
          <w:trHeight w:val="255"/>
        </w:trPr>
        <w:tc>
          <w:tcPr>
            <w:tcW w:w="30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Facilité d’investissement</w:t>
            </w:r>
          </w:p>
        </w:tc>
        <w:tc>
          <w:tcPr>
            <w:tcW w:w="10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750</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544</w:t>
            </w:r>
          </w:p>
        </w:tc>
        <w:tc>
          <w:tcPr>
            <w:tcW w:w="10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770</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775</w:t>
            </w:r>
          </w:p>
        </w:tc>
        <w:tc>
          <w:tcPr>
            <w:tcW w:w="120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820</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800</w:t>
            </w:r>
          </w:p>
        </w:tc>
      </w:tr>
      <w:tr w:rsidR="00E4299D">
        <w:trPr>
          <w:trHeight w:val="255"/>
        </w:trPr>
        <w:tc>
          <w:tcPr>
            <w:tcW w:w="30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Bonifications d’intérêt (****)</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12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65</w:t>
            </w:r>
          </w:p>
        </w:tc>
        <w:tc>
          <w:tcPr>
            <w:tcW w:w="108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20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20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24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r>
      <w:tr w:rsidR="00E4299D">
        <w:trPr>
          <w:trHeight w:val="255"/>
        </w:trPr>
        <w:tc>
          <w:tcPr>
            <w:tcW w:w="3040" w:type="dxa"/>
            <w:tcBorders>
              <w:top w:val="nil"/>
              <w:left w:val="single" w:sz="4" w:space="0" w:color="auto"/>
              <w:bottom w:val="single" w:sz="4"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BEI</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830</w:t>
            </w:r>
          </w:p>
        </w:tc>
        <w:tc>
          <w:tcPr>
            <w:tcW w:w="112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609</w:t>
            </w:r>
          </w:p>
        </w:tc>
        <w:tc>
          <w:tcPr>
            <w:tcW w:w="108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850</w:t>
            </w:r>
          </w:p>
        </w:tc>
        <w:tc>
          <w:tcPr>
            <w:tcW w:w="120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855</w:t>
            </w:r>
          </w:p>
        </w:tc>
        <w:tc>
          <w:tcPr>
            <w:tcW w:w="120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900</w:t>
            </w:r>
          </w:p>
        </w:tc>
        <w:tc>
          <w:tcPr>
            <w:tcW w:w="124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880</w:t>
            </w:r>
          </w:p>
        </w:tc>
      </w:tr>
      <w:tr w:rsidR="00E4299D">
        <w:trPr>
          <w:trHeight w:val="255"/>
        </w:trPr>
        <w:tc>
          <w:tcPr>
            <w:tcW w:w="3040" w:type="dxa"/>
            <w:tcBorders>
              <w:top w:val="nil"/>
              <w:left w:val="single" w:sz="4" w:space="0" w:color="auto"/>
              <w:bottom w:val="single" w:sz="4" w:space="0" w:color="auto"/>
              <w:right w:val="nil"/>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TOTAL </w:t>
            </w:r>
          </w:p>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Commission européenne + BEI</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5 777</w:t>
            </w:r>
          </w:p>
        </w:tc>
        <w:tc>
          <w:tcPr>
            <w:tcW w:w="112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6 083</w:t>
            </w:r>
          </w:p>
        </w:tc>
        <w:tc>
          <w:tcPr>
            <w:tcW w:w="108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5 513</w:t>
            </w:r>
          </w:p>
        </w:tc>
        <w:tc>
          <w:tcPr>
            <w:tcW w:w="120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6 180</w:t>
            </w:r>
          </w:p>
        </w:tc>
        <w:tc>
          <w:tcPr>
            <w:tcW w:w="120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5 863</w:t>
            </w:r>
          </w:p>
        </w:tc>
        <w:tc>
          <w:tcPr>
            <w:tcW w:w="124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5 543</w:t>
            </w:r>
          </w:p>
        </w:tc>
      </w:tr>
    </w:tbl>
    <w:p w:rsidR="00E4299D" w:rsidRDefault="00344DB1">
      <w:pPr>
        <w:spacing w:before="120" w:after="0" w:line="240" w:lineRule="auto"/>
        <w:rPr>
          <w:rFonts w:ascii="Times New Roman" w:eastAsia="Times New Roman" w:hAnsi="Times New Roman" w:cs="Times New Roman"/>
          <w:noProof/>
          <w:sz w:val="20"/>
          <w:szCs w:val="20"/>
        </w:rPr>
      </w:pPr>
      <w:r>
        <w:rPr>
          <w:rFonts w:ascii="Times New Roman" w:hAnsi="Times New Roman"/>
          <w:noProof/>
          <w:sz w:val="20"/>
        </w:rPr>
        <w:t xml:space="preserve">* Communication de la Commission au Conseil </w:t>
      </w:r>
    </w:p>
    <w:p w:rsidR="00E4299D" w:rsidRDefault="00344DB1">
      <w:pPr>
        <w:spacing w:after="120" w:line="240" w:lineRule="auto"/>
        <w:rPr>
          <w:rFonts w:ascii="Times New Roman" w:eastAsia="Times New Roman" w:hAnsi="Times New Roman" w:cs="Times New Roman"/>
          <w:noProof/>
          <w:sz w:val="20"/>
          <w:szCs w:val="20"/>
        </w:rPr>
      </w:pPr>
      <w:r>
        <w:rPr>
          <w:rFonts w:ascii="Times New Roman" w:hAnsi="Times New Roman"/>
          <w:noProof/>
          <w:sz w:val="20"/>
        </w:rPr>
        <w:t xml:space="preserve">** Fonds fiduciaire d'urgence de l’Union </w:t>
      </w:r>
      <w:r>
        <w:rPr>
          <w:rFonts w:ascii="Times New Roman" w:hAnsi="Times New Roman"/>
          <w:noProof/>
          <w:sz w:val="20"/>
        </w:rPr>
        <w:t>européenne en faveur de la stabilité et de la lutte contre les causes profondes de la migration irrégulière en Afrique.</w:t>
      </w:r>
      <w:r>
        <w:rPr>
          <w:rFonts w:ascii="Times New Roman" w:eastAsia="Times New Roman" w:hAnsi="Times New Roman" w:cs="Times New Roman"/>
          <w:noProof/>
          <w:sz w:val="20"/>
          <w:szCs w:val="20"/>
        </w:rPr>
        <w:br/>
      </w:r>
      <w:r>
        <w:rPr>
          <w:rFonts w:ascii="Times New Roman" w:hAnsi="Times New Roman"/>
          <w:noProof/>
          <w:sz w:val="20"/>
        </w:rPr>
        <w:t>*** Couvre les dépenses d’appui (p.ex. institutions conjointes, secrétariat ACP), DG ECHO, autres DG et agences.</w:t>
      </w:r>
      <w:r>
        <w:rPr>
          <w:rFonts w:ascii="Times New Roman" w:eastAsia="Times New Roman" w:hAnsi="Times New Roman" w:cs="Times New Roman"/>
          <w:noProof/>
          <w:sz w:val="20"/>
          <w:szCs w:val="20"/>
        </w:rPr>
        <w:br/>
      </w:r>
      <w:r>
        <w:rPr>
          <w:rFonts w:ascii="Times New Roman" w:hAnsi="Times New Roman"/>
          <w:noProof/>
          <w:sz w:val="20"/>
        </w:rPr>
        <w:t>**** Y compris les boni</w:t>
      </w:r>
      <w:r>
        <w:rPr>
          <w:rFonts w:ascii="Times New Roman" w:hAnsi="Times New Roman"/>
          <w:noProof/>
          <w:sz w:val="20"/>
        </w:rPr>
        <w:t>fications d’intérêt au titre des FED précédents.</w:t>
      </w:r>
    </w:p>
    <w:p w:rsidR="00E4299D" w:rsidRDefault="00E4299D">
      <w:pPr>
        <w:spacing w:before="120" w:after="120" w:line="240" w:lineRule="auto"/>
        <w:rPr>
          <w:rFonts w:ascii="Times New Roman" w:eastAsia="Times New Roman" w:hAnsi="Times New Roman" w:cs="Times New Roman"/>
          <w:noProof/>
          <w:sz w:val="20"/>
          <w:szCs w:val="20"/>
        </w:rPr>
      </w:pPr>
    </w:p>
    <w:p w:rsidR="00E4299D" w:rsidRDefault="00344DB1">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lastRenderedPageBreak/>
        <w:t>Annexe 2: prévisions de paiements</w:t>
      </w:r>
      <w:r>
        <w:rPr>
          <w:rFonts w:ascii="Times New Roman" w:hAnsi="Times New Roman"/>
          <w:b/>
          <w:noProof/>
          <w:sz w:val="24"/>
          <w:vertAlign w:val="superscript"/>
        </w:rPr>
        <w:footnoteReference w:id="9"/>
      </w:r>
      <w:r>
        <w:rPr>
          <w:rFonts w:ascii="Times New Roman" w:hAnsi="Times New Roman"/>
          <w:b/>
          <w:noProof/>
          <w:sz w:val="24"/>
        </w:rPr>
        <w:t xml:space="preserve"> pour 2015, 2016 et 2017 (en millions d’EUR)</w:t>
      </w:r>
    </w:p>
    <w:tbl>
      <w:tblPr>
        <w:tblW w:w="10100" w:type="dxa"/>
        <w:tblInd w:w="108" w:type="dxa"/>
        <w:tblLook w:val="04A0" w:firstRow="1" w:lastRow="0" w:firstColumn="1" w:lastColumn="0" w:noHBand="0" w:noVBand="1"/>
      </w:tblPr>
      <w:tblGrid>
        <w:gridCol w:w="2940"/>
        <w:gridCol w:w="1466"/>
        <w:gridCol w:w="1120"/>
        <w:gridCol w:w="1466"/>
        <w:gridCol w:w="1200"/>
        <w:gridCol w:w="1466"/>
        <w:gridCol w:w="1240"/>
      </w:tblGrid>
      <w:tr w:rsidR="00E4299D">
        <w:trPr>
          <w:trHeight w:val="255"/>
        </w:trPr>
        <w:tc>
          <w:tcPr>
            <w:tcW w:w="2940" w:type="dxa"/>
            <w:tcBorders>
              <w:top w:val="nil"/>
              <w:left w:val="nil"/>
              <w:bottom w:val="nil"/>
              <w:right w:val="nil"/>
            </w:tcBorders>
            <w:shd w:val="clear" w:color="auto" w:fill="auto"/>
            <w:noWrap/>
            <w:vAlign w:val="bottom"/>
            <w:hideMark/>
          </w:tcPr>
          <w:p w:rsidR="00E4299D" w:rsidRDefault="00E4299D">
            <w:pPr>
              <w:spacing w:after="0" w:line="240" w:lineRule="auto"/>
              <w:rPr>
                <w:rFonts w:ascii="Times New Roman" w:eastAsia="Times New Roman" w:hAnsi="Times New Roman" w:cs="Times New Roman"/>
                <w:noProof/>
                <w:sz w:val="20"/>
                <w:szCs w:val="20"/>
              </w:rPr>
            </w:pPr>
          </w:p>
        </w:tc>
        <w:tc>
          <w:tcPr>
            <w:tcW w:w="2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2015</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2016</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2017</w:t>
            </w:r>
          </w:p>
        </w:tc>
      </w:tr>
      <w:tr w:rsidR="00E4299D">
        <w:trPr>
          <w:trHeight w:val="510"/>
        </w:trPr>
        <w:tc>
          <w:tcPr>
            <w:tcW w:w="2940" w:type="dxa"/>
            <w:tcBorders>
              <w:top w:val="nil"/>
              <w:left w:val="nil"/>
              <w:bottom w:val="nil"/>
              <w:right w:val="nil"/>
            </w:tcBorders>
            <w:shd w:val="clear" w:color="auto" w:fill="auto"/>
            <w:noWrap/>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 xml:space="preserve">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Octobre 2015*</w:t>
            </w:r>
          </w:p>
        </w:tc>
        <w:tc>
          <w:tcPr>
            <w:tcW w:w="1120" w:type="dxa"/>
            <w:tcBorders>
              <w:top w:val="nil"/>
              <w:left w:val="nil"/>
              <w:bottom w:val="single" w:sz="4" w:space="0" w:color="auto"/>
              <w:right w:val="single" w:sz="4" w:space="0" w:color="auto"/>
            </w:tcBorders>
            <w:shd w:val="clear" w:color="000000" w:fill="B7DEE8"/>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Chiffres réels 2015</w:t>
            </w:r>
          </w:p>
        </w:tc>
        <w:tc>
          <w:tcPr>
            <w:tcW w:w="1320" w:type="dxa"/>
            <w:tcBorders>
              <w:top w:val="nil"/>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Octobre 2015*</w:t>
            </w:r>
          </w:p>
        </w:tc>
        <w:tc>
          <w:tcPr>
            <w:tcW w:w="1200" w:type="dxa"/>
            <w:tcBorders>
              <w:top w:val="nil"/>
              <w:left w:val="nil"/>
              <w:bottom w:val="single" w:sz="4" w:space="0" w:color="auto"/>
              <w:right w:val="single" w:sz="4" w:space="0" w:color="auto"/>
            </w:tcBorders>
            <w:shd w:val="clear" w:color="000000" w:fill="B7DEE8"/>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Juin 2016</w:t>
            </w:r>
          </w:p>
        </w:tc>
        <w:tc>
          <w:tcPr>
            <w:tcW w:w="1200" w:type="dxa"/>
            <w:tcBorders>
              <w:top w:val="nil"/>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Octobre 2015*</w:t>
            </w:r>
          </w:p>
        </w:tc>
        <w:tc>
          <w:tcPr>
            <w:tcW w:w="1240" w:type="dxa"/>
            <w:tcBorders>
              <w:top w:val="nil"/>
              <w:left w:val="nil"/>
              <w:bottom w:val="single" w:sz="4" w:space="0" w:color="auto"/>
              <w:right w:val="single" w:sz="4" w:space="0" w:color="auto"/>
            </w:tcBorders>
            <w:shd w:val="clear" w:color="000000" w:fill="B7DEE8"/>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Juin 2016</w:t>
            </w:r>
          </w:p>
        </w:tc>
      </w:tr>
      <w:tr w:rsidR="00E4299D">
        <w:trPr>
          <w:trHeight w:val="255"/>
        </w:trPr>
        <w:tc>
          <w:tcPr>
            <w:tcW w:w="2940" w:type="dxa"/>
            <w:tcBorders>
              <w:top w:val="single" w:sz="4" w:space="0" w:color="auto"/>
              <w:left w:val="single" w:sz="4" w:space="0" w:color="auto"/>
              <w:bottom w:val="nil"/>
              <w:right w:val="nil"/>
            </w:tcBorders>
            <w:shd w:val="clear" w:color="auto" w:fill="auto"/>
            <w:noWrap/>
            <w:vAlign w:val="center"/>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Régions</w:t>
            </w:r>
          </w:p>
        </w:tc>
        <w:tc>
          <w:tcPr>
            <w:tcW w:w="10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32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l’Est</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445</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484</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618</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de l'Ouest</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795</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797</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918</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centrale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348</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368</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513</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Caraïbes</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197</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183</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176</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Pacifique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66</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70</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63</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Afrique australe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389</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396</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442</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2 241</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2 299</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2 729</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 xml:space="preserve">Autres </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de soutien à la paix, droits de l’homme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371</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372</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436</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Facilité pour l'eau et l'énergie</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71</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71</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95</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Fonds fiduciaire (**)</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290</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rPr>
              <w:t>Autres (***)</w:t>
            </w:r>
          </w:p>
        </w:tc>
        <w:tc>
          <w:tcPr>
            <w:tcW w:w="108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470</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467</w:t>
            </w:r>
          </w:p>
        </w:tc>
        <w:tc>
          <w:tcPr>
            <w:tcW w:w="132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201</w:t>
            </w:r>
          </w:p>
        </w:tc>
        <w:tc>
          <w:tcPr>
            <w:tcW w:w="120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299D">
        <w:trPr>
          <w:trHeight w:val="255"/>
        </w:trPr>
        <w:tc>
          <w:tcPr>
            <w:tcW w:w="2940" w:type="dxa"/>
            <w:tcBorders>
              <w:top w:val="nil"/>
              <w:left w:val="single" w:sz="4" w:space="0" w:color="auto"/>
              <w:bottom w:val="nil"/>
              <w:right w:val="nil"/>
            </w:tcBorders>
            <w:shd w:val="clear" w:color="auto" w:fill="auto"/>
            <w:noWrap/>
            <w:vAlign w:val="center"/>
            <w:hideMark/>
          </w:tcPr>
          <w:p w:rsidR="00E4299D" w:rsidRDefault="00344DB1">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912</w:t>
            </w:r>
          </w:p>
        </w:tc>
        <w:tc>
          <w:tcPr>
            <w:tcW w:w="112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911</w:t>
            </w:r>
          </w:p>
        </w:tc>
        <w:tc>
          <w:tcPr>
            <w:tcW w:w="132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0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1 023</w:t>
            </w:r>
          </w:p>
        </w:tc>
        <w:tc>
          <w:tcPr>
            <w:tcW w:w="120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r>
      <w:tr w:rsidR="00E4299D">
        <w:trPr>
          <w:trHeight w:val="255"/>
        </w:trPr>
        <w:tc>
          <w:tcPr>
            <w:tcW w:w="2940" w:type="dxa"/>
            <w:tcBorders>
              <w:top w:val="nil"/>
              <w:left w:val="single" w:sz="4" w:space="0" w:color="auto"/>
              <w:bottom w:val="single" w:sz="4"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Commission européenne</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3 152</w:t>
            </w:r>
          </w:p>
        </w:tc>
        <w:tc>
          <w:tcPr>
            <w:tcW w:w="112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3 210</w:t>
            </w:r>
          </w:p>
        </w:tc>
        <w:tc>
          <w:tcPr>
            <w:tcW w:w="132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3 550</w:t>
            </w:r>
          </w:p>
        </w:tc>
        <w:tc>
          <w:tcPr>
            <w:tcW w:w="120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3 751</w:t>
            </w:r>
          </w:p>
        </w:tc>
        <w:tc>
          <w:tcPr>
            <w:tcW w:w="120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3 900</w:t>
            </w:r>
          </w:p>
        </w:tc>
        <w:tc>
          <w:tcPr>
            <w:tcW w:w="124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3 900</w:t>
            </w:r>
          </w:p>
        </w:tc>
      </w:tr>
      <w:tr w:rsidR="00E4299D">
        <w:trPr>
          <w:trHeight w:val="255"/>
        </w:trPr>
        <w:tc>
          <w:tcPr>
            <w:tcW w:w="29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Facilité d’investissement</w:t>
            </w:r>
          </w:p>
        </w:tc>
        <w:tc>
          <w:tcPr>
            <w:tcW w:w="10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275</w:t>
            </w:r>
          </w:p>
        </w:tc>
        <w:tc>
          <w:tcPr>
            <w:tcW w:w="112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351</w:t>
            </w:r>
          </w:p>
        </w:tc>
        <w:tc>
          <w:tcPr>
            <w:tcW w:w="132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370</w:t>
            </w:r>
          </w:p>
        </w:tc>
        <w:tc>
          <w:tcPr>
            <w:tcW w:w="120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370</w:t>
            </w:r>
          </w:p>
        </w:tc>
        <w:tc>
          <w:tcPr>
            <w:tcW w:w="120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410</w:t>
            </w:r>
          </w:p>
        </w:tc>
        <w:tc>
          <w:tcPr>
            <w:tcW w:w="1240" w:type="dxa"/>
            <w:tcBorders>
              <w:top w:val="nil"/>
              <w:left w:val="nil"/>
              <w:bottom w:val="nil"/>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410</w:t>
            </w:r>
          </w:p>
        </w:tc>
      </w:tr>
      <w:tr w:rsidR="00E4299D">
        <w:trPr>
          <w:trHeight w:val="255"/>
        </w:trPr>
        <w:tc>
          <w:tcPr>
            <w:tcW w:w="294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rPr>
              <w:t>Bonifications d’intérêt (****)</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25</w:t>
            </w:r>
          </w:p>
        </w:tc>
        <w:tc>
          <w:tcPr>
            <w:tcW w:w="112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w:t>
            </w:r>
          </w:p>
        </w:tc>
        <w:tc>
          <w:tcPr>
            <w:tcW w:w="132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40</w:t>
            </w:r>
          </w:p>
        </w:tc>
        <w:tc>
          <w:tcPr>
            <w:tcW w:w="120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40</w:t>
            </w:r>
          </w:p>
        </w:tc>
        <w:tc>
          <w:tcPr>
            <w:tcW w:w="1200" w:type="dxa"/>
            <w:tcBorders>
              <w:top w:val="nil"/>
              <w:left w:val="nil"/>
              <w:bottom w:val="dotted" w:sz="4" w:space="0" w:color="auto"/>
              <w:right w:val="single" w:sz="4"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240" w:type="dxa"/>
            <w:tcBorders>
              <w:top w:val="nil"/>
              <w:left w:val="nil"/>
              <w:bottom w:val="dotted"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r>
      <w:tr w:rsidR="00E4299D">
        <w:trPr>
          <w:trHeight w:val="255"/>
        </w:trPr>
        <w:tc>
          <w:tcPr>
            <w:tcW w:w="2940" w:type="dxa"/>
            <w:tcBorders>
              <w:top w:val="nil"/>
              <w:left w:val="single" w:sz="4" w:space="0" w:color="auto"/>
              <w:bottom w:val="single" w:sz="4"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 BEI</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300</w:t>
            </w:r>
          </w:p>
        </w:tc>
        <w:tc>
          <w:tcPr>
            <w:tcW w:w="112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373</w:t>
            </w:r>
          </w:p>
        </w:tc>
        <w:tc>
          <w:tcPr>
            <w:tcW w:w="132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410</w:t>
            </w:r>
          </w:p>
        </w:tc>
        <w:tc>
          <w:tcPr>
            <w:tcW w:w="120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410</w:t>
            </w:r>
          </w:p>
        </w:tc>
        <w:tc>
          <w:tcPr>
            <w:tcW w:w="120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460</w:t>
            </w:r>
          </w:p>
        </w:tc>
        <w:tc>
          <w:tcPr>
            <w:tcW w:w="124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460</w:t>
            </w:r>
          </w:p>
        </w:tc>
      </w:tr>
      <w:tr w:rsidR="00E4299D">
        <w:trPr>
          <w:trHeight w:val="255"/>
        </w:trPr>
        <w:tc>
          <w:tcPr>
            <w:tcW w:w="2940" w:type="dxa"/>
            <w:tcBorders>
              <w:top w:val="nil"/>
              <w:left w:val="single" w:sz="4" w:space="0" w:color="auto"/>
              <w:bottom w:val="single" w:sz="4" w:space="0" w:color="auto"/>
              <w:right w:val="nil"/>
            </w:tcBorders>
            <w:shd w:val="clear" w:color="auto" w:fill="auto"/>
            <w:vAlign w:val="center"/>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TOTAL</w:t>
            </w:r>
          </w:p>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Commission européenne + BEI</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3 452</w:t>
            </w:r>
          </w:p>
        </w:tc>
        <w:tc>
          <w:tcPr>
            <w:tcW w:w="112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3 583</w:t>
            </w:r>
          </w:p>
        </w:tc>
        <w:tc>
          <w:tcPr>
            <w:tcW w:w="132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3 960</w:t>
            </w:r>
          </w:p>
        </w:tc>
        <w:tc>
          <w:tcPr>
            <w:tcW w:w="120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4 161</w:t>
            </w:r>
          </w:p>
        </w:tc>
        <w:tc>
          <w:tcPr>
            <w:tcW w:w="1200"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4 360</w:t>
            </w:r>
          </w:p>
        </w:tc>
        <w:tc>
          <w:tcPr>
            <w:tcW w:w="1240" w:type="dxa"/>
            <w:tcBorders>
              <w:top w:val="nil"/>
              <w:left w:val="nil"/>
              <w:bottom w:val="single" w:sz="4" w:space="0" w:color="auto"/>
              <w:right w:val="single" w:sz="4" w:space="0" w:color="auto"/>
            </w:tcBorders>
            <w:shd w:val="clear" w:color="000000" w:fill="B7DEE8"/>
            <w:noWrap/>
            <w:vAlign w:val="bottom"/>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4 360</w:t>
            </w:r>
          </w:p>
        </w:tc>
      </w:tr>
    </w:tbl>
    <w:p w:rsidR="00E4299D" w:rsidRDefault="00344DB1">
      <w:pPr>
        <w:spacing w:before="120" w:after="0" w:line="240" w:lineRule="auto"/>
        <w:rPr>
          <w:rFonts w:ascii="Times New Roman" w:eastAsia="Times New Roman" w:hAnsi="Times New Roman" w:cs="Times New Roman"/>
          <w:noProof/>
          <w:sz w:val="20"/>
          <w:szCs w:val="20"/>
        </w:rPr>
      </w:pPr>
      <w:r>
        <w:rPr>
          <w:rFonts w:ascii="Times New Roman" w:hAnsi="Times New Roman"/>
          <w:noProof/>
          <w:sz w:val="20"/>
        </w:rPr>
        <w:t xml:space="preserve">* Communication de la Commission au Conseil </w:t>
      </w:r>
    </w:p>
    <w:p w:rsidR="00E4299D" w:rsidRDefault="00344DB1">
      <w:pPr>
        <w:spacing w:after="120" w:line="240" w:lineRule="auto"/>
        <w:rPr>
          <w:rFonts w:ascii="Times New Roman" w:eastAsia="Times New Roman" w:hAnsi="Times New Roman" w:cs="Times New Roman"/>
          <w:noProof/>
          <w:sz w:val="20"/>
          <w:szCs w:val="20"/>
        </w:rPr>
      </w:pPr>
      <w:r>
        <w:rPr>
          <w:rFonts w:ascii="Times New Roman" w:hAnsi="Times New Roman"/>
          <w:noProof/>
          <w:sz w:val="20"/>
        </w:rPr>
        <w:t>* Fonds fiduciaire d'urgence de l’Union européenne en faveur de la stabilité et de la lutte contre les causes profondes de la migration irrégulière en Afrique.</w:t>
      </w:r>
      <w:r>
        <w:rPr>
          <w:rFonts w:ascii="Times New Roman" w:eastAsia="Times New Roman" w:hAnsi="Times New Roman" w:cs="Times New Roman"/>
          <w:noProof/>
          <w:sz w:val="20"/>
          <w:szCs w:val="20"/>
        </w:rPr>
        <w:br/>
      </w:r>
      <w:r>
        <w:rPr>
          <w:rFonts w:ascii="Times New Roman" w:hAnsi="Times New Roman"/>
          <w:noProof/>
          <w:sz w:val="20"/>
        </w:rPr>
        <w:t xml:space="preserve">** Couvre les dépenses d’appui (p.ex. institutions </w:t>
      </w:r>
      <w:r>
        <w:rPr>
          <w:rFonts w:ascii="Times New Roman" w:hAnsi="Times New Roman"/>
          <w:noProof/>
          <w:sz w:val="20"/>
        </w:rPr>
        <w:t>conjointes, secrétariat ACP), DG ECHO, autres DG et agences.</w:t>
      </w:r>
      <w:r>
        <w:rPr>
          <w:rFonts w:ascii="Times New Roman" w:eastAsia="Times New Roman" w:hAnsi="Times New Roman" w:cs="Times New Roman"/>
          <w:noProof/>
          <w:sz w:val="20"/>
          <w:szCs w:val="20"/>
        </w:rPr>
        <w:br/>
      </w:r>
      <w:r>
        <w:rPr>
          <w:rFonts w:ascii="Times New Roman" w:hAnsi="Times New Roman"/>
          <w:noProof/>
          <w:sz w:val="20"/>
        </w:rPr>
        <w:t>*** Y compris les bonifications d’intérêt au titre des FED précédents.</w:t>
      </w:r>
    </w:p>
    <w:p w:rsidR="00E4299D" w:rsidRDefault="00E4299D">
      <w:pPr>
        <w:spacing w:before="120" w:after="120" w:line="240" w:lineRule="auto"/>
        <w:rPr>
          <w:rFonts w:ascii="Times New Roman" w:eastAsia="Times New Roman" w:hAnsi="Times New Roman" w:cs="Times New Roman"/>
          <w:noProof/>
          <w:sz w:val="20"/>
          <w:szCs w:val="20"/>
        </w:rPr>
      </w:pPr>
    </w:p>
    <w:p w:rsidR="00E4299D" w:rsidRDefault="00E4299D">
      <w:pPr>
        <w:spacing w:before="120" w:after="120" w:line="240" w:lineRule="auto"/>
        <w:rPr>
          <w:rFonts w:ascii="Times New Roman" w:eastAsia="Times New Roman" w:hAnsi="Times New Roman" w:cs="Times New Roman"/>
          <w:noProof/>
          <w:sz w:val="20"/>
          <w:szCs w:val="20"/>
        </w:rPr>
      </w:pPr>
    </w:p>
    <w:p w:rsidR="00E4299D" w:rsidRDefault="00344DB1">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lastRenderedPageBreak/>
        <w:t>Annexe 3: situation financière pour 2015, prévisions pour 2016 et 2017 et estimations non contraignantes pour 2018 et 2019</w:t>
      </w:r>
      <w:r>
        <w:rPr>
          <w:rFonts w:ascii="Times New Roman" w:hAnsi="Times New Roman"/>
          <w:b/>
          <w:noProof/>
          <w:sz w:val="24"/>
        </w:rPr>
        <w:t xml:space="preserve"> (en millions d’EUR)</w:t>
      </w:r>
    </w:p>
    <w:tbl>
      <w:tblPr>
        <w:tblW w:w="11960" w:type="dxa"/>
        <w:tblInd w:w="108" w:type="dxa"/>
        <w:tblLook w:val="04A0" w:firstRow="1" w:lastRow="0" w:firstColumn="1" w:lastColumn="0" w:noHBand="0" w:noVBand="1"/>
      </w:tblPr>
      <w:tblGrid>
        <w:gridCol w:w="640"/>
        <w:gridCol w:w="4000"/>
        <w:gridCol w:w="1380"/>
        <w:gridCol w:w="1120"/>
        <w:gridCol w:w="1120"/>
        <w:gridCol w:w="1460"/>
        <w:gridCol w:w="1120"/>
        <w:gridCol w:w="1120"/>
      </w:tblGrid>
      <w:tr w:rsidR="00E4299D">
        <w:trPr>
          <w:trHeight w:val="222"/>
        </w:trPr>
        <w:tc>
          <w:tcPr>
            <w:tcW w:w="640" w:type="dxa"/>
            <w:tcBorders>
              <w:top w:val="nil"/>
              <w:left w:val="nil"/>
              <w:bottom w:val="nil"/>
              <w:right w:val="nil"/>
            </w:tcBorders>
            <w:shd w:val="clear" w:color="auto" w:fill="auto"/>
            <w:noWrap/>
            <w:vAlign w:val="bottom"/>
            <w:hideMark/>
          </w:tcPr>
          <w:p w:rsidR="00E4299D" w:rsidRDefault="00E4299D">
            <w:pPr>
              <w:spacing w:after="0" w:line="240" w:lineRule="auto"/>
              <w:rPr>
                <w:rFonts w:ascii="Times New Roman" w:eastAsia="Times New Roman" w:hAnsi="Times New Roman" w:cs="Times New Roman"/>
                <w:noProof/>
                <w:sz w:val="20"/>
                <w:szCs w:val="20"/>
              </w:rPr>
            </w:pPr>
          </w:p>
        </w:tc>
        <w:tc>
          <w:tcPr>
            <w:tcW w:w="4000" w:type="dxa"/>
            <w:tcBorders>
              <w:top w:val="nil"/>
              <w:left w:val="nil"/>
              <w:bottom w:val="nil"/>
              <w:right w:val="nil"/>
            </w:tcBorders>
            <w:shd w:val="clear" w:color="auto" w:fill="auto"/>
            <w:noWrap/>
            <w:vAlign w:val="bottom"/>
            <w:hideMark/>
          </w:tcPr>
          <w:p w:rsidR="00E4299D" w:rsidRDefault="00E4299D">
            <w:pPr>
              <w:spacing w:after="0" w:line="240" w:lineRule="auto"/>
              <w:rPr>
                <w:rFonts w:ascii="Times New Roman" w:eastAsia="Times New Roman" w:hAnsi="Times New Roman" w:cs="Times New Roman"/>
                <w:noProof/>
                <w:sz w:val="20"/>
                <w:szCs w:val="20"/>
              </w:rPr>
            </w:pPr>
          </w:p>
        </w:tc>
        <w:tc>
          <w:tcPr>
            <w:tcW w:w="3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xml:space="preserve">Octobre 2015 </w:t>
            </w:r>
            <w:r>
              <w:rPr>
                <w:rFonts w:ascii="Times New Roman" w:hAnsi="Times New Roman"/>
                <w:b/>
                <w:noProof/>
                <w:sz w:val="20"/>
                <w:vertAlign w:val="superscript"/>
              </w:rPr>
              <w:t>1</w:t>
            </w:r>
          </w:p>
        </w:tc>
        <w:tc>
          <w:tcPr>
            <w:tcW w:w="3700" w:type="dxa"/>
            <w:gridSpan w:val="3"/>
            <w:tcBorders>
              <w:top w:val="single" w:sz="4" w:space="0" w:color="auto"/>
              <w:left w:val="nil"/>
              <w:bottom w:val="single" w:sz="4" w:space="0" w:color="auto"/>
              <w:right w:val="single" w:sz="4" w:space="0" w:color="000000"/>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xml:space="preserve">Juin 2016 </w:t>
            </w:r>
            <w:r>
              <w:rPr>
                <w:rFonts w:ascii="Times New Roman" w:hAnsi="Times New Roman"/>
                <w:b/>
                <w:noProof/>
                <w:sz w:val="20"/>
                <w:vertAlign w:val="superscript"/>
              </w:rPr>
              <w:t>1</w:t>
            </w:r>
          </w:p>
        </w:tc>
      </w:tr>
      <w:tr w:rsidR="00E4299D">
        <w:trPr>
          <w:trHeight w:val="222"/>
        </w:trPr>
        <w:tc>
          <w:tcPr>
            <w:tcW w:w="640" w:type="dxa"/>
            <w:tcBorders>
              <w:top w:val="nil"/>
              <w:left w:val="nil"/>
              <w:bottom w:val="nil"/>
              <w:right w:val="nil"/>
            </w:tcBorders>
            <w:shd w:val="clear" w:color="auto" w:fill="auto"/>
            <w:noWrap/>
            <w:vAlign w:val="bottom"/>
            <w:hideMark/>
          </w:tcPr>
          <w:p w:rsidR="00E4299D" w:rsidRDefault="00E4299D">
            <w:pPr>
              <w:spacing w:after="0" w:line="240" w:lineRule="auto"/>
              <w:rPr>
                <w:rFonts w:ascii="Times New Roman" w:eastAsia="Times New Roman" w:hAnsi="Times New Roman" w:cs="Times New Roman"/>
                <w:noProof/>
                <w:sz w:val="20"/>
                <w:szCs w:val="20"/>
              </w:rPr>
            </w:pPr>
          </w:p>
        </w:tc>
        <w:tc>
          <w:tcPr>
            <w:tcW w:w="4000" w:type="dxa"/>
            <w:tcBorders>
              <w:top w:val="nil"/>
              <w:left w:val="nil"/>
              <w:bottom w:val="nil"/>
              <w:right w:val="nil"/>
            </w:tcBorders>
            <w:shd w:val="clear" w:color="auto" w:fill="auto"/>
            <w:noWrap/>
            <w:vAlign w:val="center"/>
            <w:hideMark/>
          </w:tcPr>
          <w:p w:rsidR="00E4299D" w:rsidRDefault="00E4299D">
            <w:pPr>
              <w:spacing w:after="0" w:line="240" w:lineRule="auto"/>
              <w:jc w:val="center"/>
              <w:rPr>
                <w:rFonts w:ascii="Times New Roman" w:eastAsia="Times New Roman" w:hAnsi="Times New Roman" w:cs="Times New Roman"/>
                <w:b/>
                <w:bCs/>
                <w:noProof/>
                <w:sz w:val="20"/>
                <w:szCs w:val="20"/>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Commission</w:t>
            </w:r>
          </w:p>
        </w:tc>
        <w:tc>
          <w:tcPr>
            <w:tcW w:w="1120" w:type="dxa"/>
            <w:tcBorders>
              <w:top w:val="nil"/>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BEI</w:t>
            </w:r>
            <w:r>
              <w:rPr>
                <w:rFonts w:ascii="Times New Roman" w:hAnsi="Times New Roman"/>
                <w:b/>
                <w:noProof/>
                <w:sz w:val="20"/>
                <w:vertAlign w:val="superscript"/>
              </w:rPr>
              <w:t xml:space="preserve"> 6</w:t>
            </w:r>
          </w:p>
        </w:tc>
        <w:tc>
          <w:tcPr>
            <w:tcW w:w="1120" w:type="dxa"/>
            <w:tcBorders>
              <w:top w:val="nil"/>
              <w:left w:val="nil"/>
              <w:bottom w:val="nil"/>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TOTAL</w:t>
            </w:r>
          </w:p>
        </w:tc>
        <w:tc>
          <w:tcPr>
            <w:tcW w:w="1460" w:type="dxa"/>
            <w:tcBorders>
              <w:top w:val="nil"/>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Commission</w:t>
            </w:r>
          </w:p>
        </w:tc>
        <w:tc>
          <w:tcPr>
            <w:tcW w:w="1120" w:type="dxa"/>
            <w:tcBorders>
              <w:top w:val="nil"/>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BEI</w:t>
            </w:r>
            <w:r>
              <w:rPr>
                <w:rFonts w:ascii="Times New Roman" w:hAnsi="Times New Roman"/>
                <w:b/>
                <w:noProof/>
                <w:sz w:val="20"/>
                <w:vertAlign w:val="superscript"/>
              </w:rPr>
              <w:t xml:space="preserve"> 6</w:t>
            </w:r>
          </w:p>
        </w:tc>
        <w:tc>
          <w:tcPr>
            <w:tcW w:w="1120" w:type="dxa"/>
            <w:tcBorders>
              <w:top w:val="nil"/>
              <w:left w:val="nil"/>
              <w:bottom w:val="nil"/>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TOTAL</w:t>
            </w:r>
          </w:p>
        </w:tc>
      </w:tr>
      <w:tr w:rsidR="00E4299D">
        <w:trPr>
          <w:trHeight w:val="222"/>
        </w:trPr>
        <w:tc>
          <w:tcPr>
            <w:tcW w:w="640" w:type="dxa"/>
            <w:tcBorders>
              <w:top w:val="nil"/>
              <w:left w:val="nil"/>
              <w:bottom w:val="single" w:sz="4" w:space="0" w:color="auto"/>
              <w:right w:val="single" w:sz="4" w:space="0" w:color="auto"/>
            </w:tcBorders>
            <w:shd w:val="clear" w:color="auto" w:fill="auto"/>
            <w:noWrap/>
            <w:textDirection w:val="btLr"/>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 </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Solde au 31.12.2014</w:t>
            </w:r>
            <w:r>
              <w:rPr>
                <w:rFonts w:ascii="Times New Roman" w:hAnsi="Times New Roman"/>
                <w:b/>
                <w:noProof/>
                <w:sz w:val="20"/>
                <w:vertAlign w:val="superscript"/>
              </w:rPr>
              <w:t xml:space="preserve"> 1</w:t>
            </w:r>
          </w:p>
        </w:tc>
        <w:tc>
          <w:tcPr>
            <w:tcW w:w="138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207</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194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401</w:t>
            </w:r>
          </w:p>
        </w:tc>
        <w:tc>
          <w:tcPr>
            <w:tcW w:w="146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207</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194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401</w:t>
            </w:r>
          </w:p>
        </w:tc>
      </w:tr>
      <w:tr w:rsidR="00E4299D">
        <w:trPr>
          <w:trHeight w:val="222"/>
        </w:trPr>
        <w:tc>
          <w:tcPr>
            <w:tcW w:w="640" w:type="dxa"/>
            <w:vMerge w:val="restart"/>
            <w:tcBorders>
              <w:top w:val="nil"/>
              <w:left w:val="single" w:sz="4" w:space="0" w:color="auto"/>
              <w:bottom w:val="single" w:sz="4" w:space="0" w:color="000000"/>
              <w:right w:val="nil"/>
            </w:tcBorders>
            <w:shd w:val="clear" w:color="auto" w:fill="auto"/>
            <w:noWrap/>
            <w:textDirection w:val="btLr"/>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2015</w:t>
            </w:r>
          </w:p>
        </w:tc>
        <w:tc>
          <w:tcPr>
            <w:tcW w:w="400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color w:val="FF0000"/>
                <w:sz w:val="20"/>
                <w:szCs w:val="20"/>
              </w:rPr>
            </w:pPr>
            <w:r>
              <w:rPr>
                <w:rFonts w:ascii="Times New Roman" w:hAnsi="Times New Roman"/>
                <w:noProof/>
                <w:color w:val="FF0000"/>
                <w:sz w:val="20"/>
              </w:rPr>
              <w:t>Contributions des États membres pour 2015:</w:t>
            </w:r>
          </w:p>
        </w:tc>
        <w:tc>
          <w:tcPr>
            <w:tcW w:w="138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3 200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3 400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3 200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3 400</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i/>
                <w:iCs/>
                <w:noProof/>
                <w:sz w:val="20"/>
                <w:szCs w:val="20"/>
              </w:rPr>
            </w:pPr>
            <w:r>
              <w:rPr>
                <w:rFonts w:ascii="Times New Roman" w:hAnsi="Times New Roman"/>
                <w:i/>
                <w:noProof/>
                <w:sz w:val="20"/>
              </w:rPr>
              <w:t xml:space="preserve">     1</w:t>
            </w:r>
            <w:r>
              <w:rPr>
                <w:rFonts w:ascii="Times New Roman" w:hAnsi="Times New Roman"/>
                <w:i/>
                <w:noProof/>
                <w:sz w:val="20"/>
                <w:vertAlign w:val="superscript"/>
              </w:rPr>
              <w:t>e</w:t>
            </w:r>
            <w:r>
              <w:rPr>
                <w:rFonts w:ascii="Times New Roman" w:hAnsi="Times New Roman"/>
                <w:i/>
                <w:noProof/>
                <w:sz w:val="20"/>
              </w:rPr>
              <w:t xml:space="preserve"> tranche</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1 500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1 550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1 500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1 550</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i/>
                <w:iCs/>
                <w:noProof/>
                <w:sz w:val="20"/>
                <w:szCs w:val="20"/>
              </w:rPr>
            </w:pPr>
            <w:r>
              <w:rPr>
                <w:rFonts w:ascii="Times New Roman" w:hAnsi="Times New Roman"/>
                <w:i/>
                <w:noProof/>
                <w:sz w:val="20"/>
              </w:rPr>
              <w:t xml:space="preserve">     2</w:t>
            </w:r>
            <w:r>
              <w:rPr>
                <w:rFonts w:ascii="Times New Roman" w:hAnsi="Times New Roman"/>
                <w:i/>
                <w:noProof/>
                <w:sz w:val="20"/>
                <w:vertAlign w:val="superscript"/>
              </w:rPr>
              <w:t>e</w:t>
            </w:r>
            <w:r>
              <w:rPr>
                <w:rFonts w:ascii="Times New Roman" w:hAnsi="Times New Roman"/>
                <w:i/>
                <w:noProof/>
                <w:sz w:val="20"/>
              </w:rPr>
              <w:t xml:space="preserve"> tranche</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950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950</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i/>
                <w:iCs/>
                <w:noProof/>
                <w:sz w:val="20"/>
                <w:szCs w:val="20"/>
              </w:rPr>
            </w:pPr>
            <w:r>
              <w:rPr>
                <w:rFonts w:ascii="Times New Roman" w:hAnsi="Times New Roman"/>
                <w:i/>
                <w:noProof/>
                <w:sz w:val="20"/>
              </w:rPr>
              <w:t xml:space="preserve">     3</w:t>
            </w:r>
            <w:r>
              <w:rPr>
                <w:rFonts w:ascii="Times New Roman" w:hAnsi="Times New Roman"/>
                <w:i/>
                <w:noProof/>
                <w:sz w:val="20"/>
                <w:vertAlign w:val="superscript"/>
              </w:rPr>
              <w:t>e</w:t>
            </w:r>
            <w:r>
              <w:rPr>
                <w:rFonts w:ascii="Times New Roman" w:hAnsi="Times New Roman"/>
                <w:i/>
                <w:noProof/>
                <w:sz w:val="20"/>
              </w:rPr>
              <w:t xml:space="preserve"> tranche</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900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900</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Remboursements</w:t>
            </w:r>
            <w:r>
              <w:rPr>
                <w:rFonts w:ascii="Times New Roman" w:hAnsi="Times New Roman"/>
                <w:noProof/>
                <w:sz w:val="20"/>
                <w:vertAlign w:val="superscript"/>
              </w:rPr>
              <w:t xml:space="preserve"> 2</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196</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196</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201</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201</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Contributions 2015 reçues en 2014</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-228</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-228</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-228</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-228</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Contributions 2016 reçues en 2015</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307</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307</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Recouvrements, intérêts et autres revenus</w:t>
            </w:r>
          </w:p>
        </w:tc>
        <w:tc>
          <w:tcPr>
            <w:tcW w:w="138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232</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232</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Total des paiements</w:t>
            </w:r>
            <w:r>
              <w:rPr>
                <w:rFonts w:ascii="Times New Roman" w:hAnsi="Times New Roman"/>
                <w:noProof/>
                <w:sz w:val="20"/>
                <w:vertAlign w:val="superscript"/>
              </w:rPr>
              <w:t xml:space="preserve"> 3</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-3 152</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-3 452</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-3 210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-373</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-3 583</w:t>
            </w:r>
          </w:p>
        </w:tc>
      </w:tr>
      <w:tr w:rsidR="00E4299D">
        <w:trPr>
          <w:trHeight w:val="222"/>
        </w:trPr>
        <w:tc>
          <w:tcPr>
            <w:tcW w:w="640" w:type="dxa"/>
            <w:vMerge/>
            <w:tcBorders>
              <w:top w:val="nil"/>
              <w:left w:val="single" w:sz="4" w:space="0" w:color="auto"/>
              <w:bottom w:val="single" w:sz="4" w:space="0" w:color="000000"/>
              <w:right w:val="nil"/>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Solde au 31.12.2015</w:t>
            </w:r>
            <w:r>
              <w:rPr>
                <w:rFonts w:ascii="Times New Roman" w:hAnsi="Times New Roman"/>
                <w:b/>
                <w:noProof/>
                <w:sz w:val="20"/>
                <w:vertAlign w:val="superscript"/>
              </w:rPr>
              <w:t xml:space="preserve"> 4</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107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290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508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744</w:t>
            </w:r>
          </w:p>
        </w:tc>
      </w:tr>
      <w:tr w:rsidR="00E4299D">
        <w:trPr>
          <w:trHeight w:val="222"/>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2016</w:t>
            </w:r>
          </w:p>
        </w:tc>
        <w:tc>
          <w:tcPr>
            <w:tcW w:w="40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color w:val="FF0000"/>
                <w:sz w:val="20"/>
                <w:szCs w:val="20"/>
              </w:rPr>
            </w:pPr>
            <w:r>
              <w:rPr>
                <w:rFonts w:ascii="Times New Roman" w:hAnsi="Times New Roman"/>
                <w:noProof/>
                <w:color w:val="FF0000"/>
                <w:sz w:val="20"/>
              </w:rPr>
              <w:t>Contributions des États membres pour 2016:</w:t>
            </w:r>
          </w:p>
        </w:tc>
        <w:tc>
          <w:tcPr>
            <w:tcW w:w="138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3 450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3 600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3 450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3 600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i/>
                <w:iCs/>
                <w:noProof/>
                <w:sz w:val="20"/>
                <w:szCs w:val="20"/>
              </w:rPr>
            </w:pPr>
            <w:r>
              <w:rPr>
                <w:rFonts w:ascii="Times New Roman" w:hAnsi="Times New Roman"/>
                <w:i/>
                <w:noProof/>
                <w:sz w:val="20"/>
              </w:rPr>
              <w:t xml:space="preserve">     1</w:t>
            </w:r>
            <w:r>
              <w:rPr>
                <w:rFonts w:ascii="Times New Roman" w:hAnsi="Times New Roman"/>
                <w:i/>
                <w:noProof/>
                <w:sz w:val="20"/>
                <w:vertAlign w:val="superscript"/>
              </w:rPr>
              <w:t>e</w:t>
            </w:r>
            <w:r>
              <w:rPr>
                <w:rFonts w:ascii="Times New Roman" w:hAnsi="Times New Roman"/>
                <w:i/>
                <w:noProof/>
                <w:sz w:val="20"/>
              </w:rPr>
              <w:t xml:space="preserve"> tranche</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1 750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1 750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i/>
                <w:iCs/>
                <w:noProof/>
                <w:sz w:val="20"/>
                <w:szCs w:val="20"/>
              </w:rPr>
            </w:pPr>
            <w:r>
              <w:rPr>
                <w:rFonts w:ascii="Times New Roman" w:hAnsi="Times New Roman"/>
                <w:i/>
                <w:noProof/>
                <w:sz w:val="20"/>
              </w:rPr>
              <w:t xml:space="preserve">     2</w:t>
            </w:r>
            <w:r>
              <w:rPr>
                <w:rFonts w:ascii="Times New Roman" w:hAnsi="Times New Roman"/>
                <w:i/>
                <w:noProof/>
                <w:sz w:val="20"/>
                <w:vertAlign w:val="superscript"/>
              </w:rPr>
              <w:t>e</w:t>
            </w:r>
            <w:r>
              <w:rPr>
                <w:rFonts w:ascii="Times New Roman" w:hAnsi="Times New Roman"/>
                <w:i/>
                <w:noProof/>
                <w:sz w:val="20"/>
              </w:rPr>
              <w:t xml:space="preserve"> tranche</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1 000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1 100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1 000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1 100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i/>
                <w:iCs/>
                <w:noProof/>
                <w:sz w:val="20"/>
                <w:szCs w:val="20"/>
              </w:rPr>
            </w:pPr>
            <w:r>
              <w:rPr>
                <w:rFonts w:ascii="Times New Roman" w:hAnsi="Times New Roman"/>
                <w:i/>
                <w:noProof/>
                <w:sz w:val="20"/>
              </w:rPr>
              <w:t xml:space="preserve">     3</w:t>
            </w:r>
            <w:r>
              <w:rPr>
                <w:rFonts w:ascii="Times New Roman" w:hAnsi="Times New Roman"/>
                <w:i/>
                <w:noProof/>
                <w:sz w:val="20"/>
                <w:vertAlign w:val="superscript"/>
              </w:rPr>
              <w:t>e</w:t>
            </w:r>
            <w:r>
              <w:rPr>
                <w:rFonts w:ascii="Times New Roman" w:hAnsi="Times New Roman"/>
                <w:i/>
                <w:noProof/>
                <w:sz w:val="20"/>
              </w:rPr>
              <w:t xml:space="preserve"> tranche</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750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750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Remboursements</w:t>
            </w:r>
            <w:r>
              <w:rPr>
                <w:rFonts w:ascii="Times New Roman" w:hAnsi="Times New Roman"/>
                <w:noProof/>
                <w:sz w:val="20"/>
                <w:vertAlign w:val="superscript"/>
              </w:rPr>
              <w:t xml:space="preserve"> 2</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260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260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Contributions 2016 reçues en 2015</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-307</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-307</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 xml:space="preserve">Recouvrements, intérêts et </w:t>
            </w:r>
            <w:r>
              <w:rPr>
                <w:rFonts w:ascii="Times New Roman" w:hAnsi="Times New Roman"/>
                <w:noProof/>
                <w:sz w:val="20"/>
              </w:rPr>
              <w:t>autres revenus</w:t>
            </w:r>
          </w:p>
        </w:tc>
        <w:tc>
          <w:tcPr>
            <w:tcW w:w="138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Total des paiements</w:t>
            </w:r>
            <w:r>
              <w:rPr>
                <w:rFonts w:ascii="Times New Roman" w:hAnsi="Times New Roman"/>
                <w:noProof/>
                <w:sz w:val="20"/>
                <w:vertAlign w:val="superscript"/>
              </w:rPr>
              <w:t xml:space="preserve"> 3</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-3 550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-410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-3 960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-3 751</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-410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-4 161</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single" w:sz="4" w:space="0" w:color="auto"/>
              <w:left w:val="nil"/>
              <w:bottom w:val="single" w:sz="4"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Solde au 31.12.2016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87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w:t>
            </w:r>
            <w:r>
              <w:rPr>
                <w:rFonts w:ascii="Times New Roman" w:hAnsi="Times New Roman"/>
                <w:noProof/>
                <w:sz w:val="20"/>
                <w:vertAlign w:val="superscript"/>
              </w:rPr>
              <w:t>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202</w:t>
            </w:r>
          </w:p>
        </w:tc>
      </w:tr>
      <w:tr w:rsidR="00E4299D">
        <w:trPr>
          <w:trHeight w:val="222"/>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2017</w:t>
            </w:r>
          </w:p>
        </w:tc>
        <w:tc>
          <w:tcPr>
            <w:tcW w:w="40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color w:val="FF0000"/>
                <w:sz w:val="20"/>
                <w:szCs w:val="20"/>
              </w:rPr>
            </w:pPr>
            <w:r>
              <w:rPr>
                <w:rFonts w:ascii="Times New Roman" w:hAnsi="Times New Roman"/>
                <w:noProof/>
                <w:color w:val="FF0000"/>
                <w:sz w:val="20"/>
              </w:rPr>
              <w:t>Contributions des États membres pour 2017:</w:t>
            </w:r>
          </w:p>
        </w:tc>
        <w:tc>
          <w:tcPr>
            <w:tcW w:w="138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3 950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4 150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3 850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4 000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Remboursements</w:t>
            </w:r>
            <w:r>
              <w:rPr>
                <w:rFonts w:ascii="Times New Roman" w:hAnsi="Times New Roman"/>
                <w:noProof/>
                <w:sz w:val="20"/>
                <w:vertAlign w:val="superscript"/>
              </w:rPr>
              <w:t xml:space="preserve"> 2</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300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Recouvrements, intérêts et autres</w:t>
            </w:r>
          </w:p>
        </w:tc>
        <w:tc>
          <w:tcPr>
            <w:tcW w:w="138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nil"/>
              <w:left w:val="nil"/>
              <w:bottom w:val="nil"/>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noProof/>
                <w:sz w:val="20"/>
                <w:szCs w:val="20"/>
              </w:rPr>
            </w:pPr>
            <w:r>
              <w:rPr>
                <w:rFonts w:ascii="Times New Roman" w:hAnsi="Times New Roman"/>
                <w:noProof/>
                <w:sz w:val="20"/>
              </w:rPr>
              <w:t>Total des paiements</w:t>
            </w:r>
            <w:r>
              <w:rPr>
                <w:rFonts w:ascii="Times New Roman" w:hAnsi="Times New Roman"/>
                <w:noProof/>
                <w:sz w:val="20"/>
                <w:vertAlign w:val="superscript"/>
              </w:rPr>
              <w:t xml:space="preserve"> 3</w:t>
            </w:r>
          </w:p>
        </w:tc>
        <w:tc>
          <w:tcPr>
            <w:tcW w:w="138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-3 900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-460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-4 360</w:t>
            </w:r>
          </w:p>
        </w:tc>
        <w:tc>
          <w:tcPr>
            <w:tcW w:w="146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-3 900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-460</w:t>
            </w:r>
          </w:p>
        </w:tc>
        <w:tc>
          <w:tcPr>
            <w:tcW w:w="1120" w:type="dxa"/>
            <w:tcBorders>
              <w:top w:val="nil"/>
              <w:left w:val="nil"/>
              <w:bottom w:val="nil"/>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-4 360</w:t>
            </w:r>
          </w:p>
        </w:tc>
      </w:tr>
      <w:tr w:rsidR="00E4299D">
        <w:trPr>
          <w:trHeight w:val="222"/>
        </w:trPr>
        <w:tc>
          <w:tcPr>
            <w:tcW w:w="640" w:type="dxa"/>
            <w:vMerge/>
            <w:tcBorders>
              <w:top w:val="nil"/>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20"/>
                <w:szCs w:val="20"/>
              </w:rPr>
            </w:pPr>
          </w:p>
        </w:tc>
        <w:tc>
          <w:tcPr>
            <w:tcW w:w="4000" w:type="dxa"/>
            <w:tcBorders>
              <w:top w:val="single" w:sz="4" w:space="0" w:color="auto"/>
              <w:left w:val="nil"/>
              <w:bottom w:val="single" w:sz="4" w:space="0" w:color="auto"/>
              <w:right w:val="nil"/>
            </w:tcBorders>
            <w:shd w:val="clear" w:color="auto" w:fill="auto"/>
            <w:noWrap/>
            <w:vAlign w:val="bottom"/>
            <w:hideMark/>
          </w:tcPr>
          <w:p w:rsidR="00E4299D" w:rsidRDefault="00344DB1">
            <w:pPr>
              <w:spacing w:after="0" w:line="240" w:lineRule="auto"/>
              <w:rPr>
                <w:rFonts w:ascii="Times New Roman" w:eastAsia="Times New Roman" w:hAnsi="Times New Roman" w:cs="Times New Roman"/>
                <w:b/>
                <w:bCs/>
                <w:noProof/>
                <w:sz w:val="20"/>
                <w:szCs w:val="20"/>
              </w:rPr>
            </w:pPr>
            <w:r>
              <w:rPr>
                <w:rFonts w:ascii="Times New Roman" w:hAnsi="Times New Roman"/>
                <w:b/>
                <w:noProof/>
                <w:sz w:val="20"/>
              </w:rPr>
              <w:t>Solde au 31.12.2017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187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w:t>
            </w:r>
            <w:r>
              <w:rPr>
                <w:rFonts w:ascii="Times New Roman" w:hAnsi="Times New Roman"/>
                <w:noProof/>
                <w:sz w:val="20"/>
                <w:vertAlign w:val="superscript"/>
              </w:rPr>
              <w:t>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192</w:t>
            </w:r>
          </w:p>
        </w:tc>
      </w:tr>
      <w:tr w:rsidR="00E4299D">
        <w:trPr>
          <w:trHeight w:val="2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2018</w:t>
            </w:r>
          </w:p>
        </w:tc>
        <w:tc>
          <w:tcPr>
            <w:tcW w:w="4000" w:type="dxa"/>
            <w:tcBorders>
              <w:top w:val="nil"/>
              <w:left w:val="nil"/>
              <w:bottom w:val="single" w:sz="4" w:space="0" w:color="auto"/>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noProof/>
                <w:color w:val="FF0000"/>
                <w:sz w:val="20"/>
                <w:szCs w:val="20"/>
              </w:rPr>
            </w:pPr>
            <w:r>
              <w:rPr>
                <w:rFonts w:ascii="Times New Roman" w:hAnsi="Times New Roman"/>
                <w:noProof/>
                <w:color w:val="FF0000"/>
                <w:sz w:val="20"/>
              </w:rPr>
              <w:t>Contributions des États membres pour 2018</w:t>
            </w:r>
            <w:r>
              <w:rPr>
                <w:rFonts w:ascii="Times New Roman" w:hAnsi="Times New Roman"/>
                <w:noProof/>
                <w:color w:val="FF0000"/>
                <w:sz w:val="20"/>
                <w:vertAlign w:val="superscript"/>
              </w:rPr>
              <w:t xml:space="preserve"> 5</w:t>
            </w:r>
          </w:p>
        </w:tc>
        <w:tc>
          <w:tcPr>
            <w:tcW w:w="138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4 050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4 250</w:t>
            </w:r>
          </w:p>
        </w:tc>
        <w:tc>
          <w:tcPr>
            <w:tcW w:w="146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4 550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4 800</w:t>
            </w:r>
          </w:p>
        </w:tc>
      </w:tr>
      <w:tr w:rsidR="00E4299D">
        <w:trPr>
          <w:trHeight w:val="2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2019</w:t>
            </w:r>
          </w:p>
        </w:tc>
        <w:tc>
          <w:tcPr>
            <w:tcW w:w="4000" w:type="dxa"/>
            <w:tcBorders>
              <w:top w:val="nil"/>
              <w:left w:val="nil"/>
              <w:bottom w:val="single" w:sz="4" w:space="0" w:color="auto"/>
              <w:right w:val="single" w:sz="4" w:space="0" w:color="auto"/>
            </w:tcBorders>
            <w:shd w:val="clear" w:color="auto" w:fill="auto"/>
            <w:vAlign w:val="bottom"/>
            <w:hideMark/>
          </w:tcPr>
          <w:p w:rsidR="00E4299D" w:rsidRDefault="00344DB1">
            <w:pPr>
              <w:spacing w:after="0" w:line="240" w:lineRule="auto"/>
              <w:rPr>
                <w:rFonts w:ascii="Times New Roman" w:eastAsia="Times New Roman" w:hAnsi="Times New Roman" w:cs="Times New Roman"/>
                <w:noProof/>
                <w:color w:val="FF0000"/>
                <w:sz w:val="20"/>
                <w:szCs w:val="20"/>
              </w:rPr>
            </w:pPr>
            <w:r>
              <w:rPr>
                <w:rFonts w:ascii="Times New Roman" w:hAnsi="Times New Roman"/>
                <w:noProof/>
                <w:color w:val="FF0000"/>
                <w:sz w:val="20"/>
              </w:rPr>
              <w:t>Contributions des États membres pour 2019</w:t>
            </w:r>
            <w:r>
              <w:rPr>
                <w:rFonts w:ascii="Times New Roman" w:hAnsi="Times New Roman"/>
                <w:noProof/>
                <w:color w:val="FF0000"/>
                <w:sz w:val="20"/>
                <w:vertAlign w:val="superscript"/>
              </w:rPr>
              <w:t xml:space="preserve"> 5</w:t>
            </w:r>
          </w:p>
        </w:tc>
        <w:tc>
          <w:tcPr>
            <w:tcW w:w="138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4 150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4 450</w:t>
            </w:r>
          </w:p>
        </w:tc>
        <w:tc>
          <w:tcPr>
            <w:tcW w:w="146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4 500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4 800</w:t>
            </w:r>
          </w:p>
        </w:tc>
      </w:tr>
    </w:tbl>
    <w:p w:rsidR="00E4299D" w:rsidRDefault="00344DB1">
      <w:pPr>
        <w:spacing w:after="0" w:line="240" w:lineRule="auto"/>
        <w:ind w:left="851"/>
        <w:rPr>
          <w:rFonts w:ascii="Times New Roman" w:eastAsia="Times New Roman" w:hAnsi="Times New Roman" w:cs="Times New Roman"/>
          <w:noProof/>
          <w:sz w:val="16"/>
          <w:szCs w:val="16"/>
        </w:rPr>
      </w:pPr>
      <w:r>
        <w:rPr>
          <w:rFonts w:ascii="Times New Roman" w:hAnsi="Times New Roman"/>
          <w:noProof/>
          <w:sz w:val="16"/>
        </w:rPr>
        <w:t>1</w:t>
      </w:r>
      <w:r>
        <w:rPr>
          <w:noProof/>
        </w:rPr>
        <w:tab/>
      </w:r>
      <w:r>
        <w:rPr>
          <w:rFonts w:ascii="Times New Roman" w:hAnsi="Times New Roman"/>
          <w:noProof/>
          <w:sz w:val="16"/>
        </w:rPr>
        <w:t>Montants disponibles d’un point de vue opérationnel conformément à la communication de la Commission au Conseil;</w:t>
      </w:r>
      <w:r>
        <w:rPr>
          <w:rFonts w:ascii="Times New Roman" w:eastAsia="Times New Roman" w:hAnsi="Times New Roman" w:cs="Times New Roman"/>
          <w:noProof/>
          <w:sz w:val="16"/>
          <w:szCs w:val="16"/>
        </w:rPr>
        <w:br/>
      </w:r>
      <w:r>
        <w:rPr>
          <w:rFonts w:ascii="Times New Roman" w:hAnsi="Times New Roman"/>
          <w:noProof/>
          <w:sz w:val="16"/>
        </w:rPr>
        <w:t>2</w:t>
      </w:r>
      <w:r>
        <w:rPr>
          <w:noProof/>
        </w:rPr>
        <w:tab/>
      </w:r>
      <w:r>
        <w:rPr>
          <w:rFonts w:ascii="Times New Roman" w:hAnsi="Times New Roman"/>
          <w:noProof/>
          <w:sz w:val="16"/>
        </w:rPr>
        <w:t>Hors frais de gestion de la BEI;</w:t>
      </w:r>
      <w:r>
        <w:rPr>
          <w:rFonts w:ascii="Times New Roman" w:eastAsia="Times New Roman" w:hAnsi="Times New Roman" w:cs="Times New Roman"/>
          <w:noProof/>
          <w:sz w:val="16"/>
          <w:szCs w:val="16"/>
        </w:rPr>
        <w:br/>
      </w:r>
      <w:r>
        <w:rPr>
          <w:rFonts w:ascii="Times New Roman" w:hAnsi="Times New Roman"/>
          <w:noProof/>
          <w:sz w:val="16"/>
        </w:rPr>
        <w:t>3</w:t>
      </w:r>
      <w:r>
        <w:rPr>
          <w:noProof/>
        </w:rPr>
        <w:tab/>
      </w:r>
      <w:r>
        <w:rPr>
          <w:rFonts w:ascii="Times New Roman" w:hAnsi="Times New Roman"/>
          <w:noProof/>
          <w:sz w:val="16"/>
        </w:rPr>
        <w:t>Y compris les bonifications</w:t>
      </w:r>
      <w:r>
        <w:rPr>
          <w:rFonts w:ascii="Times New Roman" w:hAnsi="Times New Roman"/>
          <w:noProof/>
          <w:sz w:val="16"/>
        </w:rPr>
        <w:t xml:space="preserve"> d'intérêt liées aux FED antérieurs;</w:t>
      </w:r>
      <w:r>
        <w:rPr>
          <w:rFonts w:ascii="Times New Roman" w:eastAsia="Times New Roman" w:hAnsi="Times New Roman" w:cs="Times New Roman"/>
          <w:noProof/>
          <w:sz w:val="16"/>
          <w:szCs w:val="16"/>
        </w:rPr>
        <w:br/>
      </w:r>
      <w:r>
        <w:rPr>
          <w:rFonts w:ascii="Times New Roman" w:hAnsi="Times New Roman"/>
          <w:noProof/>
          <w:sz w:val="16"/>
        </w:rPr>
        <w:t>4</w:t>
      </w:r>
      <w:r>
        <w:rPr>
          <w:noProof/>
        </w:rPr>
        <w:tab/>
      </w:r>
      <w:r>
        <w:rPr>
          <w:rFonts w:ascii="Times New Roman" w:hAnsi="Times New Roman"/>
          <w:noProof/>
          <w:sz w:val="16"/>
        </w:rPr>
        <w:t>Ces soldes n'incluent pas: (i) les cofinancements perçus au 31.12.2015, (ii) les recettes bancaires pas encore affectées à une ligne spécifique du FED, (iii) le fonds spécial pour la République démocratique du Congo;</w:t>
      </w:r>
      <w:r>
        <w:rPr>
          <w:rFonts w:ascii="Times New Roman" w:eastAsia="Times New Roman" w:hAnsi="Times New Roman" w:cs="Times New Roman"/>
          <w:noProof/>
          <w:sz w:val="16"/>
          <w:szCs w:val="16"/>
        </w:rPr>
        <w:br/>
      </w:r>
      <w:r>
        <w:rPr>
          <w:rFonts w:ascii="Times New Roman" w:hAnsi="Times New Roman"/>
          <w:noProof/>
          <w:sz w:val="16"/>
        </w:rPr>
        <w:t>5</w:t>
      </w:r>
      <w:r>
        <w:rPr>
          <w:noProof/>
        </w:rPr>
        <w:tab/>
      </w:r>
      <w:r>
        <w:rPr>
          <w:rFonts w:ascii="Times New Roman" w:hAnsi="Times New Roman"/>
          <w:noProof/>
          <w:sz w:val="16"/>
        </w:rPr>
        <w:t>Article 21, paragraphe 2, point d), du règlement financier: prévisions non contraignantes, fondées sur une approche statistique, concernant le montant annuel des contributions escompté pour les exercices n + 3 et n + 4;</w:t>
      </w:r>
      <w:r>
        <w:rPr>
          <w:rFonts w:ascii="Times New Roman" w:eastAsia="Times New Roman" w:hAnsi="Times New Roman" w:cs="Times New Roman"/>
          <w:noProof/>
          <w:sz w:val="16"/>
          <w:szCs w:val="16"/>
        </w:rPr>
        <w:br/>
      </w:r>
      <w:r>
        <w:rPr>
          <w:rFonts w:ascii="Times New Roman" w:hAnsi="Times New Roman"/>
          <w:noProof/>
          <w:sz w:val="16"/>
        </w:rPr>
        <w:lastRenderedPageBreak/>
        <w:t>6</w:t>
      </w:r>
      <w:r>
        <w:rPr>
          <w:noProof/>
        </w:rPr>
        <w:tab/>
      </w:r>
      <w:r>
        <w:rPr>
          <w:rFonts w:ascii="Times New Roman" w:hAnsi="Times New Roman"/>
          <w:noProof/>
          <w:sz w:val="16"/>
        </w:rPr>
        <w:t>Article 21, paragraphe 1: les ap</w:t>
      </w:r>
      <w:r>
        <w:rPr>
          <w:rFonts w:ascii="Times New Roman" w:hAnsi="Times New Roman"/>
          <w:noProof/>
          <w:sz w:val="16"/>
        </w:rPr>
        <w:t>pels de contributions utilisent d'abord les montants prévus dans les FED antérieurs, les uns après les autres. Par conséquent, les appels de contributions au titre du 11</w:t>
      </w:r>
      <w:r>
        <w:rPr>
          <w:rFonts w:ascii="Times New Roman" w:hAnsi="Times New Roman"/>
          <w:noProof/>
          <w:sz w:val="16"/>
          <w:vertAlign w:val="superscript"/>
        </w:rPr>
        <w:t>e</w:t>
      </w:r>
      <w:r>
        <w:rPr>
          <w:rFonts w:ascii="Times New Roman" w:hAnsi="Times New Roman"/>
          <w:noProof/>
          <w:sz w:val="16"/>
        </w:rPr>
        <w:t xml:space="preserve"> FED destinés à financer l’enveloppe de financement avec impact sont encore reportés.</w:t>
      </w:r>
    </w:p>
    <w:p w:rsidR="00E4299D" w:rsidRDefault="00344DB1">
      <w:pPr>
        <w:spacing w:after="0" w:line="240" w:lineRule="auto"/>
        <w:ind w:left="851"/>
        <w:rPr>
          <w:rFonts w:ascii="Times New Roman" w:eastAsia="Times New Roman" w:hAnsi="Times New Roman" w:cs="Times New Roman"/>
          <w:noProof/>
          <w:sz w:val="16"/>
          <w:szCs w:val="16"/>
        </w:rPr>
      </w:pPr>
      <w:r>
        <w:rPr>
          <w:rFonts w:ascii="Times New Roman" w:hAnsi="Times New Roman"/>
          <w:noProof/>
          <w:sz w:val="16"/>
        </w:rPr>
        <w:t>7-8</w:t>
      </w:r>
      <w:r>
        <w:rPr>
          <w:noProof/>
        </w:rPr>
        <w:tab/>
      </w:r>
      <w:r>
        <w:rPr>
          <w:rFonts w:ascii="Times New Roman" w:hAnsi="Times New Roman"/>
          <w:noProof/>
          <w:sz w:val="16"/>
        </w:rPr>
        <w:t>Le solde de trésorerie du FED ne peut jamais être négatif. Tout montant négatif dans le tableau indique une insuffisance de crédits de paiement.</w:t>
      </w:r>
      <w:r>
        <w:rPr>
          <w:rFonts w:ascii="Times New Roman" w:eastAsia="Times New Roman" w:hAnsi="Times New Roman" w:cs="Times New Roman"/>
          <w:noProof/>
          <w:sz w:val="16"/>
          <w:szCs w:val="16"/>
        </w:rPr>
        <w:br/>
      </w:r>
      <w:r>
        <w:rPr>
          <w:rFonts w:ascii="Times New Roman" w:hAnsi="Times New Roman"/>
          <w:noProof/>
          <w:sz w:val="16"/>
        </w:rPr>
        <w:t>* Demande de contributions de l'EIB pour 2018: BEI note explicative du 17.11.2015, MD no: 151/15 ADD 1 ACP</w:t>
      </w:r>
    </w:p>
    <w:p w:rsidR="00E4299D" w:rsidRDefault="00344DB1">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Annexe 4: contributions des États membres pour 2016 (en EUR)</w:t>
      </w:r>
    </w:p>
    <w:tbl>
      <w:tblPr>
        <w:tblW w:w="14340" w:type="dxa"/>
        <w:tblInd w:w="93" w:type="dxa"/>
        <w:tblLook w:val="04A0" w:firstRow="1" w:lastRow="0" w:firstColumn="1" w:lastColumn="0" w:noHBand="0" w:noVBand="1"/>
      </w:tblPr>
      <w:tblGrid>
        <w:gridCol w:w="2115"/>
        <w:gridCol w:w="840"/>
        <w:gridCol w:w="1034"/>
        <w:gridCol w:w="1506"/>
        <w:gridCol w:w="1229"/>
        <w:gridCol w:w="1371"/>
        <w:gridCol w:w="1171"/>
        <w:gridCol w:w="1269"/>
        <w:gridCol w:w="1260"/>
        <w:gridCol w:w="1380"/>
        <w:gridCol w:w="1480"/>
      </w:tblGrid>
      <w:tr w:rsidR="00E4299D">
        <w:trPr>
          <w:trHeight w:val="282"/>
        </w:trPr>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10</w:t>
            </w:r>
            <w:r>
              <w:rPr>
                <w:rFonts w:ascii="Times New Roman" w:hAnsi="Times New Roman"/>
                <w:b/>
                <w:noProof/>
                <w:sz w:val="16"/>
                <w:vertAlign w:val="superscript"/>
              </w:rPr>
              <w:t>e</w:t>
            </w:r>
            <w:r>
              <w:rPr>
                <w:rFonts w:ascii="Times New Roman" w:hAnsi="Times New Roman"/>
                <w:b/>
                <w:noProof/>
                <w:sz w:val="16"/>
              </w:rPr>
              <w:t xml:space="preserve"> FED %</w:t>
            </w:r>
          </w:p>
        </w:tc>
        <w:tc>
          <w:tcPr>
            <w:tcW w:w="2540" w:type="dxa"/>
            <w:gridSpan w:val="2"/>
            <w:tcBorders>
              <w:top w:val="single" w:sz="4" w:space="0" w:color="auto"/>
              <w:left w:val="nil"/>
              <w:bottom w:val="single" w:sz="4" w:space="0" w:color="000000"/>
              <w:right w:val="single" w:sz="4" w:space="0" w:color="auto"/>
            </w:tcBorders>
            <w:shd w:val="clear" w:color="auto" w:fill="auto"/>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w:t>
            </w:r>
            <w:r>
              <w:rPr>
                <w:rFonts w:ascii="Times New Roman" w:hAnsi="Times New Roman"/>
                <w:b/>
                <w:noProof/>
                <w:sz w:val="16"/>
                <w:vertAlign w:val="superscript"/>
              </w:rPr>
              <w:t>e</w:t>
            </w:r>
            <w:r>
              <w:rPr>
                <w:rFonts w:ascii="Times New Roman" w:hAnsi="Times New Roman"/>
                <w:b/>
                <w:noProof/>
                <w:sz w:val="16"/>
              </w:rPr>
              <w:t xml:space="preserve"> tranche</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w:t>
            </w:r>
            <w:r>
              <w:rPr>
                <w:rFonts w:ascii="Times New Roman" w:hAnsi="Times New Roman"/>
                <w:b/>
                <w:noProof/>
                <w:sz w:val="16"/>
                <w:vertAlign w:val="superscript"/>
              </w:rPr>
              <w:t>e</w:t>
            </w:r>
            <w:r>
              <w:rPr>
                <w:rFonts w:ascii="Times New Roman" w:hAnsi="Times New Roman"/>
                <w:b/>
                <w:noProof/>
                <w:sz w:val="16"/>
              </w:rPr>
              <w:t xml:space="preserve"> tranche</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 xml:space="preserve"> 3</w:t>
            </w:r>
            <w:r>
              <w:rPr>
                <w:rFonts w:ascii="Times New Roman" w:hAnsi="Times New Roman"/>
                <w:b/>
                <w:noProof/>
                <w:sz w:val="16"/>
                <w:vertAlign w:val="superscript"/>
              </w:rPr>
              <w:t>e</w:t>
            </w:r>
            <w:r>
              <w:rPr>
                <w:rFonts w:ascii="Times New Roman" w:hAnsi="Times New Roman"/>
                <w:b/>
                <w:noProof/>
                <w:sz w:val="16"/>
              </w:rPr>
              <w:t xml:space="preserve"> tranche</w:t>
            </w:r>
          </w:p>
        </w:tc>
        <w:tc>
          <w:tcPr>
            <w:tcW w:w="1260" w:type="dxa"/>
            <w:vMerge w:val="restart"/>
            <w:tcBorders>
              <w:top w:val="single" w:sz="4" w:space="0" w:color="auto"/>
              <w:left w:val="nil"/>
              <w:bottom w:val="single" w:sz="4" w:space="0" w:color="auto"/>
              <w:right w:val="nil"/>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BEI</w:t>
            </w:r>
          </w:p>
        </w:tc>
        <w:tc>
          <w:tcPr>
            <w:tcW w:w="1380" w:type="dxa"/>
            <w:vMerge w:val="restart"/>
            <w:tcBorders>
              <w:top w:val="single" w:sz="4" w:space="0" w:color="auto"/>
              <w:left w:val="single" w:sz="4" w:space="0" w:color="auto"/>
              <w:bottom w:val="nil"/>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Commission</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Total 2016</w:t>
            </w:r>
          </w:p>
        </w:tc>
      </w:tr>
      <w:tr w:rsidR="00E4299D">
        <w:trPr>
          <w:trHeight w:val="225"/>
        </w:trPr>
        <w:tc>
          <w:tcPr>
            <w:tcW w:w="180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rPr>
              <w:t>versée à la</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rPr>
              <w:t>versée à la</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rPr>
              <w:t>versée à la</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rPr>
              <w:t>versée à la</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rPr>
              <w:t>versée à la</w:t>
            </w:r>
          </w:p>
        </w:tc>
        <w:tc>
          <w:tcPr>
            <w:tcW w:w="126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rPr>
              <w:t>versée à la</w:t>
            </w:r>
          </w:p>
        </w:tc>
        <w:tc>
          <w:tcPr>
            <w:tcW w:w="1260" w:type="dxa"/>
            <w:vMerge/>
            <w:tcBorders>
              <w:top w:val="single" w:sz="4" w:space="0" w:color="auto"/>
              <w:left w:val="nil"/>
              <w:bottom w:val="single" w:sz="4" w:space="0" w:color="auto"/>
              <w:right w:val="nil"/>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380" w:type="dxa"/>
            <w:vMerge/>
            <w:tcBorders>
              <w:top w:val="single" w:sz="4" w:space="0" w:color="auto"/>
              <w:left w:val="single" w:sz="4" w:space="0" w:color="auto"/>
              <w:bottom w:val="nil"/>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r>
      <w:tr w:rsidR="00E4299D">
        <w:trPr>
          <w:trHeight w:val="225"/>
        </w:trPr>
        <w:tc>
          <w:tcPr>
            <w:tcW w:w="180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w:t>
            </w:r>
          </w:p>
        </w:tc>
        <w:tc>
          <w:tcPr>
            <w:tcW w:w="126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w:t>
            </w:r>
          </w:p>
        </w:tc>
        <w:tc>
          <w:tcPr>
            <w:tcW w:w="1260" w:type="dxa"/>
            <w:vMerge/>
            <w:tcBorders>
              <w:top w:val="single" w:sz="4" w:space="0" w:color="auto"/>
              <w:left w:val="nil"/>
              <w:bottom w:val="single" w:sz="4" w:space="0" w:color="auto"/>
              <w:right w:val="nil"/>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380" w:type="dxa"/>
            <w:vMerge/>
            <w:tcBorders>
              <w:top w:val="single" w:sz="4" w:space="0" w:color="auto"/>
              <w:left w:val="single" w:sz="4" w:space="0" w:color="auto"/>
              <w:bottom w:val="nil"/>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r>
      <w:tr w:rsidR="00E4299D">
        <w:trPr>
          <w:trHeight w:val="225"/>
        </w:trPr>
        <w:tc>
          <w:tcPr>
            <w:tcW w:w="180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034"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1506"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1229"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1371"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1171"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1269" w:type="dxa"/>
            <w:tcBorders>
              <w:top w:val="nil"/>
              <w:left w:val="nil"/>
              <w:bottom w:val="single" w:sz="4" w:space="0" w:color="auto"/>
              <w:right w:val="single" w:sz="4" w:space="0" w:color="auto"/>
            </w:tcBorders>
            <w:shd w:val="clear" w:color="auto" w:fill="auto"/>
            <w:noWrap/>
            <w:vAlign w:val="bottom"/>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10</w:t>
            </w:r>
            <w:r>
              <w:rPr>
                <w:rFonts w:ascii="Times New Roman" w:hAnsi="Times New Roman"/>
                <w:b/>
                <w:noProof/>
                <w:sz w:val="16"/>
                <w:vertAlign w:val="superscript"/>
              </w:rPr>
              <w:t>e</w:t>
            </w:r>
            <w:r>
              <w:rPr>
                <w:rFonts w:ascii="Times New Roman" w:hAnsi="Times New Roman"/>
                <w:b/>
                <w:noProof/>
                <w:sz w:val="16"/>
              </w:rPr>
              <w:t xml:space="preserve"> FED</w:t>
            </w:r>
          </w:p>
        </w:tc>
        <w:tc>
          <w:tcPr>
            <w:tcW w:w="1260" w:type="dxa"/>
            <w:vMerge/>
            <w:tcBorders>
              <w:top w:val="single" w:sz="4" w:space="0" w:color="auto"/>
              <w:left w:val="nil"/>
              <w:bottom w:val="single" w:sz="4" w:space="0" w:color="auto"/>
              <w:right w:val="nil"/>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380" w:type="dxa"/>
            <w:vMerge/>
            <w:tcBorders>
              <w:top w:val="single" w:sz="4" w:space="0" w:color="auto"/>
              <w:left w:val="single" w:sz="4" w:space="0" w:color="auto"/>
              <w:bottom w:val="nil"/>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4299D" w:rsidRDefault="00E4299D">
            <w:pPr>
              <w:spacing w:after="0" w:line="240" w:lineRule="auto"/>
              <w:rPr>
                <w:rFonts w:ascii="Times New Roman" w:eastAsia="Times New Roman" w:hAnsi="Times New Roman" w:cs="Times New Roman"/>
                <w:b/>
                <w:bCs/>
                <w:noProof/>
                <w:sz w:val="16"/>
                <w:szCs w:val="16"/>
              </w:rPr>
            </w:pP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AUTRICHE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2,41</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42 175 000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24 100 000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1 205 000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16 870 000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3 615 000</w:t>
            </w:r>
          </w:p>
        </w:tc>
        <w:tc>
          <w:tcPr>
            <w:tcW w:w="1380" w:type="dxa"/>
            <w:tcBorders>
              <w:top w:val="single" w:sz="4" w:space="0" w:color="auto"/>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83 145 000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86 760 000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BELGIQUE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3,53</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61 775 000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3 530 000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35 300 000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1 765 000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24 710 000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121 785 000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127 080 000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BULGARIE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0,14</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2 450 000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980 000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4 830 000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5 040 000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CHYPRE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0,09</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3 105 000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3 240 000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RÉPUBLIQUE TCHÈQUE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0,51</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8 925 000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3 570 000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17 595 000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18 360 000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DANEMARK</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2,00</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35 000 000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2 000 000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20 000 000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1 000 000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14 000 000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3 000 000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69 000 000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72 000 000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ESTONIE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0,05</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1 800 000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FINLANDE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1,47</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25 725 000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14 700 000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10 290 000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50 715 000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52 920 000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FRANCE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19,55</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342 125 000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19 550 000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195 500 000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9 775 000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136 850 000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29 325 000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674 475 000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703 800 000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ALLEMAGNE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20,50</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358 750 000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20 500 000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205 000 000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10 250 000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143 500 000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30 750 000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707 250 000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738 000 000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GRÈCE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1,47</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25 725 000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14 700 000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735 000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10 290 000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50 715 000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52 920 000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HONGRIE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0,55</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9 625 000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5 500 000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3 850 000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18 975 000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19 800 000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IRLANDE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0,91</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15 925 000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9 100 000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6 370 000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31 395 000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32 760 000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ITALIE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12,86</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225 050 000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12 860 000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128 600 000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6 430 000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90 020 000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19 290 000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443 670 000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462 960 000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LETTONIE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0,07</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490 000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2 520 000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LITUANIE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0,12</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2 100 000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4 140 000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4 320 000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LUXEMBOURG</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0,27</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4 725 000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1 890 000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9 315 000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9 720 000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MALTE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0,03</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1 035 000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1 080 000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PAYS-BAS</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4,85</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84 875 000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4 850 000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48 500 000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2 425 000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33 950 000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7 275 000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167 325 000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174 600 000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POLOGNE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1,30</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22 750 000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1 300 000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13 000 000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650 000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9 100 000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44 850 000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46 800 000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PORTUGAL</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1,15</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20 125 000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1 150 000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11 500 000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8 050 000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39 675 000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41 400 000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ROUMANIE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0,37</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6 475 000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2 590 000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12 765 000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13 320 000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SLOVAQUIE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0,21</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1 470 000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7 245 000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7 560 000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SLOVÉNIE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0,18</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3 150 000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1 800 000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1 260 000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6 210 000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6 480 000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ESPAGNE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7,85</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137 375 000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7 850 000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78 500 000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3 925 000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54 950 000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11 775 000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270 825 000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282 600 000</w:t>
            </w:r>
          </w:p>
        </w:tc>
      </w:tr>
      <w:tr w:rsidR="00E4299D">
        <w:trPr>
          <w:trHeight w:val="259"/>
        </w:trPr>
        <w:tc>
          <w:tcPr>
            <w:tcW w:w="1800" w:type="dxa"/>
            <w:tcBorders>
              <w:top w:val="nil"/>
              <w:left w:val="single" w:sz="4" w:space="0" w:color="auto"/>
              <w:bottom w:val="nil"/>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SUÈDE</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2,74</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47 950 000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2 740 000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27 400 000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1 370 000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19 180 000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4 110 000</w:t>
            </w:r>
          </w:p>
        </w:tc>
        <w:tc>
          <w:tcPr>
            <w:tcW w:w="1380" w:type="dxa"/>
            <w:tcBorders>
              <w:top w:val="nil"/>
              <w:left w:val="single" w:sz="4" w:space="0" w:color="auto"/>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94 530 000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98 640 000</w:t>
            </w:r>
          </w:p>
        </w:tc>
      </w:tr>
      <w:tr w:rsidR="00E4299D">
        <w:trPr>
          <w:trHeight w:val="259"/>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lastRenderedPageBreak/>
              <w:t>ROYAUME-UNI</w:t>
            </w:r>
          </w:p>
        </w:tc>
        <w:tc>
          <w:tcPr>
            <w:tcW w:w="840" w:type="dxa"/>
            <w:tcBorders>
              <w:top w:val="nil"/>
              <w:left w:val="nil"/>
              <w:bottom w:val="nil"/>
              <w:right w:val="single" w:sz="4" w:space="0" w:color="auto"/>
            </w:tcBorders>
            <w:shd w:val="clear" w:color="000000" w:fill="C0C0C0"/>
            <w:noWrap/>
            <w:vAlign w:val="center"/>
            <w:hideMark/>
          </w:tcPr>
          <w:p w:rsidR="00E4299D" w:rsidRDefault="00344DB1">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rPr>
              <w:t>14,82</w:t>
            </w:r>
          </w:p>
        </w:tc>
        <w:tc>
          <w:tcPr>
            <w:tcW w:w="1034"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506"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259 350 000</w:t>
            </w:r>
          </w:p>
        </w:tc>
        <w:tc>
          <w:tcPr>
            <w:tcW w:w="1229"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14 820 000</w:t>
            </w:r>
          </w:p>
        </w:tc>
        <w:tc>
          <w:tcPr>
            <w:tcW w:w="13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148 200 000</w:t>
            </w:r>
          </w:p>
        </w:tc>
        <w:tc>
          <w:tcPr>
            <w:tcW w:w="1171"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7 410 000</w:t>
            </w:r>
          </w:p>
        </w:tc>
        <w:tc>
          <w:tcPr>
            <w:tcW w:w="1269" w:type="dxa"/>
            <w:tcBorders>
              <w:top w:val="nil"/>
              <w:left w:val="nil"/>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103 740 000</w:t>
            </w:r>
          </w:p>
        </w:tc>
        <w:tc>
          <w:tcPr>
            <w:tcW w:w="1260" w:type="dxa"/>
            <w:tcBorders>
              <w:top w:val="nil"/>
              <w:left w:val="single" w:sz="4" w:space="0" w:color="auto"/>
              <w:bottom w:val="nil"/>
              <w:right w:val="nil"/>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22 230 000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511 290 000</w:t>
            </w:r>
          </w:p>
        </w:tc>
        <w:tc>
          <w:tcPr>
            <w:tcW w:w="1480" w:type="dxa"/>
            <w:tcBorders>
              <w:top w:val="nil"/>
              <w:left w:val="nil"/>
              <w:bottom w:val="nil"/>
              <w:right w:val="single" w:sz="4" w:space="0" w:color="auto"/>
            </w:tcBorders>
            <w:shd w:val="clear" w:color="auto" w:fill="auto"/>
            <w:noWrap/>
            <w:vAlign w:val="bottom"/>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533 520 000</w:t>
            </w:r>
          </w:p>
        </w:tc>
      </w:tr>
      <w:tr w:rsidR="00E4299D">
        <w:trPr>
          <w:trHeight w:val="28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w:t>
            </w:r>
            <w:r>
              <w:rPr>
                <w:noProof/>
              </w:rPr>
              <w:noBreakHyphen/>
            </w:r>
            <w:r>
              <w:rPr>
                <w:rFonts w:ascii="Times New Roman" w:hAnsi="Times New Roman"/>
                <w:b/>
                <w:noProof/>
                <w:sz w:val="16"/>
              </w:rPr>
              <w:t>27</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100,00</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0</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1 750 000 000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100 000 000</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1 000 000 000</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50 000 000</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700 000 000</w:t>
            </w:r>
          </w:p>
        </w:tc>
        <w:tc>
          <w:tcPr>
            <w:tcW w:w="1260" w:type="dxa"/>
            <w:tcBorders>
              <w:top w:val="single" w:sz="4" w:space="0" w:color="auto"/>
              <w:left w:val="nil"/>
              <w:bottom w:val="single" w:sz="4" w:space="0" w:color="auto"/>
              <w:right w:val="nil"/>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150 000 000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3 450 000 000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3 600 000 000</w:t>
            </w:r>
          </w:p>
        </w:tc>
      </w:tr>
    </w:tbl>
    <w:p w:rsidR="00E4299D" w:rsidRDefault="00344DB1">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Annexe 5: contributions des États membres pour la période 2016</w:t>
      </w:r>
      <w:r>
        <w:rPr>
          <w:noProof/>
        </w:rPr>
        <w:noBreakHyphen/>
      </w:r>
      <w:r>
        <w:rPr>
          <w:rFonts w:ascii="Times New Roman" w:hAnsi="Times New Roman"/>
          <w:b/>
          <w:noProof/>
          <w:sz w:val="24"/>
        </w:rPr>
        <w:t>2019 (en EUR)</w:t>
      </w:r>
    </w:p>
    <w:tbl>
      <w:tblPr>
        <w:tblW w:w="14752" w:type="dxa"/>
        <w:tblInd w:w="98" w:type="dxa"/>
        <w:tblLook w:val="04A0" w:firstRow="1" w:lastRow="0" w:firstColumn="1" w:lastColumn="0" w:noHBand="0" w:noVBand="1"/>
      </w:tblPr>
      <w:tblGrid>
        <w:gridCol w:w="1999"/>
        <w:gridCol w:w="886"/>
        <w:gridCol w:w="741"/>
        <w:gridCol w:w="1021"/>
        <w:gridCol w:w="1305"/>
        <w:gridCol w:w="919"/>
        <w:gridCol w:w="1305"/>
        <w:gridCol w:w="1305"/>
        <w:gridCol w:w="1003"/>
        <w:gridCol w:w="1305"/>
        <w:gridCol w:w="967"/>
        <w:gridCol w:w="1305"/>
        <w:gridCol w:w="957"/>
      </w:tblGrid>
      <w:tr w:rsidR="00E4299D">
        <w:trPr>
          <w:trHeight w:val="270"/>
        </w:trPr>
        <w:tc>
          <w:tcPr>
            <w:tcW w:w="1943" w:type="dxa"/>
            <w:tcBorders>
              <w:top w:val="single" w:sz="8" w:space="0" w:color="auto"/>
              <w:left w:val="single" w:sz="8" w:space="0" w:color="auto"/>
              <w:bottom w:val="nil"/>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ÉTATS MEMBRES</w:t>
            </w:r>
          </w:p>
        </w:tc>
        <w:tc>
          <w:tcPr>
            <w:tcW w:w="886" w:type="dxa"/>
            <w:tcBorders>
              <w:top w:val="single" w:sz="8" w:space="0" w:color="auto"/>
              <w:left w:val="nil"/>
              <w:bottom w:val="nil"/>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10</w:t>
            </w:r>
            <w:r>
              <w:rPr>
                <w:rFonts w:ascii="Times New Roman" w:hAnsi="Times New Roman"/>
                <w:b/>
                <w:noProof/>
                <w:sz w:val="16"/>
                <w:vertAlign w:val="superscript"/>
              </w:rPr>
              <w:t>e</w:t>
            </w:r>
          </w:p>
        </w:tc>
        <w:tc>
          <w:tcPr>
            <w:tcW w:w="731" w:type="dxa"/>
            <w:tcBorders>
              <w:top w:val="single" w:sz="8" w:space="0" w:color="auto"/>
              <w:left w:val="nil"/>
              <w:bottom w:val="nil"/>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Clé 11</w:t>
            </w:r>
            <w:r>
              <w:rPr>
                <w:rFonts w:ascii="Times New Roman" w:hAnsi="Times New Roman"/>
                <w:b/>
                <w:noProof/>
                <w:sz w:val="16"/>
                <w:vertAlign w:val="superscript"/>
              </w:rPr>
              <w:t>e</w:t>
            </w:r>
          </w:p>
        </w:tc>
        <w:tc>
          <w:tcPr>
            <w:tcW w:w="3185"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2016</w:t>
            </w:r>
          </w:p>
        </w:tc>
        <w:tc>
          <w:tcPr>
            <w:tcW w:w="3543"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2017</w:t>
            </w:r>
          </w:p>
        </w:tc>
        <w:tc>
          <w:tcPr>
            <w:tcW w:w="223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2018</w:t>
            </w:r>
          </w:p>
        </w:tc>
        <w:tc>
          <w:tcPr>
            <w:tcW w:w="222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2019</w:t>
            </w:r>
          </w:p>
        </w:tc>
      </w:tr>
      <w:tr w:rsidR="00E4299D">
        <w:trPr>
          <w:trHeight w:val="270"/>
        </w:trPr>
        <w:tc>
          <w:tcPr>
            <w:tcW w:w="1943" w:type="dxa"/>
            <w:tcBorders>
              <w:top w:val="nil"/>
              <w:left w:val="single" w:sz="8" w:space="0" w:color="auto"/>
              <w:bottom w:val="nil"/>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 </w:t>
            </w:r>
          </w:p>
        </w:tc>
        <w:tc>
          <w:tcPr>
            <w:tcW w:w="886" w:type="dxa"/>
            <w:tcBorders>
              <w:top w:val="dashed" w:sz="4" w:space="0" w:color="auto"/>
              <w:left w:val="nil"/>
              <w:bottom w:val="single" w:sz="4" w:space="0" w:color="auto"/>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 %</w:t>
            </w:r>
          </w:p>
        </w:tc>
        <w:tc>
          <w:tcPr>
            <w:tcW w:w="731" w:type="dxa"/>
            <w:tcBorders>
              <w:top w:val="dashed" w:sz="4" w:space="0" w:color="auto"/>
              <w:left w:val="nil"/>
              <w:bottom w:val="single" w:sz="4" w:space="0" w:color="auto"/>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FED %</w:t>
            </w:r>
          </w:p>
        </w:tc>
        <w:tc>
          <w:tcPr>
            <w:tcW w:w="996" w:type="dxa"/>
            <w:tcBorders>
              <w:top w:val="nil"/>
              <w:left w:val="nil"/>
              <w:bottom w:val="single" w:sz="8" w:space="0" w:color="auto"/>
              <w:right w:val="nil"/>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Transition</w:t>
            </w:r>
          </w:p>
        </w:tc>
        <w:tc>
          <w:tcPr>
            <w:tcW w:w="1270" w:type="dxa"/>
            <w:tcBorders>
              <w:top w:val="nil"/>
              <w:left w:val="single" w:sz="8" w:space="0" w:color="auto"/>
              <w:bottom w:val="single" w:sz="8" w:space="0" w:color="auto"/>
              <w:right w:val="single" w:sz="4" w:space="0" w:color="auto"/>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 10</w:t>
            </w:r>
            <w:r>
              <w:rPr>
                <w:rFonts w:ascii="Times New Roman" w:hAnsi="Times New Roman"/>
                <w:b/>
                <w:noProof/>
                <w:sz w:val="16"/>
                <w:vertAlign w:val="superscript"/>
              </w:rPr>
              <w:t>e</w:t>
            </w:r>
          </w:p>
        </w:tc>
        <w:tc>
          <w:tcPr>
            <w:tcW w:w="919" w:type="dxa"/>
            <w:tcBorders>
              <w:top w:val="nil"/>
              <w:left w:val="nil"/>
              <w:bottom w:val="single" w:sz="8" w:space="0" w:color="auto"/>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1270" w:type="dxa"/>
            <w:tcBorders>
              <w:top w:val="nil"/>
              <w:left w:val="nil"/>
              <w:bottom w:val="single" w:sz="8" w:space="0" w:color="auto"/>
              <w:right w:val="nil"/>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 10</w:t>
            </w:r>
            <w:r>
              <w:rPr>
                <w:rFonts w:ascii="Times New Roman" w:hAnsi="Times New Roman"/>
                <w:b/>
                <w:noProof/>
                <w:sz w:val="16"/>
                <w:vertAlign w:val="superscript"/>
              </w:rPr>
              <w:t>e</w:t>
            </w:r>
          </w:p>
        </w:tc>
        <w:tc>
          <w:tcPr>
            <w:tcW w:w="1270" w:type="dxa"/>
            <w:tcBorders>
              <w:top w:val="nil"/>
              <w:left w:val="single" w:sz="4" w:space="0" w:color="auto"/>
              <w:bottom w:val="single" w:sz="8" w:space="0" w:color="auto"/>
              <w:right w:val="single" w:sz="4"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 11</w:t>
            </w:r>
            <w:r>
              <w:rPr>
                <w:rFonts w:ascii="Times New Roman" w:hAnsi="Times New Roman"/>
                <w:b/>
                <w:noProof/>
                <w:sz w:val="16"/>
                <w:vertAlign w:val="superscript"/>
              </w:rPr>
              <w:t>e</w:t>
            </w:r>
          </w:p>
        </w:tc>
        <w:tc>
          <w:tcPr>
            <w:tcW w:w="1003" w:type="dxa"/>
            <w:tcBorders>
              <w:top w:val="nil"/>
              <w:left w:val="nil"/>
              <w:bottom w:val="single" w:sz="8" w:space="0" w:color="auto"/>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1270" w:type="dxa"/>
            <w:tcBorders>
              <w:top w:val="nil"/>
              <w:left w:val="nil"/>
              <w:bottom w:val="single" w:sz="8" w:space="0" w:color="auto"/>
              <w:right w:val="single" w:sz="4" w:space="0" w:color="auto"/>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 11</w:t>
            </w:r>
            <w:r>
              <w:rPr>
                <w:rFonts w:ascii="Times New Roman" w:hAnsi="Times New Roman"/>
                <w:b/>
                <w:noProof/>
                <w:sz w:val="16"/>
                <w:vertAlign w:val="superscript"/>
              </w:rPr>
              <w:t>e</w:t>
            </w:r>
          </w:p>
        </w:tc>
        <w:tc>
          <w:tcPr>
            <w:tcW w:w="967" w:type="dxa"/>
            <w:tcBorders>
              <w:top w:val="nil"/>
              <w:left w:val="nil"/>
              <w:bottom w:val="single" w:sz="8" w:space="0" w:color="auto"/>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c>
          <w:tcPr>
            <w:tcW w:w="1270" w:type="dxa"/>
            <w:tcBorders>
              <w:top w:val="nil"/>
              <w:left w:val="nil"/>
              <w:bottom w:val="single" w:sz="8" w:space="0" w:color="auto"/>
              <w:right w:val="single" w:sz="4" w:space="0" w:color="auto"/>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Commission 11</w:t>
            </w:r>
            <w:r>
              <w:rPr>
                <w:rFonts w:ascii="Times New Roman" w:hAnsi="Times New Roman"/>
                <w:b/>
                <w:noProof/>
                <w:sz w:val="16"/>
                <w:vertAlign w:val="superscript"/>
              </w:rPr>
              <w:t>e</w:t>
            </w:r>
          </w:p>
        </w:tc>
        <w:tc>
          <w:tcPr>
            <w:tcW w:w="957" w:type="dxa"/>
            <w:tcBorders>
              <w:top w:val="nil"/>
              <w:left w:val="nil"/>
              <w:bottom w:val="single" w:sz="8" w:space="0" w:color="auto"/>
              <w:right w:val="single" w:sz="8" w:space="0" w:color="auto"/>
            </w:tcBorders>
            <w:shd w:val="clear" w:color="000000" w:fill="FFFFFF"/>
            <w:vAlign w:val="center"/>
            <w:hideMark/>
          </w:tcPr>
          <w:p w:rsidR="00E4299D" w:rsidRDefault="00344DB1">
            <w:pPr>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rPr>
              <w:t>BEI 10</w:t>
            </w:r>
            <w:r>
              <w:rPr>
                <w:rFonts w:ascii="Times New Roman" w:hAnsi="Times New Roman"/>
                <w:b/>
                <w:noProof/>
                <w:sz w:val="16"/>
                <w:vertAlign w:val="superscript"/>
              </w:rPr>
              <w:t>e</w:t>
            </w:r>
          </w:p>
        </w:tc>
      </w:tr>
      <w:tr w:rsidR="00E4299D">
        <w:trPr>
          <w:trHeight w:val="255"/>
        </w:trPr>
        <w:tc>
          <w:tcPr>
            <w:tcW w:w="1943" w:type="dxa"/>
            <w:tcBorders>
              <w:top w:val="single" w:sz="4" w:space="0" w:color="auto"/>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AUTRICHE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2,41</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2,39757</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-3 366 234,92</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83 145 000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42 735 782</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49 791 080</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3 615 000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109 089 435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107 890 650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7 230 000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BELGIQUE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3,53</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3,24927</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-5 470 131,74</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121 785 000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62 596 394</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67 478 599</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147 841 785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8 825 000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146 217 150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10 590 000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BULGARIE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0,14</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0,21853</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1 963 637,04</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4 830 000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2 482 577</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4 538 280</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9 943 115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9 833 850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CHYPRE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0,09</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0,11162</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1 262 338,09</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3 105 000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1 595 942</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2 318 047</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5 078 710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5 022 900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RÉPUBLIQUE TCHÈQUE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0,51</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0,79745</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7 153 249,20</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17 595 000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9 043 672</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16 560 892</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765 000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36 283 975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35 885 250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1 530 000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DANEMARK</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1,98045</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-1 963 637,04</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69 000 000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3 000 000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35 465 379</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41 128 620</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3 000 000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90 110 475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5 000 000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89 120 250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6 000 000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ESTONIE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0,05</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0,08635</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701 298,94</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886 634</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1 793 257</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3 928 925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3 885 750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150 000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FINLANDE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1,50909</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-140 259,79</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50 715 000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26 067 054</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31 339 740</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68 663 595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67 909 050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FRANCE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19,55</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17,81269</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-66 623 399,41</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674 475 000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29 325 000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346 674 082</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369 921 662</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29 325 000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810 477 395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48 875 000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801 571 050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58 650 000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ALLEMAGNE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20,50</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20,57980</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-40 114 299,44</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707 250 000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30 750 000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363 520 137</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427 387 094</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30 750 000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936 380 900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51 250 000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926 091 000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61 500 000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GRÈCE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1,47</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1,50735</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3 085 715,34</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50 715 000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26 067 054</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31 303 605</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2 205 000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68 584 425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3 675 000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67 830 750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4 410 000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HONGRIE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0,55</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0,61456</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7 714 288,35</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18 975 000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9 752 979</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12 762 758</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27 962 480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27 655 200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1 650 000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IRLANDE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0,91</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0,94006</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4 067 533,86</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31 395 000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16 136 748</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19 522 518</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1 365 000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42 772 730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2 275 000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42 302 700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2 730 000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ITALIE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12,86</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12,53009</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4 488 313,22</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443 670 000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19 290 000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228 042 389</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260 216 268</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19 290 000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570 119 095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32 150 000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563 854 050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38 580 000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LETTONIE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0,07</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0,11612</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981 818,52</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1 241 288</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2 411 500</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5 283 460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5 225 400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LITUANIE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0,12</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0,18077</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1 683 117,46</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4 140 000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2 127 923</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3 754 107</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8 225 035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8 134 650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LUXEMBOURG</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0,27</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0,25509</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-280 519,58</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9 315 000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4 787 826</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5 297 533</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405 000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11 606 595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11 479 050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810 000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MALTE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0,03801</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420 779,36</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1 035 000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531 981</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789 365</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1 729 455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1 710 450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PAYS-BAS</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4,85</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4,77678</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-5 189 612,16</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167 325 000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7 275 000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86 003 545</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99 200 873</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217 343 490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12 125 000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214 955 100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14 550 000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POLOGNE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1,30</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2,00734</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18 233 772,47</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44 850 000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23 052 497</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41 687 053</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1 950 000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91 333 970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3 250 000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90 330 300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3 900 000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PORTUGAL</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1,15</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1,19679</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2 524 676,19</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39 675 000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20 392 593</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24 854 109</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1 725 000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54 453 945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2 875 000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53 855 550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3 450 000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ROUMANIE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0,71815</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5 189 612,16</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12 765 000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6 561 095</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14 914 044</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555 000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32 675 825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32 316 750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1 110 000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SLOVAQUIE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0,21</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0,37616</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2 945 455,55</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7 245 000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3 723 865</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7 811 831</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315 000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17 115 280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16 927 200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630 000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SLOVÉNIE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0,18</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0,22452</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2 524 676,19</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6 210 000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3 191 884</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4 662 677</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10 215 660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10 103 400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540 000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ESPAGNE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7,85</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7,93248</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28 192 217,44</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270 825 000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11 775 000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139 201 614</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164 736 274</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11 775 000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360 927 840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19 625 000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356 961 600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23 550 000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SUÈDE</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2,74</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2,93911</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140 259,79</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94 530 000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4 110 000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48 587 570</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61 037 410</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4 110 000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133 729 505</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6 850 000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132 259 950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8 220 000</w:t>
            </w:r>
          </w:p>
        </w:tc>
      </w:tr>
      <w:tr w:rsidR="00E4299D">
        <w:trPr>
          <w:trHeight w:val="255"/>
        </w:trPr>
        <w:tc>
          <w:tcPr>
            <w:tcW w:w="1943" w:type="dxa"/>
            <w:tcBorders>
              <w:top w:val="nil"/>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t>ROYAUME-UNI</w:t>
            </w:r>
          </w:p>
        </w:tc>
        <w:tc>
          <w:tcPr>
            <w:tcW w:w="886"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14,82</w:t>
            </w:r>
          </w:p>
        </w:tc>
        <w:tc>
          <w:tcPr>
            <w:tcW w:w="731"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14,67862</w:t>
            </w:r>
          </w:p>
        </w:tc>
        <w:tc>
          <w:tcPr>
            <w:tcW w:w="996"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29 875 334,89</w:t>
            </w:r>
          </w:p>
        </w:tc>
        <w:tc>
          <w:tcPr>
            <w:tcW w:w="1270" w:type="dxa"/>
            <w:tcBorders>
              <w:top w:val="nil"/>
              <w:left w:val="single" w:sz="8"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511 290 000</w:t>
            </w:r>
          </w:p>
        </w:tc>
        <w:tc>
          <w:tcPr>
            <w:tcW w:w="919"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22 230 000</w:t>
            </w:r>
          </w:p>
        </w:tc>
        <w:tc>
          <w:tcPr>
            <w:tcW w:w="1270" w:type="dxa"/>
            <w:tcBorders>
              <w:top w:val="nil"/>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262 798 460</w:t>
            </w:r>
          </w:p>
        </w:tc>
        <w:tc>
          <w:tcPr>
            <w:tcW w:w="1270" w:type="dxa"/>
            <w:tcBorders>
              <w:top w:val="nil"/>
              <w:left w:val="single" w:sz="4" w:space="0" w:color="auto"/>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304 835 457</w:t>
            </w:r>
          </w:p>
        </w:tc>
        <w:tc>
          <w:tcPr>
            <w:tcW w:w="1003"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22 230 000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667 877 210</w:t>
            </w:r>
          </w:p>
        </w:tc>
        <w:tc>
          <w:tcPr>
            <w:tcW w:w="96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37 050 000</w:t>
            </w:r>
          </w:p>
        </w:tc>
        <w:tc>
          <w:tcPr>
            <w:tcW w:w="1270" w:type="dxa"/>
            <w:tcBorders>
              <w:top w:val="nil"/>
              <w:left w:val="nil"/>
              <w:bottom w:val="nil"/>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660 537 900</w:t>
            </w:r>
          </w:p>
        </w:tc>
        <w:tc>
          <w:tcPr>
            <w:tcW w:w="957" w:type="dxa"/>
            <w:tcBorders>
              <w:top w:val="nil"/>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44 460 000</w:t>
            </w:r>
          </w:p>
        </w:tc>
      </w:tr>
      <w:tr w:rsidR="00E4299D">
        <w:trPr>
          <w:trHeight w:val="270"/>
        </w:trPr>
        <w:tc>
          <w:tcPr>
            <w:tcW w:w="1943" w:type="dxa"/>
            <w:tcBorders>
              <w:top w:val="single" w:sz="4" w:space="0" w:color="auto"/>
              <w:left w:val="single" w:sz="8" w:space="0" w:color="auto"/>
              <w:bottom w:val="nil"/>
              <w:right w:val="single" w:sz="8" w:space="0" w:color="auto"/>
            </w:tcBorders>
            <w:shd w:val="clear" w:color="000000" w:fill="FFFFFF"/>
            <w:noWrap/>
            <w:vAlign w:val="center"/>
            <w:hideMark/>
          </w:tcPr>
          <w:p w:rsidR="00E4299D" w:rsidRDefault="00344DB1">
            <w:pPr>
              <w:spacing w:after="0" w:line="240" w:lineRule="auto"/>
              <w:ind w:firstLineChars="100" w:firstLine="160"/>
              <w:rPr>
                <w:rFonts w:ascii="Times New Roman" w:eastAsia="Times New Roman" w:hAnsi="Times New Roman" w:cs="Times New Roman"/>
                <w:noProof/>
                <w:sz w:val="16"/>
                <w:szCs w:val="16"/>
              </w:rPr>
            </w:pPr>
            <w:r>
              <w:rPr>
                <w:rFonts w:ascii="Times New Roman" w:hAnsi="Times New Roman"/>
                <w:noProof/>
                <w:sz w:val="16"/>
              </w:rPr>
              <w:lastRenderedPageBreak/>
              <w:t>CROATIE</w:t>
            </w:r>
          </w:p>
        </w:tc>
        <w:tc>
          <w:tcPr>
            <w:tcW w:w="886" w:type="dxa"/>
            <w:tcBorders>
              <w:top w:val="single" w:sz="4" w:space="0" w:color="auto"/>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0,00</w:t>
            </w:r>
          </w:p>
        </w:tc>
        <w:tc>
          <w:tcPr>
            <w:tcW w:w="731" w:type="dxa"/>
            <w:tcBorders>
              <w:top w:val="single" w:sz="4" w:space="0" w:color="auto"/>
              <w:left w:val="nil"/>
              <w:bottom w:val="nil"/>
              <w:right w:val="single" w:sz="8" w:space="0" w:color="auto"/>
            </w:tcBorders>
            <w:shd w:val="clear" w:color="000000" w:fill="FFFFFF"/>
            <w:noWrap/>
            <w:vAlign w:val="bottom"/>
            <w:hideMark/>
          </w:tcPr>
          <w:p w:rsidR="00E4299D" w:rsidRDefault="00344DB1">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0,22518</w:t>
            </w:r>
          </w:p>
        </w:tc>
        <w:tc>
          <w:tcPr>
            <w:tcW w:w="996" w:type="dxa"/>
            <w:tcBorders>
              <w:top w:val="single" w:sz="4" w:space="0" w:color="auto"/>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7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919" w:type="dxa"/>
            <w:tcBorders>
              <w:top w:val="single" w:sz="4" w:space="0" w:color="auto"/>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70" w:type="dxa"/>
            <w:tcBorders>
              <w:top w:val="single" w:sz="4" w:space="0" w:color="auto"/>
              <w:left w:val="nil"/>
              <w:bottom w:val="nil"/>
              <w:right w:val="nil"/>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7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4 676 383</w:t>
            </w:r>
          </w:p>
        </w:tc>
        <w:tc>
          <w:tcPr>
            <w:tcW w:w="1003" w:type="dxa"/>
            <w:tcBorders>
              <w:top w:val="single" w:sz="4" w:space="0" w:color="auto"/>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70" w:type="dxa"/>
            <w:tcBorders>
              <w:top w:val="single" w:sz="4" w:space="0" w:color="auto"/>
              <w:left w:val="nil"/>
              <w:bottom w:val="single" w:sz="8" w:space="0" w:color="auto"/>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10 245 690</w:t>
            </w:r>
          </w:p>
        </w:tc>
        <w:tc>
          <w:tcPr>
            <w:tcW w:w="967" w:type="dxa"/>
            <w:tcBorders>
              <w:top w:val="single" w:sz="4" w:space="0" w:color="auto"/>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c>
          <w:tcPr>
            <w:tcW w:w="1270" w:type="dxa"/>
            <w:tcBorders>
              <w:top w:val="single" w:sz="4" w:space="0" w:color="auto"/>
              <w:left w:val="nil"/>
              <w:bottom w:val="single" w:sz="8" w:space="0" w:color="auto"/>
              <w:right w:val="single" w:sz="4"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10 133 100</w:t>
            </w:r>
          </w:p>
        </w:tc>
        <w:tc>
          <w:tcPr>
            <w:tcW w:w="957" w:type="dxa"/>
            <w:tcBorders>
              <w:top w:val="single" w:sz="4" w:space="0" w:color="auto"/>
              <w:left w:val="nil"/>
              <w:bottom w:val="nil"/>
              <w:right w:val="single" w:sz="8" w:space="0" w:color="auto"/>
            </w:tcBorders>
            <w:shd w:val="clear" w:color="000000" w:fill="FFFFFF"/>
            <w:noWrap/>
            <w:vAlign w:val="bottom"/>
            <w:hideMark/>
          </w:tcPr>
          <w:p w:rsidR="00E4299D" w:rsidRDefault="00344DB1">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rPr>
              <w:t>0</w:t>
            </w:r>
          </w:p>
        </w:tc>
      </w:tr>
      <w:tr w:rsidR="00E4299D">
        <w:trPr>
          <w:trHeight w:val="270"/>
        </w:trPr>
        <w:tc>
          <w:tcPr>
            <w:tcW w:w="194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Total UE</w:t>
            </w:r>
            <w:r>
              <w:rPr>
                <w:noProof/>
              </w:rPr>
              <w:noBreakHyphen/>
            </w:r>
            <w:r>
              <w:rPr>
                <w:rFonts w:ascii="Times New Roman" w:hAnsi="Times New Roman"/>
                <w:b/>
                <w:noProof/>
                <w:sz w:val="16"/>
              </w:rPr>
              <w:t>-28</w:t>
            </w:r>
          </w:p>
        </w:tc>
        <w:tc>
          <w:tcPr>
            <w:tcW w:w="886" w:type="dxa"/>
            <w:tcBorders>
              <w:top w:val="single" w:sz="8" w:space="0" w:color="auto"/>
              <w:left w:val="nil"/>
              <w:bottom w:val="single" w:sz="8" w:space="0" w:color="auto"/>
              <w:right w:val="single" w:sz="8" w:space="0" w:color="auto"/>
            </w:tcBorders>
            <w:shd w:val="clear" w:color="000000" w:fill="A6A6A6"/>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731" w:type="dxa"/>
            <w:tcBorders>
              <w:top w:val="single" w:sz="8" w:space="0" w:color="auto"/>
              <w:left w:val="nil"/>
              <w:bottom w:val="single" w:sz="8" w:space="0" w:color="auto"/>
              <w:right w:val="single" w:sz="8" w:space="0" w:color="auto"/>
            </w:tcBorders>
            <w:shd w:val="clear" w:color="000000" w:fill="A6A6A6"/>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100,00</w:t>
            </w:r>
          </w:p>
        </w:tc>
        <w:tc>
          <w:tcPr>
            <w:tcW w:w="996" w:type="dxa"/>
            <w:tcBorders>
              <w:top w:val="single" w:sz="8" w:space="0" w:color="auto"/>
              <w:left w:val="nil"/>
              <w:bottom w:val="single" w:sz="8" w:space="0" w:color="auto"/>
              <w:right w:val="nil"/>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0</w:t>
            </w:r>
          </w:p>
        </w:tc>
        <w:tc>
          <w:tcPr>
            <w:tcW w:w="1270" w:type="dxa"/>
            <w:tcBorders>
              <w:top w:val="nil"/>
              <w:left w:val="single" w:sz="8" w:space="0" w:color="auto"/>
              <w:bottom w:val="single" w:sz="8" w:space="0" w:color="auto"/>
              <w:right w:val="single" w:sz="4"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3 450 000 000</w:t>
            </w:r>
          </w:p>
        </w:tc>
        <w:tc>
          <w:tcPr>
            <w:tcW w:w="919" w:type="dxa"/>
            <w:tcBorders>
              <w:top w:val="single" w:sz="8" w:space="0" w:color="auto"/>
              <w:left w:val="nil"/>
              <w:bottom w:val="single" w:sz="8" w:space="0" w:color="auto"/>
              <w:right w:val="single" w:sz="8"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150 000 000</w:t>
            </w:r>
          </w:p>
        </w:tc>
        <w:tc>
          <w:tcPr>
            <w:tcW w:w="1270" w:type="dxa"/>
            <w:tcBorders>
              <w:top w:val="single" w:sz="8" w:space="0" w:color="auto"/>
              <w:left w:val="nil"/>
              <w:bottom w:val="single" w:sz="8" w:space="0" w:color="auto"/>
              <w:right w:val="nil"/>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1 773 268 963</w:t>
            </w:r>
          </w:p>
        </w:tc>
        <w:tc>
          <w:tcPr>
            <w:tcW w:w="1270" w:type="dxa"/>
            <w:tcBorders>
              <w:top w:val="nil"/>
              <w:left w:val="single" w:sz="4" w:space="0" w:color="auto"/>
              <w:bottom w:val="single" w:sz="8" w:space="0" w:color="auto"/>
              <w:right w:val="single" w:sz="4"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2 076 731 037</w:t>
            </w:r>
          </w:p>
        </w:tc>
        <w:tc>
          <w:tcPr>
            <w:tcW w:w="1003" w:type="dxa"/>
            <w:tcBorders>
              <w:top w:val="single" w:sz="8" w:space="0" w:color="auto"/>
              <w:left w:val="nil"/>
              <w:bottom w:val="single" w:sz="8" w:space="0" w:color="auto"/>
              <w:right w:val="single" w:sz="8"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150 000 000</w:t>
            </w:r>
          </w:p>
        </w:tc>
        <w:tc>
          <w:tcPr>
            <w:tcW w:w="1270" w:type="dxa"/>
            <w:tcBorders>
              <w:top w:val="nil"/>
              <w:left w:val="nil"/>
              <w:bottom w:val="single" w:sz="8" w:space="0" w:color="auto"/>
              <w:right w:val="single" w:sz="4"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4 550 00 000</w:t>
            </w:r>
          </w:p>
        </w:tc>
        <w:tc>
          <w:tcPr>
            <w:tcW w:w="967" w:type="dxa"/>
            <w:tcBorders>
              <w:top w:val="single" w:sz="8" w:space="0" w:color="auto"/>
              <w:left w:val="nil"/>
              <w:bottom w:val="single" w:sz="8" w:space="0" w:color="auto"/>
              <w:right w:val="single" w:sz="8"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250 000 000</w:t>
            </w:r>
          </w:p>
        </w:tc>
        <w:tc>
          <w:tcPr>
            <w:tcW w:w="1270" w:type="dxa"/>
            <w:tcBorders>
              <w:top w:val="nil"/>
              <w:left w:val="nil"/>
              <w:bottom w:val="single" w:sz="8" w:space="0" w:color="auto"/>
              <w:right w:val="single" w:sz="4"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4 500 000 000</w:t>
            </w:r>
          </w:p>
        </w:tc>
        <w:tc>
          <w:tcPr>
            <w:tcW w:w="957" w:type="dxa"/>
            <w:tcBorders>
              <w:top w:val="single" w:sz="8" w:space="0" w:color="auto"/>
              <w:left w:val="nil"/>
              <w:bottom w:val="single" w:sz="8" w:space="0" w:color="auto"/>
              <w:right w:val="single" w:sz="8" w:space="0" w:color="auto"/>
            </w:tcBorders>
            <w:shd w:val="clear" w:color="000000" w:fill="A6A6A6"/>
            <w:noWrap/>
            <w:vAlign w:val="center"/>
            <w:hideMark/>
          </w:tcPr>
          <w:p w:rsidR="00E4299D" w:rsidRDefault="00344DB1">
            <w:pPr>
              <w:spacing w:after="0" w:line="240" w:lineRule="auto"/>
              <w:jc w:val="right"/>
              <w:rPr>
                <w:rFonts w:ascii="Times New Roman" w:eastAsia="Times New Roman" w:hAnsi="Times New Roman" w:cs="Times New Roman"/>
                <w:b/>
                <w:bCs/>
                <w:noProof/>
                <w:sz w:val="14"/>
                <w:szCs w:val="14"/>
              </w:rPr>
            </w:pPr>
            <w:r>
              <w:rPr>
                <w:rFonts w:ascii="Times New Roman" w:hAnsi="Times New Roman"/>
                <w:b/>
                <w:noProof/>
                <w:sz w:val="14"/>
              </w:rPr>
              <w:t>300 000 000</w:t>
            </w:r>
          </w:p>
        </w:tc>
      </w:tr>
      <w:tr w:rsidR="00E4299D">
        <w:trPr>
          <w:trHeight w:val="270"/>
        </w:trPr>
        <w:tc>
          <w:tcPr>
            <w:tcW w:w="1943" w:type="dxa"/>
            <w:tcBorders>
              <w:top w:val="nil"/>
              <w:left w:val="nil"/>
              <w:bottom w:val="nil"/>
              <w:right w:val="nil"/>
            </w:tcBorders>
            <w:shd w:val="clear" w:color="000000" w:fill="FFFFFF"/>
            <w:noWrap/>
            <w:vAlign w:val="center"/>
            <w:hideMark/>
          </w:tcPr>
          <w:p w:rsidR="00E4299D" w:rsidRDefault="00344DB1">
            <w:pPr>
              <w:spacing w:after="0" w:line="240" w:lineRule="auto"/>
              <w:rPr>
                <w:rFonts w:ascii="Times New Roman" w:eastAsia="Times New Roman" w:hAnsi="Times New Roman" w:cs="Times New Roman"/>
                <w:b/>
                <w:bCs/>
                <w:noProof/>
                <w:sz w:val="16"/>
                <w:szCs w:val="16"/>
              </w:rPr>
            </w:pPr>
            <w:r>
              <w:rPr>
                <w:rFonts w:ascii="Times New Roman" w:hAnsi="Times New Roman"/>
                <w:b/>
                <w:noProof/>
                <w:sz w:val="16"/>
              </w:rPr>
              <w:t> </w:t>
            </w:r>
          </w:p>
        </w:tc>
        <w:tc>
          <w:tcPr>
            <w:tcW w:w="886" w:type="dxa"/>
            <w:tcBorders>
              <w:top w:val="nil"/>
              <w:left w:val="nil"/>
              <w:bottom w:val="nil"/>
              <w:right w:val="nil"/>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731" w:type="dxa"/>
            <w:tcBorders>
              <w:top w:val="nil"/>
              <w:left w:val="nil"/>
              <w:bottom w:val="nil"/>
              <w:right w:val="nil"/>
            </w:tcBorders>
            <w:shd w:val="clear" w:color="000000" w:fill="FFFFFF"/>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3185"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3 600 000 000</w:t>
            </w:r>
          </w:p>
        </w:tc>
        <w:tc>
          <w:tcPr>
            <w:tcW w:w="3543" w:type="dxa"/>
            <w:gridSpan w:val="3"/>
            <w:tcBorders>
              <w:top w:val="single" w:sz="8" w:space="0" w:color="auto"/>
              <w:left w:val="nil"/>
              <w:bottom w:val="single" w:sz="8" w:space="0" w:color="auto"/>
              <w:right w:val="single" w:sz="8" w:space="0" w:color="000000"/>
            </w:tcBorders>
            <w:shd w:val="clear" w:color="000000" w:fill="A6A6A6"/>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4 000 000 000</w:t>
            </w:r>
          </w:p>
        </w:tc>
        <w:tc>
          <w:tcPr>
            <w:tcW w:w="2237"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4 800 000 000</w:t>
            </w:r>
          </w:p>
        </w:tc>
        <w:tc>
          <w:tcPr>
            <w:tcW w:w="2227"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E4299D" w:rsidRDefault="00344DB1">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4 800 000 000</w:t>
            </w:r>
          </w:p>
        </w:tc>
      </w:tr>
    </w:tbl>
    <w:p w:rsidR="00E4299D" w:rsidRDefault="00E4299D">
      <w:pPr>
        <w:spacing w:before="360" w:after="0" w:line="240" w:lineRule="auto"/>
        <w:rPr>
          <w:noProof/>
        </w:rPr>
      </w:pPr>
    </w:p>
    <w:sectPr w:rsidR="00E4299D">
      <w:headerReference w:type="even" r:id="rId22"/>
      <w:headerReference w:type="default" r:id="rId23"/>
      <w:footerReference w:type="even" r:id="rId24"/>
      <w:footerReference w:type="default" r:id="rId25"/>
      <w:headerReference w:type="first" r:id="rId26"/>
      <w:footerReference w:type="first" r:id="rId27"/>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B1" w:rsidRDefault="00344DB1">
      <w:pPr>
        <w:spacing w:after="0" w:line="240" w:lineRule="auto"/>
      </w:pPr>
      <w:r>
        <w:separator/>
      </w:r>
    </w:p>
  </w:endnote>
  <w:endnote w:type="continuationSeparator" w:id="0">
    <w:p w:rsidR="00344DB1" w:rsidRDefault="0034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344DB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344DB1">
    <w:pPr>
      <w:pStyle w:val="Footer"/>
      <w:jc w:val="center"/>
      <w:rPr>
        <w:rFonts w:ascii="Arial" w:hAnsi="Arial" w:cs="Arial"/>
        <w:b/>
        <w:sz w:val="48"/>
      </w:rPr>
    </w:pPr>
    <w:r>
      <w:fldChar w:fldCharType="begin"/>
    </w:r>
    <w:r>
      <w:instrText xml:space="preserve"> PAGE  \* MERGEFORMAT </w:instrText>
    </w:r>
    <w:r>
      <w:fldChar w:fldCharType="separate"/>
    </w:r>
    <w:r w:rsidR="00513695">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344DB1">
    <w:pPr>
      <w:pStyle w:val="FooterLandscape"/>
      <w:jc w:val="center"/>
      <w:rPr>
        <w:rFonts w:ascii="Arial" w:hAnsi="Arial" w:cs="Arial"/>
        <w:b/>
        <w:sz w:val="48"/>
      </w:rPr>
    </w:pPr>
    <w:r>
      <w:fldChar w:fldCharType="begin"/>
    </w:r>
    <w:r>
      <w:instrText xml:space="preserve"> PAGE  \* MERGEFORMAT </w:instrText>
    </w:r>
    <w:r>
      <w:fldChar w:fldCharType="separate"/>
    </w:r>
    <w:r w:rsidR="00513695">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B1" w:rsidRDefault="00344DB1">
      <w:pPr>
        <w:spacing w:after="0" w:line="240" w:lineRule="auto"/>
      </w:pPr>
      <w:r>
        <w:separator/>
      </w:r>
    </w:p>
  </w:footnote>
  <w:footnote w:type="continuationSeparator" w:id="0">
    <w:p w:rsidR="00344DB1" w:rsidRDefault="00344DB1">
      <w:pPr>
        <w:spacing w:after="0" w:line="240" w:lineRule="auto"/>
      </w:pPr>
      <w:r>
        <w:continuationSeparator/>
      </w:r>
    </w:p>
  </w:footnote>
  <w:footnote w:id="1">
    <w:p w:rsidR="00E4299D" w:rsidRDefault="00344DB1">
      <w:pPr>
        <w:pStyle w:val="FootnoteText"/>
      </w:pPr>
      <w:r>
        <w:rPr>
          <w:rStyle w:val="FootnoteReference"/>
        </w:rPr>
        <w:footnoteRef/>
      </w:r>
      <w:r>
        <w:tab/>
        <w:t xml:space="preserve">Accord interne entre les </w:t>
      </w:r>
      <w:r>
        <w:t>représentants des gouvernements des États membres de l’Union européenne, réunis au sein du Conseil, relatif au financement de l’aide de l’Union européenne au titre du cadre financier pluriannuel pour la période 2014</w:t>
      </w:r>
      <w:r>
        <w:noBreakHyphen/>
        <w:t>2020 conformément à l’accord de partenar</w:t>
      </w:r>
      <w:r>
        <w:t>iat ACP-UE et à l’affectation des aides financières destinées aux pays et territoires d’outre-mer auxquels s’appliquent les dispositions de la quatrième partie du traité sur le fonctionnement de l’Union européenne (JO L 210 du 6.8.2013, p. 1).</w:t>
      </w:r>
    </w:p>
  </w:footnote>
  <w:footnote w:id="2">
    <w:p w:rsidR="00E4299D" w:rsidRDefault="00344DB1">
      <w:pPr>
        <w:pStyle w:val="FootnoteText"/>
      </w:pPr>
      <w:r>
        <w:rPr>
          <w:rStyle w:val="FootnoteReference"/>
        </w:rPr>
        <w:footnoteRef/>
      </w:r>
      <w:r>
        <w:tab/>
        <w:t>JO L 58 du</w:t>
      </w:r>
      <w:r>
        <w:t xml:space="preserve"> 3.3.2015, p. 17.</w:t>
      </w:r>
    </w:p>
  </w:footnote>
  <w:footnote w:id="3">
    <w:p w:rsidR="00E4299D" w:rsidRDefault="00344DB1">
      <w:pPr>
        <w:pStyle w:val="FootnoteText"/>
      </w:pPr>
      <w:r>
        <w:rPr>
          <w:rStyle w:val="FootnoteReference"/>
        </w:rPr>
        <w:footnoteRef/>
      </w:r>
      <w:r>
        <w:tab/>
        <w:t>États d'Afrique, des Caraïbes et du Pacifique.</w:t>
      </w:r>
    </w:p>
  </w:footnote>
  <w:footnote w:id="4">
    <w:p w:rsidR="00E4299D" w:rsidRDefault="00344DB1">
      <w:pPr>
        <w:pStyle w:val="FootnoteText"/>
      </w:pPr>
      <w:r>
        <w:rPr>
          <w:rStyle w:val="FootnoteReference"/>
        </w:rPr>
        <w:footnoteRef/>
      </w:r>
      <w:r>
        <w:tab/>
        <w:t>Pays et territoires d’outre-mer.</w:t>
      </w:r>
    </w:p>
  </w:footnote>
  <w:footnote w:id="5">
    <w:p w:rsidR="00E4299D" w:rsidRDefault="00344DB1">
      <w:pPr>
        <w:pStyle w:val="FootnoteText"/>
      </w:pPr>
      <w:r>
        <w:rPr>
          <w:rStyle w:val="FootnoteReference"/>
        </w:rPr>
        <w:footnoteRef/>
      </w:r>
      <w:r>
        <w:tab/>
        <w:t>JO L 210 du 6.8.2013, p. 1.</w:t>
      </w:r>
    </w:p>
  </w:footnote>
  <w:footnote w:id="6">
    <w:p w:rsidR="00E4299D" w:rsidRDefault="00344DB1">
      <w:pPr>
        <w:pStyle w:val="FootnoteText"/>
      </w:pPr>
      <w:r>
        <w:rPr>
          <w:rStyle w:val="FootnoteReference"/>
        </w:rPr>
        <w:footnoteRef/>
      </w:r>
      <w:r>
        <w:tab/>
        <w:t>Règlement (UE) 2015/323 du Conseil du 2 mars 2015 portant règlement financier applicable au 11</w:t>
      </w:r>
      <w:r>
        <w:rPr>
          <w:vertAlign w:val="superscript"/>
        </w:rPr>
        <w:t>e</w:t>
      </w:r>
      <w:r>
        <w:t xml:space="preserve"> Fonds européen de </w:t>
      </w:r>
      <w:r>
        <w:t>développement (JO L 58 du 3.3.2015, p. 17).</w:t>
      </w:r>
    </w:p>
  </w:footnote>
  <w:footnote w:id="7">
    <w:p w:rsidR="00E4299D" w:rsidRDefault="00344DB1">
      <w:pPr>
        <w:pStyle w:val="FootnoteText"/>
      </w:pPr>
      <w:r>
        <w:rPr>
          <w:rStyle w:val="FootnoteReference"/>
        </w:rPr>
        <w:footnoteRef/>
      </w:r>
      <w:r>
        <w:tab/>
        <w:t>Décision de la Commission C(2015) 7293 final du 20.10.2015</w:t>
      </w:r>
    </w:p>
  </w:footnote>
  <w:footnote w:id="8">
    <w:p w:rsidR="00E4299D" w:rsidRDefault="00344DB1">
      <w:pPr>
        <w:pStyle w:val="FootnoteText"/>
      </w:pPr>
      <w:r>
        <w:rPr>
          <w:rStyle w:val="FootnoteReference"/>
        </w:rPr>
        <w:footnoteRef/>
      </w:r>
      <w:r>
        <w:tab/>
        <w:t>Engagements bruts, à savoir sans déduction des dégagements.</w:t>
      </w:r>
    </w:p>
  </w:footnote>
  <w:footnote w:id="9">
    <w:p w:rsidR="00E4299D" w:rsidRDefault="00344DB1">
      <w:pPr>
        <w:pStyle w:val="FootnoteText"/>
      </w:pPr>
      <w:r>
        <w:rPr>
          <w:rStyle w:val="FootnoteReference"/>
        </w:rPr>
        <w:footnoteRef/>
      </w:r>
      <w:r>
        <w:tab/>
        <w:t>Paiements bruts, à savoir sans déduction des recouvrements.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9D" w:rsidRDefault="00E4299D">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D7A3A21848543AF8EA2637AA543F58B"/>
    <w:docVar w:name="LW_CROSSREFERENCE" w:val="&lt;UNUSED&gt;"/>
    <w:docVar w:name="LW_DocType" w:val="NORMAL"/>
    <w:docVar w:name="LW_EMISSION" w:val="15.6.2016"/>
    <w:docVar w:name="LW_EMISSION_ISODATE" w:val="2016-06-15"/>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86"/>
    <w:docVar w:name="LW_REF.INTERNE" w:val="&lt;UNUSED&gt;"/>
    <w:docVar w:name="LW_SOUS.TITRE.OBJ.CP" w:val="&lt;UNUSED&gt;"/>
    <w:docVar w:name="LW_SUPERTITRE" w:val="&lt;UNUSED&gt;"/>
    <w:docVar w:name="LW_TITRE.OBJ.CP" w:val="Informations financières sur le Fonds européen de développement"/>
    <w:docVar w:name="LW_TYPE.DOC.CP" w:val="COMMUNICATION DE LA COMMISSION AU CONSEIL"/>
    <w:docVar w:name="LW_TYPE.DOC.CP.USERTEXT" w:val="&lt;EMPTY&gt;"/>
  </w:docVars>
  <w:rsids>
    <w:rsidRoot w:val="00E4299D"/>
    <w:rsid w:val="00344DB1"/>
    <w:rsid w:val="00513695"/>
    <w:rsid w:val="00E4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paragraph" w:styleId="ListBullet2">
    <w:name w:val="List Bullet 2"/>
    <w:basedOn w:val="Normal"/>
    <w:pPr>
      <w:numPr>
        <w:numId w:val="2"/>
      </w:numPr>
      <w:spacing w:before="120" w:after="120" w:line="240" w:lineRule="auto"/>
      <w:contextualSpacing/>
      <w:jc w:val="both"/>
    </w:pPr>
    <w:rPr>
      <w:rFonts w:ascii="Times New Roman" w:eastAsia="Times New Roman" w:hAnsi="Times New Roman" w:cs="Times New Roman"/>
      <w:sz w:val="24"/>
    </w:rPr>
  </w:style>
  <w:style w:type="paragraph" w:styleId="ListBullet3">
    <w:name w:val="List Bullet 3"/>
    <w:basedOn w:val="Normal"/>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Bullet4">
    <w:name w:val="List Bullet 4"/>
    <w:basedOn w:val="Normal"/>
    <w:pPr>
      <w:numPr>
        <w:numId w:val="4"/>
      </w:numPr>
      <w:spacing w:before="120" w:after="120" w:line="240" w:lineRule="auto"/>
      <w:contextualSpacing/>
      <w:jc w:val="both"/>
    </w:pPr>
    <w:rPr>
      <w:rFonts w:ascii="Times New Roman" w:eastAsia="Times New Roman" w:hAnsi="Times New Roman" w:cs="Times New Roman"/>
      <w:sz w:val="24"/>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fr-FR"/>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rPr>
  </w:style>
  <w:style w:type="paragraph" w:styleId="ListNumber">
    <w:name w:val="List Number"/>
    <w:basedOn w:val="Normal"/>
    <w:pPr>
      <w:numPr>
        <w:numId w:val="5"/>
      </w:numPr>
      <w:spacing w:before="120" w:after="120" w:line="240" w:lineRule="auto"/>
      <w:contextualSpacing/>
      <w:jc w:val="both"/>
    </w:pPr>
    <w:rPr>
      <w:rFonts w:ascii="Times New Roman" w:eastAsia="Times New Roman" w:hAnsi="Times New Roman" w:cs="Times New Roman"/>
      <w:sz w:val="24"/>
    </w:rPr>
  </w:style>
  <w:style w:type="paragraph" w:styleId="ListNumber2">
    <w:name w:val="List Number 2"/>
    <w:basedOn w:val="Normal"/>
    <w:pPr>
      <w:numPr>
        <w:numId w:val="6"/>
      </w:numPr>
      <w:spacing w:before="120" w:after="120" w:line="240" w:lineRule="auto"/>
      <w:contextualSpacing/>
      <w:jc w:val="both"/>
    </w:pPr>
    <w:rPr>
      <w:rFonts w:ascii="Times New Roman" w:eastAsia="Times New Roman" w:hAnsi="Times New Roman" w:cs="Times New Roman"/>
      <w:sz w:val="24"/>
    </w:rPr>
  </w:style>
  <w:style w:type="paragraph" w:styleId="ListNumber3">
    <w:name w:val="List Number 3"/>
    <w:basedOn w:val="Normal"/>
    <w:pPr>
      <w:numPr>
        <w:numId w:val="7"/>
      </w:numPr>
      <w:spacing w:before="120" w:after="120" w:line="240" w:lineRule="auto"/>
      <w:contextualSpacing/>
      <w:jc w:val="both"/>
    </w:pPr>
    <w:rPr>
      <w:rFonts w:ascii="Times New Roman" w:eastAsia="Times New Roman" w:hAnsi="Times New Roman" w:cs="Times New Roman"/>
      <w:sz w:val="24"/>
    </w:rPr>
  </w:style>
  <w:style w:type="paragraph" w:styleId="ListNumber4">
    <w:name w:val="List Number 4"/>
    <w:basedOn w:val="Normal"/>
    <w:pPr>
      <w:numPr>
        <w:numId w:val="8"/>
      </w:numPr>
      <w:spacing w:before="120" w:after="120" w:line="240" w:lineRule="auto"/>
      <w:contextualSpacing/>
      <w:jc w:val="both"/>
    </w:pPr>
    <w:rPr>
      <w:rFonts w:ascii="Times New Roman" w:eastAsia="Times New Roman" w:hAnsi="Times New Roman" w:cs="Times New Roman"/>
      <w:sz w:val="24"/>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fr-FR"/>
    </w:rPr>
  </w:style>
  <w:style w:type="character" w:styleId="Hyperlink">
    <w:name w:val="Hyperlink"/>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cs="Times New Roman"/>
      <w:sz w:val="24"/>
      <w:szCs w:val="24"/>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fr-FR"/>
    </w:rPr>
  </w:style>
  <w:style w:type="character" w:styleId="EndnoteReference">
    <w:name w:val="endnote reference"/>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19"/>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0"/>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numbering" w:customStyle="1" w:styleId="NoList2">
    <w:name w:val="No List2"/>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paragraph" w:styleId="ListBullet2">
    <w:name w:val="List Bullet 2"/>
    <w:basedOn w:val="Normal"/>
    <w:pPr>
      <w:numPr>
        <w:numId w:val="2"/>
      </w:numPr>
      <w:spacing w:before="120" w:after="120" w:line="240" w:lineRule="auto"/>
      <w:contextualSpacing/>
      <w:jc w:val="both"/>
    </w:pPr>
    <w:rPr>
      <w:rFonts w:ascii="Times New Roman" w:eastAsia="Times New Roman" w:hAnsi="Times New Roman" w:cs="Times New Roman"/>
      <w:sz w:val="24"/>
    </w:rPr>
  </w:style>
  <w:style w:type="paragraph" w:styleId="ListBullet3">
    <w:name w:val="List Bullet 3"/>
    <w:basedOn w:val="Normal"/>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Bullet4">
    <w:name w:val="List Bullet 4"/>
    <w:basedOn w:val="Normal"/>
    <w:pPr>
      <w:numPr>
        <w:numId w:val="4"/>
      </w:numPr>
      <w:spacing w:before="120" w:after="120" w:line="240" w:lineRule="auto"/>
      <w:contextualSpacing/>
      <w:jc w:val="both"/>
    </w:pPr>
    <w:rPr>
      <w:rFonts w:ascii="Times New Roman" w:eastAsia="Times New Roman" w:hAnsi="Times New Roman" w:cs="Times New Roman"/>
      <w:sz w:val="24"/>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fr-FR"/>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rPr>
  </w:style>
  <w:style w:type="paragraph" w:styleId="ListNumber">
    <w:name w:val="List Number"/>
    <w:basedOn w:val="Normal"/>
    <w:pPr>
      <w:numPr>
        <w:numId w:val="5"/>
      </w:numPr>
      <w:spacing w:before="120" w:after="120" w:line="240" w:lineRule="auto"/>
      <w:contextualSpacing/>
      <w:jc w:val="both"/>
    </w:pPr>
    <w:rPr>
      <w:rFonts w:ascii="Times New Roman" w:eastAsia="Times New Roman" w:hAnsi="Times New Roman" w:cs="Times New Roman"/>
      <w:sz w:val="24"/>
    </w:rPr>
  </w:style>
  <w:style w:type="paragraph" w:styleId="ListNumber2">
    <w:name w:val="List Number 2"/>
    <w:basedOn w:val="Normal"/>
    <w:pPr>
      <w:numPr>
        <w:numId w:val="6"/>
      </w:numPr>
      <w:spacing w:before="120" w:after="120" w:line="240" w:lineRule="auto"/>
      <w:contextualSpacing/>
      <w:jc w:val="both"/>
    </w:pPr>
    <w:rPr>
      <w:rFonts w:ascii="Times New Roman" w:eastAsia="Times New Roman" w:hAnsi="Times New Roman" w:cs="Times New Roman"/>
      <w:sz w:val="24"/>
    </w:rPr>
  </w:style>
  <w:style w:type="paragraph" w:styleId="ListNumber3">
    <w:name w:val="List Number 3"/>
    <w:basedOn w:val="Normal"/>
    <w:pPr>
      <w:numPr>
        <w:numId w:val="7"/>
      </w:numPr>
      <w:spacing w:before="120" w:after="120" w:line="240" w:lineRule="auto"/>
      <w:contextualSpacing/>
      <w:jc w:val="both"/>
    </w:pPr>
    <w:rPr>
      <w:rFonts w:ascii="Times New Roman" w:eastAsia="Times New Roman" w:hAnsi="Times New Roman" w:cs="Times New Roman"/>
      <w:sz w:val="24"/>
    </w:rPr>
  </w:style>
  <w:style w:type="paragraph" w:styleId="ListNumber4">
    <w:name w:val="List Number 4"/>
    <w:basedOn w:val="Normal"/>
    <w:pPr>
      <w:numPr>
        <w:numId w:val="8"/>
      </w:numPr>
      <w:spacing w:before="120" w:after="120" w:line="240" w:lineRule="auto"/>
      <w:contextualSpacing/>
      <w:jc w:val="both"/>
    </w:pPr>
    <w:rPr>
      <w:rFonts w:ascii="Times New Roman" w:eastAsia="Times New Roman" w:hAnsi="Times New Roman" w:cs="Times New Roman"/>
      <w:sz w:val="24"/>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fr-FR"/>
    </w:rPr>
  </w:style>
  <w:style w:type="character" w:styleId="Hyperlink">
    <w:name w:val="Hyperlink"/>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cs="Times New Roman"/>
      <w:sz w:val="24"/>
      <w:szCs w:val="24"/>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fr-FR"/>
    </w:rPr>
  </w:style>
  <w:style w:type="character" w:styleId="EndnoteReference">
    <w:name w:val="endnote reference"/>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cs="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cs="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cs="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cs="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cs="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cs="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19"/>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20"/>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numbering" w:customStyle="1" w:styleId="NoList2">
    <w:name w:val="No List2"/>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22</cp:revision>
  <dcterms:created xsi:type="dcterms:W3CDTF">2016-05-12T12:15:00Z</dcterms:created>
  <dcterms:modified xsi:type="dcterms:W3CDTF">2016-06-06T12:05:00Z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