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4249A815C44A4A9A7526995214BD11" style="width:450.8pt;height:293.35pt">
            <v:imagedata r:id="rId8" o:title=""/>
          </v:shape>
        </w:pict>
      </w:r>
    </w:p>
    <w:bookmarkEnd w:id="0"/>
    <w:p>
      <w:pPr>
        <w:rPr>
          <w:noProof/>
          <w:lang w:eastAsia="en-GB"/>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COMMUNICATION FROM THE COMMISSION TO THE COUNCIL</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Financial information on the European Development Fund</w:t>
      </w:r>
    </w:p>
    <w:p>
      <w:pPr>
        <w:keepNext/>
        <w:numPr>
          <w:ilvl w:val="0"/>
          <w:numId w:val="9"/>
        </w:numPr>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Foreword</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accordance with Article 7(3) of the 11</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EDF Internal Agreement</w:t>
      </w:r>
      <w:r>
        <w:rPr>
          <w:rFonts w:ascii="Times New Roman" w:eastAsia="Times New Roman" w:hAnsi="Times New Roman" w:cs="Times New Roman"/>
          <w:noProof/>
          <w:sz w:val="24"/>
          <w:vertAlign w:val="superscript"/>
          <w:lang w:eastAsia="en-GB"/>
        </w:rPr>
        <w:footnoteReference w:id="1"/>
      </w:r>
      <w:r>
        <w:rPr>
          <w:rFonts w:ascii="Times New Roman" w:eastAsia="Times New Roman" w:hAnsi="Times New Roman" w:cs="Times New Roman"/>
          <w:noProof/>
          <w:sz w:val="24"/>
          <w:lang w:eastAsia="en-GB"/>
        </w:rPr>
        <w:t xml:space="preserve"> and Article 21(2) of Council Regulation (EU) 2015/323 on the financial regulation applicable to the 11</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European Development Fund</w:t>
      </w:r>
      <w:r>
        <w:rPr>
          <w:rFonts w:ascii="Times New Roman" w:eastAsia="Times New Roman" w:hAnsi="Times New Roman" w:cs="Times New Roman"/>
          <w:noProof/>
          <w:sz w:val="24"/>
          <w:vertAlign w:val="superscript"/>
          <w:lang w:eastAsia="en-GB"/>
        </w:rPr>
        <w:footnoteReference w:id="2"/>
      </w:r>
      <w:r>
        <w:rPr>
          <w:rFonts w:ascii="Times New Roman" w:eastAsia="Times New Roman" w:hAnsi="Times New Roman" w:cs="Times New Roman"/>
          <w:noProof/>
          <w:sz w:val="24"/>
          <w:lang w:eastAsia="en-GB"/>
        </w:rPr>
        <w:t xml:space="preserve"> (hereinafter referred to as "11</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EDF Financial Regulation"), the Commission presents in this document estimates of commitments, payments and contributions for the period 2016 and 2017, taking into account the forecasts of the European Investment Bank (EIB). </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This document sets out the financial implementation of the EDFs (8</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to 11</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for 2015 and the forecasts of implementation for 2016 and 2017.</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Member States contribute funds directly to the European Investment Bank (EIB) for the instruments which it manages under the 9</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10</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and 11</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EDFs (the Investment Facility and interest-rate subsidies). </w:t>
      </w:r>
    </w:p>
    <w:p>
      <w:pPr>
        <w:keepNext/>
        <w:numPr>
          <w:ilvl w:val="0"/>
          <w:numId w:val="9"/>
        </w:numPr>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Introduction</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Commission and the EIB have updated their commitment and payment forecasts for 2016 and 2017 for each of the ACP countries</w:t>
      </w:r>
      <w:r>
        <w:rPr>
          <w:rFonts w:ascii="Times New Roman" w:eastAsia="Times New Roman" w:hAnsi="Times New Roman" w:cs="Times New Roman"/>
          <w:noProof/>
          <w:sz w:val="24"/>
          <w:vertAlign w:val="superscript"/>
          <w:lang w:eastAsia="en-GB"/>
        </w:rPr>
        <w:footnoteReference w:id="3"/>
      </w:r>
      <w:r>
        <w:rPr>
          <w:rFonts w:ascii="Times New Roman" w:eastAsia="Times New Roman" w:hAnsi="Times New Roman" w:cs="Times New Roman"/>
          <w:noProof/>
          <w:sz w:val="24"/>
          <w:lang w:eastAsia="en-GB"/>
        </w:rPr>
        <w:t xml:space="preserve"> and the OCTs</w:t>
      </w:r>
      <w:r>
        <w:rPr>
          <w:rFonts w:ascii="Times New Roman" w:eastAsia="Times New Roman" w:hAnsi="Times New Roman" w:cs="Times New Roman"/>
          <w:noProof/>
          <w:sz w:val="24"/>
          <w:vertAlign w:val="superscript"/>
          <w:lang w:eastAsia="en-GB"/>
        </w:rPr>
        <w:footnoteReference w:id="4"/>
      </w:r>
      <w:r>
        <w:rPr>
          <w:rFonts w:ascii="Times New Roman" w:eastAsia="Times New Roman" w:hAnsi="Times New Roman" w:cs="Times New Roman"/>
          <w:noProof/>
          <w:sz w:val="24"/>
          <w:lang w:eastAsia="en-GB"/>
        </w:rPr>
        <w:t>. The payment forecasts in particular have been compiled with the aim of helping Member States to assess as accurately as possible the amounts they need to earmark in their national budgets while ensuring that sufficient financial resources are available for the EDF to avoid liquidity problems.</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accordance with Article 7 of the 11</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EDF Internal Agreement</w:t>
      </w:r>
      <w:r>
        <w:rPr>
          <w:rFonts w:ascii="Times New Roman" w:eastAsia="Times New Roman" w:hAnsi="Times New Roman" w:cs="Times New Roman"/>
          <w:noProof/>
          <w:sz w:val="24"/>
          <w:vertAlign w:val="superscript"/>
          <w:lang w:eastAsia="en-GB"/>
        </w:rPr>
        <w:footnoteReference w:id="5"/>
      </w:r>
      <w:r>
        <w:rPr>
          <w:rFonts w:ascii="Times New Roman" w:eastAsia="Times New Roman" w:hAnsi="Times New Roman" w:cs="Times New Roman"/>
          <w:noProof/>
          <w:sz w:val="24"/>
          <w:lang w:eastAsia="en-GB"/>
        </w:rPr>
        <w:t xml:space="preserve"> and Article 21(4) of the 11</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EDF Financial Regulation</w:t>
      </w:r>
      <w:r>
        <w:rPr>
          <w:rFonts w:ascii="Times New Roman" w:eastAsia="Times New Roman" w:hAnsi="Times New Roman" w:cs="Times New Roman"/>
          <w:noProof/>
          <w:sz w:val="24"/>
          <w:vertAlign w:val="superscript"/>
          <w:lang w:eastAsia="en-GB"/>
        </w:rPr>
        <w:footnoteReference w:id="6"/>
      </w:r>
      <w:r>
        <w:rPr>
          <w:rFonts w:ascii="Times New Roman" w:eastAsia="Times New Roman" w:hAnsi="Times New Roman" w:cs="Times New Roman"/>
          <w:noProof/>
          <w:sz w:val="24"/>
          <w:lang w:eastAsia="en-GB"/>
        </w:rPr>
        <w:t>, the estimates provided in this document have been updated.</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graph below shows the general trend in gross commitments and payments since 1999 until 2015 and projections for the period 2016-2017 (Commission and EIB cumulated amounts).</w:t>
      </w: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ind w:left="850"/>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Gross commitments and payments: trend 1999-2017 (EUR Million)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val="en-US"/>
        </w:rPr>
        <w:drawing>
          <wp:inline distT="0" distB="0" distL="0" distR="0">
            <wp:extent cx="6025515" cy="3596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l="691" t="14476" r="809"/>
                    <a:stretch>
                      <a:fillRect/>
                    </a:stretch>
                  </pic:blipFill>
                  <pic:spPr bwMode="auto">
                    <a:xfrm>
                      <a:off x="0" y="0"/>
                      <a:ext cx="6025515" cy="3596005"/>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Note: Figures from implementation of the European Development Funds as of 31 December 2015 (commitments, payments and financial situation) and forecasts for 2016 and 2017.</w:t>
      </w:r>
    </w:p>
    <w:p>
      <w:pPr>
        <w:keepNext/>
        <w:numPr>
          <w:ilvl w:val="0"/>
          <w:numId w:val="9"/>
        </w:numPr>
        <w:tabs>
          <w:tab w:val="clear" w:pos="850"/>
          <w:tab w:val="num" w:pos="0"/>
        </w:tabs>
        <w:spacing w:before="360" w:after="120" w:line="240" w:lineRule="auto"/>
        <w:ind w:left="0" w:firstLine="0"/>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Financial forecasts for 2016 - 2017</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following table provides an update of the commitments, the payments and of the contributions, based on the Commission's latest forecasts.</w:t>
      </w:r>
    </w:p>
    <w:tbl>
      <w:tblPr>
        <w:tblW w:w="6960" w:type="dxa"/>
        <w:tblInd w:w="93" w:type="dxa"/>
        <w:tblLook w:val="04A0" w:firstRow="1" w:lastRow="0" w:firstColumn="1" w:lastColumn="0" w:noHBand="0" w:noVBand="1"/>
      </w:tblPr>
      <w:tblGrid>
        <w:gridCol w:w="1900"/>
        <w:gridCol w:w="1900"/>
        <w:gridCol w:w="1580"/>
        <w:gridCol w:w="1580"/>
      </w:tblGrid>
      <w:tr>
        <w:trPr>
          <w:trHeight w:val="240"/>
        </w:trPr>
        <w:tc>
          <w:tcPr>
            <w:tcW w:w="1900"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900" w:type="dxa"/>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single" w:sz="8" w:space="0" w:color="auto"/>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r>
      <w:tr>
        <w:trPr>
          <w:trHeight w:val="240"/>
        </w:trPr>
        <w:tc>
          <w:tcPr>
            <w:tcW w:w="3800" w:type="dxa"/>
            <w:gridSpan w:val="2"/>
            <w:tcBorders>
              <w:top w:val="nil"/>
              <w:left w:val="single" w:sz="8" w:space="0" w:color="auto"/>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Forecasts 2016-2017 (*)</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2017</w:t>
            </w:r>
          </w:p>
        </w:tc>
      </w:tr>
      <w:tr>
        <w:trPr>
          <w:trHeight w:val="240"/>
        </w:trPr>
        <w:tc>
          <w:tcPr>
            <w:tcW w:w="1900"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(in EUR)</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(in EUR)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Commitments</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5,325</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4,663</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855</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880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Total</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6,180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5,543</w:t>
            </w:r>
          </w:p>
        </w:tc>
      </w:tr>
      <w:tr>
        <w:trPr>
          <w:trHeight w:val="240"/>
        </w:trPr>
        <w:tc>
          <w:tcPr>
            <w:tcW w:w="1900" w:type="dxa"/>
            <w:tcBorders>
              <w:top w:val="single" w:sz="8" w:space="0" w:color="auto"/>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single" w:sz="8" w:space="0" w:color="auto"/>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Payments</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3,751</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3,900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410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460</w:t>
            </w:r>
          </w:p>
        </w:tc>
      </w:tr>
      <w:tr>
        <w:trPr>
          <w:trHeight w:val="24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Total</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4,161</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4,360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Contributions</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3,450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3,850</w:t>
            </w:r>
          </w:p>
        </w:tc>
      </w:tr>
      <w:tr>
        <w:trPr>
          <w:trHeight w:val="240"/>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158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150</w:t>
            </w:r>
          </w:p>
        </w:tc>
      </w:tr>
      <w:tr>
        <w:trPr>
          <w:trHeight w:val="24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Total</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3,600</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4,000</w:t>
            </w:r>
          </w:p>
        </w:tc>
      </w:tr>
    </w:tbl>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gross amounts, i.e. no decommitments or recoveries/reflows have been deducted. This approach is in line with that used for the general budget of the Union.</w:t>
      </w:r>
    </w:p>
    <w:p>
      <w:pPr>
        <w:keepNext/>
        <w:numPr>
          <w:ilvl w:val="0"/>
          <w:numId w:val="9"/>
        </w:numPr>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br w:type="page"/>
        <w:t>Non-binding Estimation of contribution for 2018 - 2019</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900" w:type="dxa"/>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single" w:sz="8" w:space="0" w:color="auto"/>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r>
      <w:tr>
        <w:trPr>
          <w:trHeight w:val="315"/>
        </w:trPr>
        <w:tc>
          <w:tcPr>
            <w:tcW w:w="3800" w:type="dxa"/>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Forecasts 2018-2019 (*)</w:t>
            </w:r>
          </w:p>
        </w:tc>
        <w:tc>
          <w:tcPr>
            <w:tcW w:w="158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2018</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2019</w:t>
            </w:r>
          </w:p>
        </w:tc>
      </w:tr>
      <w:tr>
        <w:trPr>
          <w:trHeight w:val="330"/>
        </w:trPr>
        <w:tc>
          <w:tcPr>
            <w:tcW w:w="1900"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Contributions</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Commission</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4,550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4,500</w:t>
            </w:r>
          </w:p>
        </w:tc>
      </w:tr>
      <w:tr>
        <w:trPr>
          <w:trHeight w:val="315"/>
        </w:trPr>
        <w:tc>
          <w:tcPr>
            <w:tcW w:w="1900"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w:t>
            </w:r>
          </w:p>
        </w:tc>
        <w:tc>
          <w:tcPr>
            <w:tcW w:w="15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250(**)</w:t>
            </w:r>
          </w:p>
        </w:tc>
        <w:tc>
          <w:tcPr>
            <w:tcW w:w="1580" w:type="dxa"/>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300</w:t>
            </w:r>
          </w:p>
        </w:tc>
      </w:tr>
      <w:tr>
        <w:trPr>
          <w:trHeight w:val="330"/>
        </w:trPr>
        <w:tc>
          <w:tcPr>
            <w:tcW w:w="190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900" w:type="dxa"/>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Total</w:t>
            </w:r>
          </w:p>
        </w:tc>
        <w:tc>
          <w:tcPr>
            <w:tcW w:w="1580" w:type="dxa"/>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4,800</w:t>
            </w:r>
          </w:p>
        </w:tc>
        <w:tc>
          <w:tcPr>
            <w:tcW w:w="1580"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lang w:eastAsia="en-GB"/>
              </w:rPr>
            </w:pPr>
            <w:r>
              <w:rPr>
                <w:rFonts w:ascii="Times New Roman" w:eastAsia="Times New Roman" w:hAnsi="Times New Roman" w:cs="Times New Roman"/>
                <w:noProof/>
                <w:color w:val="FF0000"/>
                <w:sz w:val="24"/>
                <w:szCs w:val="24"/>
                <w:lang w:eastAsia="en-GB"/>
              </w:rPr>
              <w:t>4,800</w:t>
            </w:r>
          </w:p>
        </w:tc>
      </w:tr>
    </w:tbl>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Art.21 (2) 11</w:t>
      </w:r>
      <w:r>
        <w:rPr>
          <w:rFonts w:ascii="Times New Roman" w:eastAsia="Times New Roman" w:hAnsi="Times New Roman" w:cs="Times New Roman"/>
          <w:noProof/>
          <w:sz w:val="20"/>
          <w:szCs w:val="20"/>
          <w:vertAlign w:val="superscript"/>
          <w:lang w:eastAsia="en-GB"/>
        </w:rPr>
        <w:t>th</w:t>
      </w:r>
      <w:r>
        <w:rPr>
          <w:rFonts w:ascii="Times New Roman" w:eastAsia="Times New Roman" w:hAnsi="Times New Roman" w:cs="Times New Roman"/>
          <w:noProof/>
          <w:sz w:val="20"/>
          <w:szCs w:val="20"/>
          <w:lang w:eastAsia="en-GB"/>
        </w:rPr>
        <w:t xml:space="preserve"> EDF Financial Regulation (EU 2015/323): indicative, non-binding forecast based on a statistical approach for the expected annual amounts of contributions for the years n + 3 and n + 4.</w:t>
      </w:r>
      <w:r>
        <w:rPr>
          <w:rFonts w:ascii="Times New Roman" w:eastAsia="Times New Roman" w:hAnsi="Times New Roman" w:cs="Times New Roman"/>
          <w:noProof/>
          <w:sz w:val="20"/>
          <w:szCs w:val="20"/>
          <w:lang w:eastAsia="en-GB"/>
        </w:rPr>
        <w:br/>
        <w:t>** ref. EIB explanatory note for information of 17/11/2015, MD no: 151/15 ADD 1 ACP</w:t>
      </w:r>
    </w:p>
    <w:p>
      <w:pPr>
        <w:keepNext/>
        <w:numPr>
          <w:ilvl w:val="0"/>
          <w:numId w:val="9"/>
        </w:numPr>
        <w:spacing w:before="360" w:after="120" w:line="240" w:lineRule="auto"/>
        <w:jc w:val="both"/>
        <w:outlineLvl w:val="0"/>
        <w:rPr>
          <w:rFonts w:ascii="Times New Roman" w:eastAsia="Times New Roman" w:hAnsi="Times New Roman" w:cs="Times New Roman"/>
          <w:b/>
          <w:bCs/>
          <w:smallCaps/>
          <w:noProof/>
          <w:sz w:val="24"/>
          <w:szCs w:val="28"/>
          <w:lang w:eastAsia="en-GB"/>
        </w:rPr>
      </w:pPr>
      <w:r>
        <w:rPr>
          <w:rFonts w:ascii="Times New Roman" w:eastAsia="Times New Roman" w:hAnsi="Times New Roman" w:cs="Times New Roman"/>
          <w:b/>
          <w:bCs/>
          <w:smallCaps/>
          <w:noProof/>
          <w:sz w:val="24"/>
          <w:szCs w:val="28"/>
          <w:lang w:eastAsia="en-GB"/>
        </w:rPr>
        <w:t>Financial implementation for 2015 and forecasts for 2016 and 2017</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updated forecasts are set out in attachments 1 to 3.</w:t>
      </w:r>
    </w:p>
    <w:p>
      <w:pPr>
        <w:spacing w:before="120" w:after="120" w:line="240" w:lineRule="auto"/>
        <w:ind w:left="850"/>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End-of-year totals for 2015 commitments and payments exceeded estimates contained in the Council Decision of November 2015.</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2015 estimate for commitments given in the October 2015 (EUR 4,947 million) Communication is exceeded by EUR 527 million. This keeps the 11</w:t>
      </w:r>
      <w:r>
        <w:rPr>
          <w:rFonts w:ascii="Times New Roman" w:eastAsia="Times New Roman" w:hAnsi="Times New Roman" w:cs="Times New Roman"/>
          <w:noProof/>
          <w:sz w:val="24"/>
          <w:vertAlign w:val="superscript"/>
          <w:lang w:eastAsia="en-GB"/>
        </w:rPr>
        <w:t>th</w:t>
      </w:r>
      <w:r>
        <w:rPr>
          <w:rFonts w:ascii="Times New Roman" w:eastAsia="Times New Roman" w:hAnsi="Times New Roman" w:cs="Times New Roman"/>
          <w:noProof/>
          <w:sz w:val="24"/>
          <w:lang w:eastAsia="en-GB"/>
        </w:rPr>
        <w:t xml:space="preserve"> EDF on track for full commitment at the end of the implementation period.</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EDF payments exceeded the target for payments of EUR 3,100 million by EUR 110 million. This good result is the consequence of a solid performance registered in December 2015 (20.5% of the annual disbursements). No payments were made in 2015 to the new Emergency EU Trust Fund for stability and addressing root causes of illegal migration in Africa (EUTF Africa)</w:t>
      </w:r>
      <w:r>
        <w:rPr>
          <w:rFonts w:ascii="Times New Roman" w:eastAsia="Times New Roman" w:hAnsi="Times New Roman" w:cs="Times New Roman"/>
          <w:noProof/>
          <w:sz w:val="24"/>
          <w:vertAlign w:val="superscript"/>
          <w:lang w:eastAsia="en-GB"/>
        </w:rPr>
        <w:footnoteReference w:id="7"/>
      </w:r>
      <w:r>
        <w:rPr>
          <w:rFonts w:ascii="Times New Roman" w:eastAsia="Times New Roman" w:hAnsi="Times New Roman" w:cs="Times New Roman"/>
          <w:noProof/>
          <w:sz w:val="24"/>
          <w:lang w:eastAsia="en-GB"/>
        </w:rPr>
        <w:t>.</w:t>
      </w:r>
    </w:p>
    <w:p>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 tight and difficult treasury situation is expected for 2016-2017. The reasons include a lower cash balance on the EDF account in 2015 (Contributions called = EUR 3,200 million against Payments EUR 3,210 million), expected quick disbursements for the EUTF Africa and possible increased disbursements for the African Peace Facility.</w:t>
      </w:r>
    </w:p>
    <w:p>
      <w:pPr>
        <w:spacing w:before="120" w:after="120" w:line="240" w:lineRule="auto"/>
        <w:ind w:left="850"/>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eastAsia="en-GB"/>
        </w:rPr>
        <w:t>The good payment performance in 2015 adds to expectations of a tight treasury situation in 2016-2017.</w:t>
      </w:r>
    </w:p>
    <w:p>
      <w:pPr>
        <w:spacing w:before="120" w:after="120" w:line="240" w:lineRule="auto"/>
        <w:ind w:left="850"/>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Attachments 1, 2 and 3 show respectively actual commitments, actual payments and the financial situation compared with previous forecasts for the periods 2016-2017.</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Attachments 4 and 5 show respectively contributions for 2016 and 2017 per instalment and per Member State.</w:t>
      </w:r>
    </w:p>
    <w:p>
      <w:pPr>
        <w:spacing w:before="120" w:after="120" w:line="240" w:lineRule="auto"/>
        <w:jc w:val="both"/>
        <w:rPr>
          <w:rFonts w:ascii="Times New Roman" w:eastAsia="Times New Roman" w:hAnsi="Times New Roman" w:cs="Times New Roman"/>
          <w:noProof/>
          <w:sz w:val="24"/>
          <w:lang w:eastAsia="en-GB"/>
        </w:rPr>
      </w:pPr>
    </w:p>
    <w:p>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lang w:eastAsia="en-GB"/>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Attachment 1: forecasts for commitments</w:t>
      </w:r>
      <w:r>
        <w:rPr>
          <w:rFonts w:ascii="Times New Roman" w:eastAsia="Times New Roman" w:hAnsi="Times New Roman" w:cs="Times New Roman"/>
          <w:b/>
          <w:bCs/>
          <w:noProof/>
          <w:sz w:val="24"/>
          <w:szCs w:val="26"/>
          <w:vertAlign w:val="superscript"/>
          <w:lang w:eastAsia="en-GB"/>
        </w:rPr>
        <w:footnoteReference w:id="8"/>
      </w:r>
      <w:r>
        <w:rPr>
          <w:rFonts w:ascii="Times New Roman" w:eastAsia="Times New Roman" w:hAnsi="Times New Roman" w:cs="Times New Roman"/>
          <w:b/>
          <w:bCs/>
          <w:noProof/>
          <w:sz w:val="24"/>
          <w:szCs w:val="26"/>
          <w:lang w:eastAsia="en-GB"/>
        </w:rPr>
        <w:t xml:space="preserve"> for 2015, 2016 and 2017 (EUR million)</w:t>
      </w:r>
    </w:p>
    <w:tbl>
      <w:tblPr>
        <w:tblW w:w="9960" w:type="dxa"/>
        <w:tblInd w:w="108" w:type="dxa"/>
        <w:tblLook w:val="04A0" w:firstRow="1" w:lastRow="0" w:firstColumn="1" w:lastColumn="0" w:noHBand="0" w:noVBand="1"/>
      </w:tblPr>
      <w:tblGrid>
        <w:gridCol w:w="3040"/>
        <w:gridCol w:w="1080"/>
        <w:gridCol w:w="1120"/>
        <w:gridCol w:w="1080"/>
        <w:gridCol w:w="1200"/>
        <w:gridCol w:w="1200"/>
        <w:gridCol w:w="1240"/>
      </w:tblGrid>
      <w:tr>
        <w:trPr>
          <w:trHeight w:val="255"/>
        </w:trPr>
        <w:tc>
          <w:tcPr>
            <w:tcW w:w="304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2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2015</w:t>
            </w:r>
          </w:p>
        </w:tc>
        <w:tc>
          <w:tcPr>
            <w:tcW w:w="228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tc>
      </w:tr>
      <w:tr>
        <w:trPr>
          <w:trHeight w:val="510"/>
        </w:trPr>
        <w:tc>
          <w:tcPr>
            <w:tcW w:w="304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Oct 2015*</w:t>
            </w:r>
          </w:p>
        </w:tc>
        <w:tc>
          <w:tcPr>
            <w:tcW w:w="112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Actuals 2015</w:t>
            </w:r>
          </w:p>
        </w:tc>
        <w:tc>
          <w:tcPr>
            <w:tcW w:w="108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Oct 2015*</w:t>
            </w:r>
          </w:p>
        </w:tc>
        <w:tc>
          <w:tcPr>
            <w:tcW w:w="12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June 2016</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Oct 2015*</w:t>
            </w:r>
          </w:p>
        </w:tc>
        <w:tc>
          <w:tcPr>
            <w:tcW w:w="124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June 2016</w:t>
            </w:r>
          </w:p>
        </w:tc>
      </w:tr>
      <w:tr>
        <w:trPr>
          <w:trHeight w:val="255"/>
        </w:trPr>
        <w:tc>
          <w:tcPr>
            <w:tcW w:w="304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Regions</w:t>
            </w:r>
          </w:p>
        </w:tc>
        <w:tc>
          <w:tcPr>
            <w:tcW w:w="10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08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East Africa</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625</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627</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810</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 Africa</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966</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1,204</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1,776</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Central Africa</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692</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737</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1,139</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Caribbean</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74</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213</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Pacific</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val="fr-BE" w:eastAsia="en-GB"/>
              </w:rPr>
              <w:t>25</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Southern Africa</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368</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560</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2,658</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3,045</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4,525</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Other</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Peace Facility, Human rights</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592</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646</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545</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Water and Energy Facility</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98</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Trust Fund (**)</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1,395</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1,377</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Other (***)</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201</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309</w:t>
            </w:r>
          </w:p>
        </w:tc>
        <w:tc>
          <w:tcPr>
            <w:tcW w:w="108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155</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0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08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2,288</w:t>
            </w:r>
          </w:p>
        </w:tc>
        <w:tc>
          <w:tcPr>
            <w:tcW w:w="112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2,430</w:t>
            </w:r>
          </w:p>
        </w:tc>
        <w:tc>
          <w:tcPr>
            <w:tcW w:w="108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2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800</w:t>
            </w:r>
          </w:p>
        </w:tc>
        <w:tc>
          <w:tcPr>
            <w:tcW w:w="12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2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0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4,947</w:t>
            </w:r>
          </w:p>
        </w:tc>
        <w:tc>
          <w:tcPr>
            <w:tcW w:w="112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5,474</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4,663</w:t>
            </w:r>
          </w:p>
        </w:tc>
        <w:tc>
          <w:tcPr>
            <w:tcW w:w="12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5,325</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4,963</w:t>
            </w:r>
          </w:p>
        </w:tc>
        <w:tc>
          <w:tcPr>
            <w:tcW w:w="12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4,663</w:t>
            </w:r>
          </w:p>
        </w:tc>
      </w:tr>
      <w:tr>
        <w:trPr>
          <w:trHeight w:val="255"/>
        </w:trPr>
        <w:tc>
          <w:tcPr>
            <w:tcW w:w="30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Investment facility</w:t>
            </w:r>
          </w:p>
        </w:tc>
        <w:tc>
          <w:tcPr>
            <w:tcW w:w="10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750</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544</w:t>
            </w:r>
          </w:p>
        </w:tc>
        <w:tc>
          <w:tcPr>
            <w:tcW w:w="108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770</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775</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820</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800</w:t>
            </w:r>
          </w:p>
        </w:tc>
      </w:tr>
      <w:tr>
        <w:trPr>
          <w:trHeight w:val="255"/>
        </w:trPr>
        <w:tc>
          <w:tcPr>
            <w:tcW w:w="30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Interest rate subsidies (****)</w:t>
            </w:r>
          </w:p>
        </w:tc>
        <w:tc>
          <w:tcPr>
            <w:tcW w:w="108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12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w:t>
            </w:r>
          </w:p>
        </w:tc>
        <w:tc>
          <w:tcPr>
            <w:tcW w:w="108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2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2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2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r>
      <w:tr>
        <w:trPr>
          <w:trHeight w:val="255"/>
        </w:trPr>
        <w:tc>
          <w:tcPr>
            <w:tcW w:w="30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EIB</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830</w:t>
            </w:r>
          </w:p>
        </w:tc>
        <w:tc>
          <w:tcPr>
            <w:tcW w:w="112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609</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850</w:t>
            </w:r>
          </w:p>
        </w:tc>
        <w:tc>
          <w:tcPr>
            <w:tcW w:w="12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855</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900</w:t>
            </w:r>
          </w:p>
        </w:tc>
        <w:tc>
          <w:tcPr>
            <w:tcW w:w="12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880</w:t>
            </w:r>
          </w:p>
        </w:tc>
      </w:tr>
      <w:tr>
        <w:trPr>
          <w:trHeight w:val="255"/>
        </w:trPr>
        <w:tc>
          <w:tcPr>
            <w:tcW w:w="3040" w:type="dxa"/>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TOTAL </w:t>
            </w:r>
          </w:p>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European Commission + EIB</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5,777</w:t>
            </w:r>
          </w:p>
        </w:tc>
        <w:tc>
          <w:tcPr>
            <w:tcW w:w="112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6,083</w:t>
            </w:r>
          </w:p>
        </w:tc>
        <w:tc>
          <w:tcPr>
            <w:tcW w:w="10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5,513</w:t>
            </w:r>
          </w:p>
        </w:tc>
        <w:tc>
          <w:tcPr>
            <w:tcW w:w="12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6,180</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5,863</w:t>
            </w:r>
          </w:p>
        </w:tc>
        <w:tc>
          <w:tcPr>
            <w:tcW w:w="12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5,543</w:t>
            </w:r>
          </w:p>
        </w:tc>
      </w:tr>
    </w:tbl>
    <w:p>
      <w:pPr>
        <w:spacing w:before="120"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As per Communication from the Commission to the Council </w:t>
      </w:r>
    </w:p>
    <w:p>
      <w:pPr>
        <w:spacing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Emergency EU Trust Fund for stability and addressing root causes of illegal migration in Africa.</w:t>
      </w:r>
      <w:r>
        <w:rPr>
          <w:rFonts w:ascii="Times New Roman" w:eastAsia="Times New Roman" w:hAnsi="Times New Roman" w:cs="Times New Roman"/>
          <w:noProof/>
          <w:sz w:val="20"/>
          <w:szCs w:val="20"/>
          <w:lang w:eastAsia="en-GB"/>
        </w:rPr>
        <w:br/>
        <w:t>*** Includes support expenditures (e.g. joint institutions, ACP Secretariat), DG ECHO, other DG's and Agencies.</w:t>
      </w:r>
      <w:r>
        <w:rPr>
          <w:rFonts w:ascii="Times New Roman" w:eastAsia="Times New Roman" w:hAnsi="Times New Roman" w:cs="Times New Roman"/>
          <w:noProof/>
          <w:sz w:val="20"/>
          <w:szCs w:val="20"/>
          <w:lang w:eastAsia="en-GB"/>
        </w:rPr>
        <w:br/>
        <w:t>**** Including interest rate subsidies under previous EDFs</w:t>
      </w:r>
    </w:p>
    <w:p>
      <w:pPr>
        <w:spacing w:before="120" w:after="120" w:line="240" w:lineRule="auto"/>
        <w:rPr>
          <w:rFonts w:ascii="Times New Roman" w:eastAsia="Times New Roman" w:hAnsi="Times New Roman" w:cs="Times New Roman"/>
          <w:noProof/>
          <w:sz w:val="20"/>
          <w:szCs w:val="20"/>
          <w:lang w:eastAsia="en-GB"/>
        </w:rPr>
      </w:pPr>
    </w:p>
    <w:p>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Attachment 2: forecasts for payments</w:t>
      </w:r>
      <w:r>
        <w:rPr>
          <w:rFonts w:ascii="Times New Roman" w:eastAsia="Times New Roman" w:hAnsi="Times New Roman" w:cs="Times New Roman"/>
          <w:b/>
          <w:bCs/>
          <w:noProof/>
          <w:sz w:val="24"/>
          <w:szCs w:val="26"/>
          <w:vertAlign w:val="superscript"/>
          <w:lang w:eastAsia="en-GB"/>
        </w:rPr>
        <w:footnoteReference w:id="9"/>
      </w:r>
      <w:r>
        <w:rPr>
          <w:rFonts w:ascii="Times New Roman" w:eastAsia="Times New Roman" w:hAnsi="Times New Roman" w:cs="Times New Roman"/>
          <w:b/>
          <w:bCs/>
          <w:noProof/>
          <w:sz w:val="24"/>
          <w:szCs w:val="26"/>
          <w:lang w:eastAsia="en-GB"/>
        </w:rPr>
        <w:t xml:space="preserve"> for 2015, 2016 and 2017 (EUR million)</w:t>
      </w:r>
    </w:p>
    <w:tbl>
      <w:tblPr>
        <w:tblW w:w="10100" w:type="dxa"/>
        <w:tblInd w:w="108" w:type="dxa"/>
        <w:tblLook w:val="04A0" w:firstRow="1" w:lastRow="0" w:firstColumn="1" w:lastColumn="0" w:noHBand="0" w:noVBand="1"/>
      </w:tblPr>
      <w:tblGrid>
        <w:gridCol w:w="2940"/>
        <w:gridCol w:w="1080"/>
        <w:gridCol w:w="1120"/>
        <w:gridCol w:w="1320"/>
        <w:gridCol w:w="1200"/>
        <w:gridCol w:w="1200"/>
        <w:gridCol w:w="1240"/>
      </w:tblGrid>
      <w:tr>
        <w:trPr>
          <w:trHeight w:val="255"/>
        </w:trPr>
        <w:tc>
          <w:tcPr>
            <w:tcW w:w="294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2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2015</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tc>
      </w:tr>
      <w:tr>
        <w:trPr>
          <w:trHeight w:val="510"/>
        </w:trPr>
        <w:tc>
          <w:tcPr>
            <w:tcW w:w="294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Oct 2015*</w:t>
            </w:r>
          </w:p>
        </w:tc>
        <w:tc>
          <w:tcPr>
            <w:tcW w:w="112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Actuals 2015</w:t>
            </w:r>
          </w:p>
        </w:tc>
        <w:tc>
          <w:tcPr>
            <w:tcW w:w="13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Oct 2015*</w:t>
            </w:r>
          </w:p>
        </w:tc>
        <w:tc>
          <w:tcPr>
            <w:tcW w:w="12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June 2016</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Oct 2015*</w:t>
            </w:r>
          </w:p>
        </w:tc>
        <w:tc>
          <w:tcPr>
            <w:tcW w:w="124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June 2016</w:t>
            </w:r>
          </w:p>
        </w:tc>
      </w:tr>
      <w:tr>
        <w:trPr>
          <w:trHeight w:val="255"/>
        </w:trPr>
        <w:tc>
          <w:tcPr>
            <w:tcW w:w="294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Regions</w:t>
            </w:r>
          </w:p>
        </w:tc>
        <w:tc>
          <w:tcPr>
            <w:tcW w:w="10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East Africa</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445</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484</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618</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 Africa</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795</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797</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918</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Central Africa</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348</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368</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513</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Caribbean</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197</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183</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176</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Pacific</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66</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63</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Southern Africa</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389</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396</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442</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2,241</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2,299</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2,729</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Other </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Peace Facility, Human rights</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371</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372</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436</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Water and Energy Facility</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71</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71</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Trust Fund (**)</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290</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Other (***)</w:t>
            </w:r>
          </w:p>
        </w:tc>
        <w:tc>
          <w:tcPr>
            <w:tcW w:w="108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470</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467</w:t>
            </w:r>
          </w:p>
        </w:tc>
        <w:tc>
          <w:tcPr>
            <w:tcW w:w="132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201</w:t>
            </w:r>
          </w:p>
        </w:tc>
        <w:tc>
          <w:tcPr>
            <w:tcW w:w="12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29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08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912</w:t>
            </w:r>
          </w:p>
        </w:tc>
        <w:tc>
          <w:tcPr>
            <w:tcW w:w="112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911</w:t>
            </w:r>
          </w:p>
        </w:tc>
        <w:tc>
          <w:tcPr>
            <w:tcW w:w="132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2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1,023</w:t>
            </w:r>
          </w:p>
        </w:tc>
        <w:tc>
          <w:tcPr>
            <w:tcW w:w="12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2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29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3,152</w:t>
            </w:r>
          </w:p>
        </w:tc>
        <w:tc>
          <w:tcPr>
            <w:tcW w:w="112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3,210</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3,550</w:t>
            </w:r>
          </w:p>
        </w:tc>
        <w:tc>
          <w:tcPr>
            <w:tcW w:w="12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3,751</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3,900</w:t>
            </w:r>
          </w:p>
        </w:tc>
        <w:tc>
          <w:tcPr>
            <w:tcW w:w="12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3,900</w:t>
            </w:r>
          </w:p>
        </w:tc>
      </w:tr>
      <w:tr>
        <w:trPr>
          <w:trHeight w:val="255"/>
        </w:trPr>
        <w:tc>
          <w:tcPr>
            <w:tcW w:w="29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Investment facility</w:t>
            </w:r>
          </w:p>
        </w:tc>
        <w:tc>
          <w:tcPr>
            <w:tcW w:w="10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275</w:t>
            </w:r>
          </w:p>
        </w:tc>
        <w:tc>
          <w:tcPr>
            <w:tcW w:w="112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351</w:t>
            </w:r>
          </w:p>
        </w:tc>
        <w:tc>
          <w:tcPr>
            <w:tcW w:w="132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370</w:t>
            </w:r>
          </w:p>
        </w:tc>
        <w:tc>
          <w:tcPr>
            <w:tcW w:w="12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370</w:t>
            </w:r>
          </w:p>
        </w:tc>
        <w:tc>
          <w:tcPr>
            <w:tcW w:w="12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410</w:t>
            </w:r>
          </w:p>
        </w:tc>
        <w:tc>
          <w:tcPr>
            <w:tcW w:w="124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410</w:t>
            </w:r>
          </w:p>
        </w:tc>
      </w:tr>
      <w:tr>
        <w:trPr>
          <w:trHeight w:val="255"/>
        </w:trPr>
        <w:tc>
          <w:tcPr>
            <w:tcW w:w="29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Interest rate subsidies (****)</w:t>
            </w:r>
          </w:p>
        </w:tc>
        <w:tc>
          <w:tcPr>
            <w:tcW w:w="108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c>
          <w:tcPr>
            <w:tcW w:w="112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w:t>
            </w:r>
          </w:p>
        </w:tc>
        <w:tc>
          <w:tcPr>
            <w:tcW w:w="132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12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12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24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r>
      <w:tr>
        <w:trPr>
          <w:trHeight w:val="255"/>
        </w:trPr>
        <w:tc>
          <w:tcPr>
            <w:tcW w:w="29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EIB</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300</w:t>
            </w:r>
          </w:p>
        </w:tc>
        <w:tc>
          <w:tcPr>
            <w:tcW w:w="112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373</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410</w:t>
            </w:r>
          </w:p>
        </w:tc>
        <w:tc>
          <w:tcPr>
            <w:tcW w:w="12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410</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460</w:t>
            </w:r>
          </w:p>
        </w:tc>
        <w:tc>
          <w:tcPr>
            <w:tcW w:w="12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460</w:t>
            </w:r>
          </w:p>
        </w:tc>
      </w:tr>
      <w:tr>
        <w:trPr>
          <w:trHeight w:val="255"/>
        </w:trPr>
        <w:tc>
          <w:tcPr>
            <w:tcW w:w="2940" w:type="dxa"/>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w:t>
            </w:r>
          </w:p>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European Commission + EIB</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3,452</w:t>
            </w:r>
          </w:p>
        </w:tc>
        <w:tc>
          <w:tcPr>
            <w:tcW w:w="112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3,583</w:t>
            </w:r>
          </w:p>
        </w:tc>
        <w:tc>
          <w:tcPr>
            <w:tcW w:w="13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3,960</w:t>
            </w:r>
          </w:p>
        </w:tc>
        <w:tc>
          <w:tcPr>
            <w:tcW w:w="12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4,161</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4,360</w:t>
            </w:r>
          </w:p>
        </w:tc>
        <w:tc>
          <w:tcPr>
            <w:tcW w:w="124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4,360</w:t>
            </w:r>
          </w:p>
        </w:tc>
      </w:tr>
    </w:tbl>
    <w:p>
      <w:pPr>
        <w:spacing w:before="120"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As per Communication from the Commission to the Council </w:t>
      </w:r>
    </w:p>
    <w:p>
      <w:pPr>
        <w:spacing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EU emergency Trust Fund for stability and addressing root causes of illegal migration in Africa.</w:t>
      </w:r>
      <w:r>
        <w:rPr>
          <w:rFonts w:ascii="Times New Roman" w:eastAsia="Times New Roman" w:hAnsi="Times New Roman" w:cs="Times New Roman"/>
          <w:noProof/>
          <w:sz w:val="20"/>
          <w:szCs w:val="20"/>
          <w:lang w:eastAsia="en-GB"/>
        </w:rPr>
        <w:br/>
        <w:t>** Includes support expenditures (e.g. joint institutions, ACP Secretariat), DG ECHO, other DG's and Agencies.</w:t>
      </w:r>
      <w:r>
        <w:rPr>
          <w:rFonts w:ascii="Times New Roman" w:eastAsia="Times New Roman" w:hAnsi="Times New Roman" w:cs="Times New Roman"/>
          <w:noProof/>
          <w:sz w:val="20"/>
          <w:szCs w:val="20"/>
          <w:lang w:eastAsia="en-GB"/>
        </w:rPr>
        <w:br/>
        <w:t>*** Including interest rate subsidies under previous EDFs</w:t>
      </w:r>
    </w:p>
    <w:p>
      <w:pPr>
        <w:spacing w:before="120" w:after="120" w:line="240" w:lineRule="auto"/>
        <w:rPr>
          <w:rFonts w:ascii="Times New Roman" w:eastAsia="Times New Roman" w:hAnsi="Times New Roman" w:cs="Times New Roman"/>
          <w:noProof/>
          <w:sz w:val="20"/>
          <w:szCs w:val="20"/>
          <w:lang w:eastAsia="en-GB"/>
        </w:rPr>
      </w:pPr>
    </w:p>
    <w:p>
      <w:pPr>
        <w:spacing w:before="120" w:after="120" w:line="240" w:lineRule="auto"/>
        <w:rPr>
          <w:rFonts w:ascii="Times New Roman" w:eastAsia="Times New Roman" w:hAnsi="Times New Roman" w:cs="Times New Roman"/>
          <w:noProof/>
          <w:sz w:val="20"/>
          <w:szCs w:val="20"/>
          <w:lang w:eastAsia="en-GB"/>
        </w:rPr>
      </w:pPr>
    </w:p>
    <w:p>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Attachment 3: Financial situation for 2015, forecasts for 2016 and 2017 (EUR million) and non-binding estimations for 2018-2019:</w:t>
      </w:r>
    </w:p>
    <w:tbl>
      <w:tblPr>
        <w:tblW w:w="11960" w:type="dxa"/>
        <w:tblInd w:w="108" w:type="dxa"/>
        <w:tblLook w:val="04A0" w:firstRow="1" w:lastRow="0" w:firstColumn="1" w:lastColumn="0" w:noHBand="0" w:noVBand="1"/>
      </w:tblPr>
      <w:tblGrid>
        <w:gridCol w:w="640"/>
        <w:gridCol w:w="4000"/>
        <w:gridCol w:w="1380"/>
        <w:gridCol w:w="1120"/>
        <w:gridCol w:w="1120"/>
        <w:gridCol w:w="1460"/>
        <w:gridCol w:w="1120"/>
        <w:gridCol w:w="1120"/>
      </w:tblGrid>
      <w:tr>
        <w:trPr>
          <w:trHeight w:val="222"/>
        </w:trPr>
        <w:tc>
          <w:tcPr>
            <w:tcW w:w="64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40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3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October 2015 </w:t>
            </w:r>
            <w:r>
              <w:rPr>
                <w:rFonts w:ascii="Times New Roman" w:eastAsia="Times New Roman" w:hAnsi="Times New Roman" w:cs="Times New Roman"/>
                <w:b/>
                <w:bCs/>
                <w:noProof/>
                <w:sz w:val="20"/>
                <w:szCs w:val="20"/>
                <w:vertAlign w:val="superscript"/>
                <w:lang w:eastAsia="en-GB"/>
              </w:rPr>
              <w:t>1</w:t>
            </w:r>
          </w:p>
        </w:tc>
        <w:tc>
          <w:tcPr>
            <w:tcW w:w="3700" w:type="dxa"/>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June 2016 </w:t>
            </w:r>
            <w:r>
              <w:rPr>
                <w:rFonts w:ascii="Times New Roman" w:eastAsia="Times New Roman" w:hAnsi="Times New Roman" w:cs="Times New Roman"/>
                <w:b/>
                <w:bCs/>
                <w:noProof/>
                <w:sz w:val="20"/>
                <w:szCs w:val="20"/>
                <w:vertAlign w:val="superscript"/>
                <w:lang w:eastAsia="en-GB"/>
              </w:rPr>
              <w:t>1</w:t>
            </w:r>
          </w:p>
        </w:tc>
      </w:tr>
      <w:tr>
        <w:trPr>
          <w:trHeight w:val="222"/>
        </w:trPr>
        <w:tc>
          <w:tcPr>
            <w:tcW w:w="64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4000"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p>
        </w:tc>
        <w:tc>
          <w:tcPr>
            <w:tcW w:w="138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Commission</w:t>
            </w:r>
          </w:p>
        </w:tc>
        <w:tc>
          <w:tcPr>
            <w:tcW w:w="11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EIB</w:t>
            </w:r>
            <w:r>
              <w:rPr>
                <w:rFonts w:ascii="Times New Roman" w:eastAsia="Times New Roman" w:hAnsi="Times New Roman" w:cs="Times New Roman"/>
                <w:b/>
                <w:bCs/>
                <w:noProof/>
                <w:sz w:val="20"/>
                <w:szCs w:val="20"/>
                <w:vertAlign w:val="superscript"/>
                <w:lang w:eastAsia="en-GB"/>
              </w:rPr>
              <w:t xml:space="preserve"> 6</w:t>
            </w:r>
          </w:p>
        </w:tc>
        <w:tc>
          <w:tcPr>
            <w:tcW w:w="1120" w:type="dxa"/>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w:t>
            </w:r>
          </w:p>
        </w:tc>
        <w:tc>
          <w:tcPr>
            <w:tcW w:w="146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Commission</w:t>
            </w:r>
          </w:p>
        </w:tc>
        <w:tc>
          <w:tcPr>
            <w:tcW w:w="112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EIB</w:t>
            </w:r>
            <w:r>
              <w:rPr>
                <w:rFonts w:ascii="Times New Roman" w:eastAsia="Times New Roman" w:hAnsi="Times New Roman" w:cs="Times New Roman"/>
                <w:b/>
                <w:bCs/>
                <w:noProof/>
                <w:sz w:val="20"/>
                <w:szCs w:val="20"/>
                <w:vertAlign w:val="superscript"/>
                <w:lang w:eastAsia="en-GB"/>
              </w:rPr>
              <w:t xml:space="preserve"> 6</w:t>
            </w:r>
          </w:p>
        </w:tc>
        <w:tc>
          <w:tcPr>
            <w:tcW w:w="1120" w:type="dxa"/>
            <w:tcBorders>
              <w:top w:val="nil"/>
              <w:left w:val="nil"/>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w:t>
            </w:r>
          </w:p>
        </w:tc>
      </w:tr>
      <w:tr>
        <w:trPr>
          <w:trHeight w:val="222"/>
        </w:trPr>
        <w:tc>
          <w:tcPr>
            <w:tcW w:w="640" w:type="dxa"/>
            <w:tcBorders>
              <w:top w:val="nil"/>
              <w:left w:val="nil"/>
              <w:bottom w:val="single" w:sz="4" w:space="0" w:color="auto"/>
              <w:right w:val="single" w:sz="4" w:space="0" w:color="auto"/>
            </w:tcBorders>
            <w:shd w:val="clear" w:color="auto" w:fill="auto"/>
            <w:noWrap/>
            <w:textDirection w:val="btLr"/>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Balance 31/12/2014</w:t>
            </w:r>
            <w:r>
              <w:rPr>
                <w:rFonts w:ascii="Times New Roman" w:eastAsia="Times New Roman" w:hAnsi="Times New Roman" w:cs="Times New Roman"/>
                <w:b/>
                <w:bCs/>
                <w:noProof/>
                <w:sz w:val="20"/>
                <w:szCs w:val="20"/>
                <w:vertAlign w:val="superscript"/>
                <w:lang w:eastAsia="en-GB"/>
              </w:rPr>
              <w:t xml:space="preserve"> 1</w:t>
            </w:r>
          </w:p>
        </w:tc>
        <w:tc>
          <w:tcPr>
            <w:tcW w:w="13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207</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194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401</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207</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194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401</w:t>
            </w:r>
          </w:p>
        </w:tc>
      </w:tr>
      <w:tr>
        <w:trPr>
          <w:trHeight w:val="222"/>
        </w:trPr>
        <w:tc>
          <w:tcPr>
            <w:tcW w:w="640" w:type="dxa"/>
            <w:vMerge w:val="restart"/>
            <w:tcBorders>
              <w:top w:val="nil"/>
              <w:left w:val="single" w:sz="4" w:space="0" w:color="auto"/>
              <w:bottom w:val="single" w:sz="4" w:space="0" w:color="000000"/>
              <w:right w:val="nil"/>
            </w:tcBorders>
            <w:shd w:val="clear" w:color="auto" w:fill="auto"/>
            <w:noWrap/>
            <w:textDirection w:val="btLr"/>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2015</w:t>
            </w:r>
          </w:p>
        </w:tc>
        <w:tc>
          <w:tcPr>
            <w:tcW w:w="4000"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Member States Contributions for 2015:</w:t>
            </w:r>
          </w:p>
        </w:tc>
        <w:tc>
          <w:tcPr>
            <w:tcW w:w="138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3,200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3,200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3,400</w:t>
            </w:r>
          </w:p>
        </w:tc>
      </w:tr>
      <w:tr>
        <w:trPr>
          <w:trHeight w:val="222"/>
        </w:trPr>
        <w:tc>
          <w:tcPr>
            <w:tcW w:w="640" w:type="dxa"/>
            <w:vMerge/>
            <w:tcBorders>
              <w:top w:val="nil"/>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 xml:space="preserve">     1st instalment</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1,550</w:t>
            </w:r>
          </w:p>
        </w:tc>
      </w:tr>
      <w:tr>
        <w:trPr>
          <w:trHeight w:val="222"/>
        </w:trPr>
        <w:tc>
          <w:tcPr>
            <w:tcW w:w="640" w:type="dxa"/>
            <w:vMerge/>
            <w:tcBorders>
              <w:top w:val="nil"/>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 xml:space="preserve">     2nd instalment</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950</w:t>
            </w:r>
          </w:p>
        </w:tc>
      </w:tr>
      <w:tr>
        <w:trPr>
          <w:trHeight w:val="222"/>
        </w:trPr>
        <w:tc>
          <w:tcPr>
            <w:tcW w:w="640" w:type="dxa"/>
            <w:vMerge/>
            <w:tcBorders>
              <w:top w:val="nil"/>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 xml:space="preserve">     3rd instalment</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900</w:t>
            </w:r>
          </w:p>
        </w:tc>
      </w:tr>
      <w:tr>
        <w:trPr>
          <w:trHeight w:val="222"/>
        </w:trPr>
        <w:tc>
          <w:tcPr>
            <w:tcW w:w="640" w:type="dxa"/>
            <w:vMerge/>
            <w:tcBorders>
              <w:top w:val="nil"/>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Reflows</w:t>
            </w:r>
            <w:r>
              <w:rPr>
                <w:rFonts w:ascii="Times New Roman" w:eastAsia="Times New Roman" w:hAnsi="Times New Roman" w:cs="Times New Roman"/>
                <w:noProof/>
                <w:sz w:val="20"/>
                <w:szCs w:val="20"/>
                <w:vertAlign w:val="superscript"/>
                <w:lang w:eastAsia="en-GB"/>
              </w:rPr>
              <w:t xml:space="preserve"> 2</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196</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196</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201</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201</w:t>
            </w:r>
          </w:p>
        </w:tc>
      </w:tr>
      <w:tr>
        <w:trPr>
          <w:trHeight w:val="222"/>
        </w:trPr>
        <w:tc>
          <w:tcPr>
            <w:tcW w:w="640" w:type="dxa"/>
            <w:vMerge/>
            <w:tcBorders>
              <w:top w:val="nil"/>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Contributions 2015 received in 2014</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-228</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-228</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-228</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-228</w:t>
            </w:r>
          </w:p>
        </w:tc>
      </w:tr>
      <w:tr>
        <w:trPr>
          <w:trHeight w:val="222"/>
        </w:trPr>
        <w:tc>
          <w:tcPr>
            <w:tcW w:w="640" w:type="dxa"/>
            <w:vMerge/>
            <w:tcBorders>
              <w:top w:val="nil"/>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Contributions 2016 received in 2015</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307</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307</w:t>
            </w:r>
          </w:p>
        </w:tc>
      </w:tr>
      <w:tr>
        <w:trPr>
          <w:trHeight w:val="222"/>
        </w:trPr>
        <w:tc>
          <w:tcPr>
            <w:tcW w:w="640" w:type="dxa"/>
            <w:vMerge/>
            <w:tcBorders>
              <w:top w:val="nil"/>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Recoveries, interest and other incomes</w:t>
            </w:r>
          </w:p>
        </w:tc>
        <w:tc>
          <w:tcPr>
            <w:tcW w:w="138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232</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232</w:t>
            </w:r>
          </w:p>
        </w:tc>
      </w:tr>
      <w:tr>
        <w:trPr>
          <w:trHeight w:val="222"/>
        </w:trPr>
        <w:tc>
          <w:tcPr>
            <w:tcW w:w="640" w:type="dxa"/>
            <w:vMerge/>
            <w:tcBorders>
              <w:top w:val="nil"/>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single" w:sz="4" w:space="0" w:color="auto"/>
              <w:bottom w:val="nil"/>
              <w:right w:val="single" w:sz="4" w:space="0" w:color="auto"/>
            </w:tcBorders>
            <w:shd w:val="clear" w:color="auto" w:fill="auto"/>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Total payments</w:t>
            </w:r>
            <w:r>
              <w:rPr>
                <w:rFonts w:ascii="Times New Roman" w:eastAsia="Times New Roman" w:hAnsi="Times New Roman" w:cs="Times New Roman"/>
                <w:noProof/>
                <w:sz w:val="20"/>
                <w:szCs w:val="20"/>
                <w:vertAlign w:val="superscript"/>
                <w:lang w:eastAsia="en-GB"/>
              </w:rPr>
              <w:t xml:space="preserve"> 3</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-3,152</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-3,452</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-3,210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-373</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-3,583</w:t>
            </w:r>
          </w:p>
        </w:tc>
      </w:tr>
      <w:tr>
        <w:trPr>
          <w:trHeight w:val="222"/>
        </w:trPr>
        <w:tc>
          <w:tcPr>
            <w:tcW w:w="640" w:type="dxa"/>
            <w:vMerge/>
            <w:tcBorders>
              <w:top w:val="nil"/>
              <w:left w:val="single" w:sz="4" w:space="0" w:color="auto"/>
              <w:bottom w:val="single" w:sz="4" w:space="0" w:color="000000"/>
              <w:right w:val="nil"/>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Balance 31/12/2015</w:t>
            </w:r>
            <w:r>
              <w:rPr>
                <w:rFonts w:ascii="Times New Roman" w:eastAsia="Times New Roman" w:hAnsi="Times New Roman" w:cs="Times New Roman"/>
                <w:b/>
                <w:bCs/>
                <w:noProof/>
                <w:sz w:val="20"/>
                <w:szCs w:val="20"/>
                <w:vertAlign w:val="superscript"/>
                <w:lang w:eastAsia="en-GB"/>
              </w:rPr>
              <w:t xml:space="preserve"> 4</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107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290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508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222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744</w:t>
            </w:r>
          </w:p>
        </w:tc>
      </w:tr>
      <w:tr>
        <w:trPr>
          <w:trHeight w:val="222"/>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2016</w:t>
            </w:r>
          </w:p>
        </w:tc>
        <w:tc>
          <w:tcPr>
            <w:tcW w:w="40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Member States Contributions for 2016:</w:t>
            </w:r>
          </w:p>
        </w:tc>
        <w:tc>
          <w:tcPr>
            <w:tcW w:w="138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 xml:space="preserve">     1st instalment</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1,750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 xml:space="preserve">     2nd instalment</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1,100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 xml:space="preserve">     3rd instalment</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Reflows</w:t>
            </w:r>
            <w:r>
              <w:rPr>
                <w:rFonts w:ascii="Times New Roman" w:eastAsia="Times New Roman" w:hAnsi="Times New Roman" w:cs="Times New Roman"/>
                <w:noProof/>
                <w:sz w:val="20"/>
                <w:szCs w:val="20"/>
                <w:vertAlign w:val="superscript"/>
                <w:lang w:eastAsia="en-GB"/>
              </w:rPr>
              <w:t xml:space="preserve"> 2</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Contributions 2016 received in 2015</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-307</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-307</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Recoveries, interest and other incomes</w:t>
            </w:r>
          </w:p>
        </w:tc>
        <w:tc>
          <w:tcPr>
            <w:tcW w:w="138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Total payments</w:t>
            </w:r>
            <w:r>
              <w:rPr>
                <w:rFonts w:ascii="Times New Roman" w:eastAsia="Times New Roman" w:hAnsi="Times New Roman" w:cs="Times New Roman"/>
                <w:noProof/>
                <w:sz w:val="20"/>
                <w:szCs w:val="20"/>
                <w:vertAlign w:val="superscript"/>
                <w:lang w:eastAsia="en-GB"/>
              </w:rPr>
              <w:t xml:space="preserve"> 3</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-3,960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-3,751</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-4,161</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Balance at 31/12/2016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w:t>
            </w:r>
            <w:r>
              <w:rPr>
                <w:rFonts w:ascii="Times New Roman" w:eastAsia="Times New Roman" w:hAnsi="Times New Roman" w:cs="Times New Roman"/>
                <w:bCs/>
                <w:noProof/>
                <w:sz w:val="20"/>
                <w:szCs w:val="20"/>
                <w:vertAlign w:val="superscript"/>
                <w:lang w:eastAsia="en-GB"/>
              </w:rPr>
              <w:t>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222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w:t>
            </w:r>
          </w:p>
        </w:tc>
      </w:tr>
      <w:tr>
        <w:trPr>
          <w:trHeight w:val="222"/>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tc>
        <w:tc>
          <w:tcPr>
            <w:tcW w:w="40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Member States Contributions for 2017:</w:t>
            </w:r>
          </w:p>
        </w:tc>
        <w:tc>
          <w:tcPr>
            <w:tcW w:w="138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Reflows</w:t>
            </w:r>
            <w:r>
              <w:rPr>
                <w:rFonts w:ascii="Times New Roman" w:eastAsia="Times New Roman" w:hAnsi="Times New Roman" w:cs="Times New Roman"/>
                <w:noProof/>
                <w:sz w:val="20"/>
                <w:szCs w:val="20"/>
                <w:vertAlign w:val="superscript"/>
                <w:lang w:eastAsia="en-GB"/>
              </w:rPr>
              <w:t xml:space="preserve"> 2</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Recoveries, interest and other</w:t>
            </w:r>
          </w:p>
        </w:tc>
        <w:tc>
          <w:tcPr>
            <w:tcW w:w="138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nil"/>
              <w:left w:val="nil"/>
              <w:bottom w:val="nil"/>
              <w:right w:val="single" w:sz="4" w:space="0" w:color="auto"/>
            </w:tcBorders>
            <w:shd w:val="clear" w:color="auto" w:fill="auto"/>
            <w:vAlign w:val="bottom"/>
            <w:hideMark/>
          </w:tcPr>
          <w:p>
            <w:pPr>
              <w:spacing w:after="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Total payments</w:t>
            </w:r>
            <w:r>
              <w:rPr>
                <w:rFonts w:ascii="Times New Roman" w:eastAsia="Times New Roman" w:hAnsi="Times New Roman" w:cs="Times New Roman"/>
                <w:noProof/>
                <w:sz w:val="20"/>
                <w:szCs w:val="20"/>
                <w:vertAlign w:val="superscript"/>
                <w:lang w:eastAsia="en-GB"/>
              </w:rPr>
              <w:t xml:space="preserve"> 3</w:t>
            </w:r>
          </w:p>
        </w:tc>
        <w:tc>
          <w:tcPr>
            <w:tcW w:w="138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-4,360</w:t>
            </w:r>
          </w:p>
        </w:tc>
        <w:tc>
          <w:tcPr>
            <w:tcW w:w="146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-3,900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-460</w:t>
            </w:r>
          </w:p>
        </w:tc>
        <w:tc>
          <w:tcPr>
            <w:tcW w:w="1120" w:type="dxa"/>
            <w:tcBorders>
              <w:top w:val="nil"/>
              <w:left w:val="nil"/>
              <w:bottom w:val="nil"/>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-4,360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20"/>
                <w:szCs w:val="20"/>
                <w:lang w:eastAsia="en-GB"/>
              </w:rPr>
            </w:pPr>
          </w:p>
        </w:tc>
        <w:tc>
          <w:tcPr>
            <w:tcW w:w="400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Balance at 31/12/2017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187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w:t>
            </w:r>
            <w:r>
              <w:rPr>
                <w:rFonts w:ascii="Times New Roman" w:eastAsia="Times New Roman" w:hAnsi="Times New Roman" w:cs="Times New Roman"/>
                <w:bCs/>
                <w:noProof/>
                <w:sz w:val="20"/>
                <w:szCs w:val="20"/>
                <w:vertAlign w:val="superscript"/>
                <w:lang w:eastAsia="en-GB"/>
              </w:rPr>
              <w:t>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192</w:t>
            </w:r>
          </w:p>
        </w:tc>
      </w:tr>
      <w:tr>
        <w:trPr>
          <w:trHeight w:val="2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2018</w:t>
            </w:r>
          </w:p>
        </w:tc>
        <w:tc>
          <w:tcPr>
            <w:tcW w:w="4000"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Member States Contributions for 2018</w:t>
            </w:r>
            <w:r>
              <w:rPr>
                <w:rFonts w:ascii="Times New Roman" w:eastAsia="Times New Roman" w:hAnsi="Times New Roman" w:cs="Times New Roman"/>
                <w:noProof/>
                <w:color w:val="FF0000"/>
                <w:sz w:val="20"/>
                <w:szCs w:val="20"/>
                <w:vertAlign w:val="superscript"/>
                <w:lang w:eastAsia="en-GB"/>
              </w:rPr>
              <w:t xml:space="preserve"> 5</w:t>
            </w:r>
          </w:p>
        </w:tc>
        <w:tc>
          <w:tcPr>
            <w:tcW w:w="13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4,050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4,250</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4,550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250*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4,800</w:t>
            </w:r>
          </w:p>
        </w:tc>
      </w:tr>
      <w:tr>
        <w:trPr>
          <w:trHeight w:val="2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2019</w:t>
            </w:r>
          </w:p>
        </w:tc>
        <w:tc>
          <w:tcPr>
            <w:tcW w:w="4000"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Member States Contributions for 2019</w:t>
            </w:r>
            <w:r>
              <w:rPr>
                <w:rFonts w:ascii="Times New Roman" w:eastAsia="Times New Roman" w:hAnsi="Times New Roman" w:cs="Times New Roman"/>
                <w:noProof/>
                <w:color w:val="FF0000"/>
                <w:sz w:val="20"/>
                <w:szCs w:val="20"/>
                <w:vertAlign w:val="superscript"/>
                <w:lang w:eastAsia="en-GB"/>
              </w:rPr>
              <w:t xml:space="preserve"> 5</w:t>
            </w:r>
          </w:p>
        </w:tc>
        <w:tc>
          <w:tcPr>
            <w:tcW w:w="138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4,150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4,450</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4,800</w:t>
            </w:r>
          </w:p>
        </w:tc>
      </w:tr>
    </w:tbl>
    <w:p>
      <w:pPr>
        <w:spacing w:after="0" w:line="240" w:lineRule="auto"/>
        <w:ind w:left="851"/>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w:t>
      </w:r>
      <w:r>
        <w:rPr>
          <w:rFonts w:ascii="Times New Roman" w:eastAsia="Times New Roman" w:hAnsi="Times New Roman" w:cs="Times New Roman"/>
          <w:noProof/>
          <w:sz w:val="16"/>
          <w:szCs w:val="16"/>
          <w:lang w:eastAsia="en-GB"/>
        </w:rPr>
        <w:tab/>
        <w:t>Funds available for operations as per Communication from the Commission to the Council;</w:t>
      </w:r>
      <w:r>
        <w:rPr>
          <w:rFonts w:ascii="Times New Roman" w:eastAsia="Times New Roman" w:hAnsi="Times New Roman" w:cs="Times New Roman"/>
          <w:noProof/>
          <w:sz w:val="16"/>
          <w:szCs w:val="16"/>
          <w:lang w:eastAsia="en-GB"/>
        </w:rPr>
        <w:br/>
        <w:t>2</w:t>
      </w:r>
      <w:r>
        <w:rPr>
          <w:rFonts w:ascii="Times New Roman" w:eastAsia="Times New Roman" w:hAnsi="Times New Roman" w:cs="Times New Roman"/>
          <w:noProof/>
          <w:sz w:val="16"/>
          <w:szCs w:val="16"/>
          <w:lang w:eastAsia="en-GB"/>
        </w:rPr>
        <w:tab/>
        <w:t>Net of EIB management fees;</w:t>
      </w:r>
      <w:r>
        <w:rPr>
          <w:rFonts w:ascii="Times New Roman" w:eastAsia="Times New Roman" w:hAnsi="Times New Roman" w:cs="Times New Roman"/>
          <w:noProof/>
          <w:sz w:val="16"/>
          <w:szCs w:val="16"/>
          <w:lang w:eastAsia="en-GB"/>
        </w:rPr>
        <w:br/>
        <w:t>3</w:t>
      </w:r>
      <w:r>
        <w:rPr>
          <w:rFonts w:ascii="Times New Roman" w:eastAsia="Times New Roman" w:hAnsi="Times New Roman" w:cs="Times New Roman"/>
          <w:noProof/>
          <w:sz w:val="16"/>
          <w:szCs w:val="16"/>
          <w:lang w:eastAsia="en-GB"/>
        </w:rPr>
        <w:tab/>
        <w:t>Including interest rates subsidies under the previous EDFs;</w:t>
      </w:r>
      <w:r>
        <w:rPr>
          <w:rFonts w:ascii="Times New Roman" w:eastAsia="Times New Roman" w:hAnsi="Times New Roman" w:cs="Times New Roman"/>
          <w:noProof/>
          <w:sz w:val="16"/>
          <w:szCs w:val="16"/>
          <w:lang w:eastAsia="en-GB"/>
        </w:rPr>
        <w:br/>
        <w:t>4</w:t>
      </w:r>
      <w:r>
        <w:rPr>
          <w:rFonts w:ascii="Times New Roman" w:eastAsia="Times New Roman" w:hAnsi="Times New Roman" w:cs="Times New Roman"/>
          <w:noProof/>
          <w:sz w:val="16"/>
          <w:szCs w:val="16"/>
          <w:lang w:eastAsia="en-GB"/>
        </w:rPr>
        <w:tab/>
        <w:t>Balances do not include: (i) Cofinancings received by 31.12.2015, (ii) Receipts in bank not yet allocated to a specific EDF line, (iii) Special fund for Democratic republic of the Congo;</w:t>
      </w:r>
      <w:r>
        <w:rPr>
          <w:rFonts w:ascii="Times New Roman" w:eastAsia="Times New Roman" w:hAnsi="Times New Roman" w:cs="Times New Roman"/>
          <w:noProof/>
          <w:sz w:val="16"/>
          <w:szCs w:val="16"/>
          <w:lang w:eastAsia="en-GB"/>
        </w:rPr>
        <w:br/>
        <w:t>5</w:t>
      </w:r>
      <w:r>
        <w:rPr>
          <w:rFonts w:ascii="Times New Roman" w:eastAsia="Times New Roman" w:hAnsi="Times New Roman" w:cs="Times New Roman"/>
          <w:noProof/>
          <w:sz w:val="16"/>
          <w:szCs w:val="16"/>
          <w:lang w:eastAsia="en-GB"/>
        </w:rPr>
        <w:tab/>
        <w:t>Art.21(2)(d) Financial Regulation: non-binding forecast based on a statistical approach for the expected annual contributions for the years n + 3 and n + 4;</w:t>
      </w:r>
      <w:r>
        <w:rPr>
          <w:rFonts w:ascii="Times New Roman" w:eastAsia="Times New Roman" w:hAnsi="Times New Roman" w:cs="Times New Roman"/>
          <w:noProof/>
          <w:sz w:val="16"/>
          <w:szCs w:val="16"/>
          <w:lang w:eastAsia="en-GB"/>
        </w:rPr>
        <w:br/>
        <w:t>6</w:t>
      </w:r>
      <w:r>
        <w:rPr>
          <w:rFonts w:ascii="Times New Roman" w:eastAsia="Times New Roman" w:hAnsi="Times New Roman" w:cs="Times New Roman"/>
          <w:noProof/>
          <w:sz w:val="16"/>
          <w:szCs w:val="16"/>
          <w:lang w:eastAsia="en-GB"/>
        </w:rPr>
        <w:tab/>
        <w:t>Art.21(1), calls for contributions shall first use up the amounts laid down for previous EDFs, one after the other. Therefore calls under the 11th EDF to finance the IFE are further delayed.</w:t>
      </w:r>
    </w:p>
    <w:p>
      <w:pPr>
        <w:spacing w:after="0" w:line="240" w:lineRule="auto"/>
        <w:ind w:left="851"/>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7-8</w:t>
      </w:r>
      <w:r>
        <w:rPr>
          <w:rFonts w:ascii="Times New Roman" w:eastAsia="Times New Roman" w:hAnsi="Times New Roman" w:cs="Times New Roman"/>
          <w:noProof/>
          <w:sz w:val="16"/>
          <w:szCs w:val="16"/>
          <w:lang w:eastAsia="en-GB"/>
        </w:rPr>
        <w:tab/>
        <w:t>The EDF treasury balance can never be negative. Any negative amounts in the table indicates a shortage of payment credits.</w:t>
      </w:r>
      <w:r>
        <w:rPr>
          <w:rFonts w:ascii="Times New Roman" w:eastAsia="Times New Roman" w:hAnsi="Times New Roman" w:cs="Times New Roman"/>
          <w:noProof/>
          <w:sz w:val="16"/>
          <w:szCs w:val="16"/>
          <w:lang w:eastAsia="en-GB"/>
        </w:rPr>
        <w:br/>
        <w:t>* EIB request of contributions for 2018: EIB explanatory note for information of 17/11/2015, MD no: 151/15 ADD 1 ACP</w:t>
      </w:r>
    </w:p>
    <w:p>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Attachment 4: Member States contributions for 2016 (EUR)</w:t>
      </w:r>
    </w:p>
    <w:tbl>
      <w:tblPr>
        <w:tblW w:w="14340" w:type="dxa"/>
        <w:tblInd w:w="93" w:type="dxa"/>
        <w:tblLook w:val="04A0" w:firstRow="1" w:lastRow="0" w:firstColumn="1" w:lastColumn="0" w:noHBand="0" w:noVBand="1"/>
      </w:tblPr>
      <w:tblGrid>
        <w:gridCol w:w="1800"/>
        <w:gridCol w:w="840"/>
        <w:gridCol w:w="1034"/>
        <w:gridCol w:w="1506"/>
        <w:gridCol w:w="1229"/>
        <w:gridCol w:w="1371"/>
        <w:gridCol w:w="1171"/>
        <w:gridCol w:w="1269"/>
        <w:gridCol w:w="1260"/>
        <w:gridCol w:w="1380"/>
        <w:gridCol w:w="1480"/>
      </w:tblGrid>
      <w:tr>
        <w:trPr>
          <w:trHeight w:val="282"/>
        </w:trPr>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 %</w:t>
            </w:r>
          </w:p>
        </w:tc>
        <w:tc>
          <w:tcPr>
            <w:tcW w:w="2540" w:type="dxa"/>
            <w:gridSpan w:val="2"/>
            <w:tcBorders>
              <w:top w:val="single" w:sz="4" w:space="0" w:color="auto"/>
              <w:left w:val="nil"/>
              <w:bottom w:val="single" w:sz="4" w:space="0" w:color="000000"/>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w:t>
            </w:r>
            <w:r>
              <w:rPr>
                <w:rFonts w:ascii="Times New Roman" w:eastAsia="Times New Roman" w:hAnsi="Times New Roman" w:cs="Times New Roman"/>
                <w:b/>
                <w:bCs/>
                <w:noProof/>
                <w:sz w:val="16"/>
                <w:szCs w:val="16"/>
                <w:vertAlign w:val="superscript"/>
                <w:lang w:eastAsia="en-GB"/>
              </w:rPr>
              <w:t>st</w:t>
            </w:r>
            <w:r>
              <w:rPr>
                <w:rFonts w:ascii="Times New Roman" w:eastAsia="Times New Roman" w:hAnsi="Times New Roman" w:cs="Times New Roman"/>
                <w:b/>
                <w:bCs/>
                <w:noProof/>
                <w:sz w:val="16"/>
                <w:szCs w:val="16"/>
                <w:lang w:eastAsia="en-GB"/>
              </w:rPr>
              <w:t xml:space="preserve"> instalment</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w:t>
            </w:r>
            <w:r>
              <w:rPr>
                <w:rFonts w:ascii="Times New Roman" w:eastAsia="Times New Roman" w:hAnsi="Times New Roman" w:cs="Times New Roman"/>
                <w:b/>
                <w:bCs/>
                <w:noProof/>
                <w:sz w:val="16"/>
                <w:szCs w:val="16"/>
                <w:vertAlign w:val="superscript"/>
                <w:lang w:eastAsia="en-GB"/>
              </w:rPr>
              <w:t>nd</w:t>
            </w:r>
            <w:r>
              <w:rPr>
                <w:rFonts w:ascii="Times New Roman" w:eastAsia="Times New Roman" w:hAnsi="Times New Roman" w:cs="Times New Roman"/>
                <w:b/>
                <w:bCs/>
                <w:noProof/>
                <w:sz w:val="16"/>
                <w:szCs w:val="16"/>
                <w:lang w:eastAsia="en-GB"/>
              </w:rPr>
              <w:t xml:space="preserve"> instalment</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3</w:t>
            </w:r>
            <w:r>
              <w:rPr>
                <w:rFonts w:ascii="Times New Roman" w:eastAsia="Times New Roman" w:hAnsi="Times New Roman" w:cs="Times New Roman"/>
                <w:b/>
                <w:bCs/>
                <w:noProof/>
                <w:sz w:val="16"/>
                <w:szCs w:val="16"/>
                <w:vertAlign w:val="superscript"/>
                <w:lang w:eastAsia="en-GB"/>
              </w:rPr>
              <w:t>rd</w:t>
            </w:r>
            <w:r>
              <w:rPr>
                <w:rFonts w:ascii="Times New Roman" w:eastAsia="Times New Roman" w:hAnsi="Times New Roman" w:cs="Times New Roman"/>
                <w:b/>
                <w:bCs/>
                <w:noProof/>
                <w:sz w:val="16"/>
                <w:szCs w:val="16"/>
                <w:lang w:eastAsia="en-GB"/>
              </w:rPr>
              <w:t xml:space="preserve"> instalment</w:t>
            </w:r>
          </w:p>
        </w:tc>
        <w:tc>
          <w:tcPr>
            <w:tcW w:w="1260" w:type="dxa"/>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EIB</w:t>
            </w:r>
          </w:p>
        </w:tc>
        <w:tc>
          <w:tcPr>
            <w:tcW w:w="1380" w:type="dxa"/>
            <w:vMerge w:val="restart"/>
            <w:tcBorders>
              <w:top w:val="single" w:sz="4" w:space="0" w:color="auto"/>
              <w:left w:val="single" w:sz="4" w:space="0" w:color="auto"/>
              <w:bottom w:val="nil"/>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Commission</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2016</w:t>
            </w:r>
          </w:p>
        </w:tc>
      </w:tr>
      <w:tr>
        <w:trPr>
          <w:trHeight w:val="225"/>
        </w:trPr>
        <w:tc>
          <w:tcPr>
            <w:tcW w:w="18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paid to</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paid to</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paid to</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paid to</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paid to</w:t>
            </w:r>
          </w:p>
        </w:tc>
        <w:tc>
          <w:tcPr>
            <w:tcW w:w="1269"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paid to</w:t>
            </w:r>
          </w:p>
        </w:tc>
        <w:tc>
          <w:tcPr>
            <w:tcW w:w="126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380" w:type="dxa"/>
            <w:vMerge/>
            <w:tcBorders>
              <w:top w:val="single" w:sz="4" w:space="0" w:color="auto"/>
              <w:left w:val="single" w:sz="4" w:space="0" w:color="auto"/>
              <w:bottom w:val="nil"/>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25"/>
        </w:trPr>
        <w:tc>
          <w:tcPr>
            <w:tcW w:w="18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1269"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126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380" w:type="dxa"/>
            <w:vMerge/>
            <w:tcBorders>
              <w:top w:val="single" w:sz="4" w:space="0" w:color="auto"/>
              <w:left w:val="single" w:sz="4" w:space="0" w:color="auto"/>
              <w:bottom w:val="nil"/>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25"/>
        </w:trPr>
        <w:tc>
          <w:tcPr>
            <w:tcW w:w="180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0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150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12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137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117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126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1260" w:type="dxa"/>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380" w:type="dxa"/>
            <w:vMerge/>
            <w:tcBorders>
              <w:top w:val="single" w:sz="4" w:space="0" w:color="auto"/>
              <w:left w:val="single" w:sz="4" w:space="0" w:color="auto"/>
              <w:bottom w:val="nil"/>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AUSTRIA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42 175 000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2 410 000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24 100 000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1 205 000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16 870 000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3 615 000</w:t>
            </w:r>
          </w:p>
        </w:tc>
        <w:tc>
          <w:tcPr>
            <w:tcW w:w="1380"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83 145 000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86 760 000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BELGIUM</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61 775 000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3 530 000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35 300 000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1 765 000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24 710 000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5 295 000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121 785 000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127 080 000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BULGARIA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0.14</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2 450 000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4 830 000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5 040 000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CYPRUS</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0.09</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1 575 000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3 105 000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3 240 000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CZECH REPUBLIC</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0.51</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8 925 000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5 100 000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3 570 000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17 595 000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18 360 000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DENMARK</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35 000 000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2 000 000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20 000 000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1 000 000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14 000 000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3 000 000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69 000 000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72 000 000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ESTONIA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0.05</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875 000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1 800 000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FINLAND</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25 725 000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1 470 000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14 700 000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10 290 000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50 715 000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52 920 000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FRANCE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342 125 000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19 550 000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195 500 000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9 775 000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136 850 000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29 325 000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674 475 000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703 800 000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GERMANY</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358 750 000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20 500 000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205 000 000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10 250 000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143 500 000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30 750 000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707 250 000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738 000 000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GREECE</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25 725 000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1 470 000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14 700 000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10 290 000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50 715 000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52 920 000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HUNGARY</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0.55</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9 625 000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5 500 000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3 850 000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18 975 000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19 800 000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IRELAND</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0.91</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15 925 000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9 100 000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6 370 000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1 365 000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31 395 000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32 760 000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ITALY</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225 050 000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12 860 000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128 600 000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6 430 000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90 020 000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19 290 000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443 670 000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462 960 000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LATVIA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0.07</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2 415 000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2 520 000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LITHUANIA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0.12</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2 100 000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4 140 000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4 320 000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LUXEMBOURG</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0.27</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4 725 000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1 890 000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9 315 000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9 720 000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MALTA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1 035 000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1 080 000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NETHERLANDS</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84 875 000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4 850 000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48 500 000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2 425 000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33 950 000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7 275 000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167 325 000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174 600 000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POLAND</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22 750 000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1 300 000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13 000 000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650 000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9 100 000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1 950 000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44 850 000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46 800 000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PORTUGAL</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20 125 000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1 150 000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11 500 000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8 050 000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39 675 000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41 400 000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ROMANIA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6 475 000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3 700 000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2 590 000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12 765 000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13 320 000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SLOVAKIA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3 675 000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2 100 000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1 470 000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7 245 000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7 560 000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SLOVENIA</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3 150 000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1 800 000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1 260 000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6 210 000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6 480 000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SPAIN</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137 375 000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7 850 000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78 500 000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3 925 000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54 950 000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11 775 000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270 825 000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282 600 000</w:t>
            </w:r>
          </w:p>
        </w:tc>
      </w:tr>
      <w:tr>
        <w:trPr>
          <w:trHeight w:val="259"/>
        </w:trPr>
        <w:tc>
          <w:tcPr>
            <w:tcW w:w="1800"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SWEDEN</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47 950 000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2 740 000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27 400 000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1 370 000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19 180 000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4 110 000</w:t>
            </w:r>
          </w:p>
        </w:tc>
        <w:tc>
          <w:tcPr>
            <w:tcW w:w="138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94 530 000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98 640 000</w:t>
            </w:r>
          </w:p>
        </w:tc>
      </w:tr>
      <w:tr>
        <w:trPr>
          <w:trHeight w:val="259"/>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UNITED KINGDOM</w:t>
            </w:r>
          </w:p>
        </w:tc>
        <w:tc>
          <w:tcPr>
            <w:tcW w:w="840"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w:t>
            </w:r>
          </w:p>
        </w:tc>
        <w:tc>
          <w:tcPr>
            <w:tcW w:w="1034"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5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259 350 000</w:t>
            </w:r>
          </w:p>
        </w:tc>
        <w:tc>
          <w:tcPr>
            <w:tcW w:w="1229"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14 820 000</w:t>
            </w:r>
          </w:p>
        </w:tc>
        <w:tc>
          <w:tcPr>
            <w:tcW w:w="13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148 200 000</w:t>
            </w:r>
          </w:p>
        </w:tc>
        <w:tc>
          <w:tcPr>
            <w:tcW w:w="117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7 410 000</w:t>
            </w:r>
          </w:p>
        </w:tc>
        <w:tc>
          <w:tcPr>
            <w:tcW w:w="1269"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103 740 000</w:t>
            </w:r>
          </w:p>
        </w:tc>
        <w:tc>
          <w:tcPr>
            <w:tcW w:w="1260" w:type="dxa"/>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22 230 000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511 290 000</w:t>
            </w:r>
          </w:p>
        </w:tc>
        <w:tc>
          <w:tcPr>
            <w:tcW w:w="148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533 520 000</w:t>
            </w:r>
          </w:p>
        </w:tc>
      </w:tr>
      <w:tr>
        <w:trPr>
          <w:trHeight w:val="28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EU-27</w:t>
            </w:r>
          </w:p>
        </w:tc>
        <w:tc>
          <w:tcPr>
            <w:tcW w:w="840"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0</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1 750 000 000</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100 000 000</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1 000 000 000</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50 000 000</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700 000 000</w:t>
            </w:r>
          </w:p>
        </w:tc>
        <w:tc>
          <w:tcPr>
            <w:tcW w:w="1260" w:type="dxa"/>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150 000 000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3 450 000 000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3 600 000 000</w:t>
            </w:r>
          </w:p>
        </w:tc>
      </w:tr>
    </w:tbl>
    <w:p>
      <w:pPr>
        <w:keepNext/>
        <w:numPr>
          <w:ilvl w:val="1"/>
          <w:numId w:val="9"/>
        </w:numPr>
        <w:spacing w:before="120" w:after="120" w:line="240" w:lineRule="auto"/>
        <w:jc w:val="both"/>
        <w:outlineLvl w:val="1"/>
        <w:rPr>
          <w:rFonts w:ascii="Times New Roman" w:eastAsia="Times New Roman" w:hAnsi="Times New Roman" w:cs="Times New Roman"/>
          <w:b/>
          <w:bCs/>
          <w:noProof/>
          <w:sz w:val="24"/>
          <w:szCs w:val="26"/>
          <w:lang w:eastAsia="en-GB"/>
        </w:rPr>
      </w:pPr>
      <w:r>
        <w:rPr>
          <w:rFonts w:ascii="Times New Roman" w:eastAsia="Times New Roman" w:hAnsi="Times New Roman" w:cs="Times New Roman"/>
          <w:b/>
          <w:bCs/>
          <w:noProof/>
          <w:sz w:val="24"/>
          <w:szCs w:val="26"/>
          <w:lang w:eastAsia="en-GB"/>
        </w:rPr>
        <w:t>Attachment 5: Member States contributions for 2016-2019 (EUR)</w:t>
      </w:r>
    </w:p>
    <w:tbl>
      <w:tblPr>
        <w:tblW w:w="14960" w:type="dxa"/>
        <w:tblInd w:w="98" w:type="dxa"/>
        <w:tblLook w:val="04A0" w:firstRow="1" w:lastRow="0" w:firstColumn="1" w:lastColumn="0" w:noHBand="0" w:noVBand="1"/>
      </w:tblPr>
      <w:tblGrid>
        <w:gridCol w:w="1860"/>
        <w:gridCol w:w="880"/>
        <w:gridCol w:w="940"/>
        <w:gridCol w:w="1125"/>
        <w:gridCol w:w="1061"/>
        <w:gridCol w:w="1197"/>
        <w:gridCol w:w="1065"/>
        <w:gridCol w:w="1256"/>
        <w:gridCol w:w="1139"/>
        <w:gridCol w:w="1072"/>
        <w:gridCol w:w="1148"/>
        <w:gridCol w:w="1072"/>
        <w:gridCol w:w="1148"/>
      </w:tblGrid>
      <w:tr>
        <w:trPr>
          <w:trHeight w:val="270"/>
        </w:trPr>
        <w:tc>
          <w:tcPr>
            <w:tcW w:w="1860" w:type="dxa"/>
            <w:tcBorders>
              <w:top w:val="single" w:sz="8" w:space="0" w:color="auto"/>
              <w:left w:val="single" w:sz="8" w:space="0" w:color="auto"/>
              <w:bottom w:val="nil"/>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880" w:type="dxa"/>
            <w:tcBorders>
              <w:top w:val="single" w:sz="8" w:space="0" w:color="auto"/>
              <w:left w:val="nil"/>
              <w:bottom w:val="nil"/>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10</w:t>
            </w:r>
            <w:r>
              <w:rPr>
                <w:rFonts w:ascii="Times New Roman" w:eastAsia="Times New Roman" w:hAnsi="Times New Roman" w:cs="Times New Roman"/>
                <w:b/>
                <w:bCs/>
                <w:noProof/>
                <w:sz w:val="16"/>
                <w:szCs w:val="16"/>
                <w:vertAlign w:val="superscript"/>
                <w:lang w:eastAsia="en-GB"/>
              </w:rPr>
              <w:t>th</w:t>
            </w:r>
          </w:p>
        </w:tc>
        <w:tc>
          <w:tcPr>
            <w:tcW w:w="940" w:type="dxa"/>
            <w:tcBorders>
              <w:top w:val="single" w:sz="8" w:space="0" w:color="auto"/>
              <w:left w:val="nil"/>
              <w:bottom w:val="nil"/>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11</w:t>
            </w:r>
            <w:r>
              <w:rPr>
                <w:rFonts w:ascii="Times New Roman" w:eastAsia="Times New Roman" w:hAnsi="Times New Roman" w:cs="Times New Roman"/>
                <w:b/>
                <w:bCs/>
                <w:noProof/>
                <w:sz w:val="16"/>
                <w:szCs w:val="16"/>
                <w:vertAlign w:val="superscript"/>
                <w:lang w:eastAsia="en-GB"/>
              </w:rPr>
              <w:t>th</w:t>
            </w:r>
          </w:p>
        </w:tc>
        <w:tc>
          <w:tcPr>
            <w:tcW w:w="3380" w:type="dxa"/>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2016</w:t>
            </w:r>
          </w:p>
        </w:tc>
        <w:tc>
          <w:tcPr>
            <w:tcW w:w="3460" w:type="dxa"/>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2017</w:t>
            </w:r>
          </w:p>
        </w:tc>
        <w:tc>
          <w:tcPr>
            <w:tcW w:w="2220"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2018</w:t>
            </w:r>
          </w:p>
        </w:tc>
        <w:tc>
          <w:tcPr>
            <w:tcW w:w="2220"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2019</w:t>
            </w:r>
          </w:p>
        </w:tc>
      </w:tr>
      <w:tr>
        <w:trPr>
          <w:trHeight w:val="270"/>
        </w:trPr>
        <w:tc>
          <w:tcPr>
            <w:tcW w:w="1860" w:type="dxa"/>
            <w:tcBorders>
              <w:top w:val="nil"/>
              <w:left w:val="single" w:sz="8" w:space="0" w:color="auto"/>
              <w:bottom w:val="nil"/>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w:t>
            </w:r>
          </w:p>
        </w:tc>
        <w:tc>
          <w:tcPr>
            <w:tcW w:w="880" w:type="dxa"/>
            <w:tcBorders>
              <w:top w:val="dashed" w:sz="4" w:space="0" w:color="auto"/>
              <w:left w:val="nil"/>
              <w:bottom w:val="single" w:sz="4"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EDF %</w:t>
            </w:r>
          </w:p>
        </w:tc>
        <w:tc>
          <w:tcPr>
            <w:tcW w:w="940" w:type="dxa"/>
            <w:tcBorders>
              <w:top w:val="dashed" w:sz="4" w:space="0" w:color="auto"/>
              <w:left w:val="nil"/>
              <w:bottom w:val="single" w:sz="4"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EDF %</w:t>
            </w:r>
          </w:p>
        </w:tc>
        <w:tc>
          <w:tcPr>
            <w:tcW w:w="1125" w:type="dxa"/>
            <w:tcBorders>
              <w:top w:val="nil"/>
              <w:left w:val="nil"/>
              <w:bottom w:val="single" w:sz="8" w:space="0" w:color="auto"/>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Bridging</w:t>
            </w:r>
          </w:p>
        </w:tc>
        <w:tc>
          <w:tcPr>
            <w:tcW w:w="1058" w:type="dxa"/>
            <w:tcBorders>
              <w:top w:val="nil"/>
              <w:left w:val="single" w:sz="8" w:space="0" w:color="auto"/>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 10</w:t>
            </w:r>
            <w:r>
              <w:rPr>
                <w:rFonts w:ascii="Times New Roman" w:eastAsia="Times New Roman" w:hAnsi="Times New Roman" w:cs="Times New Roman"/>
                <w:b/>
                <w:bCs/>
                <w:noProof/>
                <w:sz w:val="16"/>
                <w:szCs w:val="16"/>
                <w:vertAlign w:val="superscript"/>
                <w:lang w:eastAsia="en-GB"/>
              </w:rPr>
              <w:t>th</w:t>
            </w:r>
          </w:p>
        </w:tc>
        <w:tc>
          <w:tcPr>
            <w:tcW w:w="1197"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w:t>
            </w:r>
            <w:r>
              <w:rPr>
                <w:rFonts w:ascii="Times New Roman" w:eastAsia="Times New Roman" w:hAnsi="Times New Roman" w:cs="Times New Roman"/>
                <w:b/>
                <w:bCs/>
                <w:noProof/>
                <w:sz w:val="16"/>
                <w:szCs w:val="16"/>
                <w:vertAlign w:val="superscript"/>
                <w:lang w:eastAsia="en-GB"/>
              </w:rPr>
              <w:t>th</w:t>
            </w:r>
          </w:p>
        </w:tc>
        <w:tc>
          <w:tcPr>
            <w:tcW w:w="1065" w:type="dxa"/>
            <w:tcBorders>
              <w:top w:val="nil"/>
              <w:left w:val="nil"/>
              <w:bottom w:val="single" w:sz="8" w:space="0" w:color="auto"/>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 10</w:t>
            </w:r>
            <w:r>
              <w:rPr>
                <w:rFonts w:ascii="Times New Roman" w:eastAsia="Times New Roman" w:hAnsi="Times New Roman" w:cs="Times New Roman"/>
                <w:b/>
                <w:bCs/>
                <w:noProof/>
                <w:sz w:val="16"/>
                <w:szCs w:val="16"/>
                <w:vertAlign w:val="superscript"/>
                <w:lang w:eastAsia="en-GB"/>
              </w:rPr>
              <w:t>th</w:t>
            </w:r>
          </w:p>
        </w:tc>
        <w:tc>
          <w:tcPr>
            <w:tcW w:w="1256" w:type="dxa"/>
            <w:tcBorders>
              <w:top w:val="nil"/>
              <w:left w:val="single" w:sz="4" w:space="0" w:color="auto"/>
              <w:bottom w:val="single" w:sz="8"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 11</w:t>
            </w:r>
            <w:r>
              <w:rPr>
                <w:rFonts w:ascii="Times New Roman" w:eastAsia="Times New Roman" w:hAnsi="Times New Roman" w:cs="Times New Roman"/>
                <w:b/>
                <w:bCs/>
                <w:noProof/>
                <w:sz w:val="16"/>
                <w:szCs w:val="16"/>
                <w:vertAlign w:val="superscript"/>
                <w:lang w:eastAsia="en-GB"/>
              </w:rPr>
              <w:t>th</w:t>
            </w:r>
          </w:p>
        </w:tc>
        <w:tc>
          <w:tcPr>
            <w:tcW w:w="1139"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w:t>
            </w:r>
            <w:r>
              <w:rPr>
                <w:rFonts w:ascii="Times New Roman" w:eastAsia="Times New Roman" w:hAnsi="Times New Roman" w:cs="Times New Roman"/>
                <w:b/>
                <w:bCs/>
                <w:noProof/>
                <w:sz w:val="16"/>
                <w:szCs w:val="16"/>
                <w:vertAlign w:val="superscript"/>
                <w:lang w:eastAsia="en-GB"/>
              </w:rPr>
              <w:t>th</w:t>
            </w:r>
          </w:p>
        </w:tc>
        <w:tc>
          <w:tcPr>
            <w:tcW w:w="1072"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 11</w:t>
            </w:r>
            <w:r>
              <w:rPr>
                <w:rFonts w:ascii="Times New Roman" w:eastAsia="Times New Roman" w:hAnsi="Times New Roman" w:cs="Times New Roman"/>
                <w:b/>
                <w:bCs/>
                <w:noProof/>
                <w:sz w:val="16"/>
                <w:szCs w:val="16"/>
                <w:vertAlign w:val="superscript"/>
                <w:lang w:eastAsia="en-GB"/>
              </w:rPr>
              <w:t>th</w:t>
            </w:r>
          </w:p>
        </w:tc>
        <w:tc>
          <w:tcPr>
            <w:tcW w:w="1148"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w:t>
            </w:r>
            <w:r>
              <w:rPr>
                <w:rFonts w:ascii="Times New Roman" w:eastAsia="Times New Roman" w:hAnsi="Times New Roman" w:cs="Times New Roman"/>
                <w:b/>
                <w:bCs/>
                <w:noProof/>
                <w:sz w:val="16"/>
                <w:szCs w:val="16"/>
                <w:vertAlign w:val="superscript"/>
                <w:lang w:eastAsia="en-GB"/>
              </w:rPr>
              <w:t>th</w:t>
            </w:r>
          </w:p>
        </w:tc>
        <w:tc>
          <w:tcPr>
            <w:tcW w:w="1072"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 11</w:t>
            </w:r>
            <w:r>
              <w:rPr>
                <w:rFonts w:ascii="Times New Roman" w:eastAsia="Times New Roman" w:hAnsi="Times New Roman" w:cs="Times New Roman"/>
                <w:b/>
                <w:bCs/>
                <w:noProof/>
                <w:sz w:val="16"/>
                <w:szCs w:val="16"/>
                <w:vertAlign w:val="superscript"/>
                <w:lang w:eastAsia="en-GB"/>
              </w:rPr>
              <w:t>th</w:t>
            </w:r>
          </w:p>
        </w:tc>
        <w:tc>
          <w:tcPr>
            <w:tcW w:w="1148"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w:t>
            </w:r>
            <w:r>
              <w:rPr>
                <w:rFonts w:ascii="Times New Roman" w:eastAsia="Times New Roman" w:hAnsi="Times New Roman" w:cs="Times New Roman"/>
                <w:b/>
                <w:bCs/>
                <w:noProof/>
                <w:sz w:val="16"/>
                <w:szCs w:val="16"/>
                <w:vertAlign w:val="superscript"/>
                <w:lang w:eastAsia="en-GB"/>
              </w:rPr>
              <w:t>th</w:t>
            </w:r>
          </w:p>
        </w:tc>
      </w:tr>
      <w:tr>
        <w:trPr>
          <w:trHeight w:val="255"/>
        </w:trPr>
        <w:tc>
          <w:tcPr>
            <w:tcW w:w="1860" w:type="dxa"/>
            <w:tcBorders>
              <w:top w:val="single" w:sz="4" w:space="0" w:color="auto"/>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AUSTRIA</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2.39757</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-3 366 234,92</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83 145 000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3 615 000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42 735 782</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49 791 080</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3 615 000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109 089 435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6 025 000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107 890 650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7 230 000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BELGIUM</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3.24927</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-5 470 131,74</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121 785 000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5 295 000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62 596 394</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67 478 599</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5 295 000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147 841 785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8 825 000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146 217 150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10 590 000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BULGARIA</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0.14</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0.21853</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1 963 637,04</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4 830 000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2 482 577</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4 538 280</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9 943 115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9 833 850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CYPRUS</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0.09</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0.11162</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1 262 338,09</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3 105 000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1 595 942</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2 318 047</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5 078 710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5 022 900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CZECH REPUBLIC</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0.51</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0.79745</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7 153 249,20</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17 595 000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9 043 672</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16 560 892</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36 283 975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35 885 250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1 530 000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DENMARK</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1.98045</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-1 963 637,04</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69 000 000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3 000 000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35 465 379</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41 128 620</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3 000 000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90 110 475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5 000 000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89 120 250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6 000 000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ESTONIA</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0.05</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0.08635</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701 298,94</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886 634</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1 793 257</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3 928 925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3 885 750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FINLAND</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1.50909</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-140 259,79</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50 715 000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26 067 054</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31 339 740</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68 663 595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67 909 050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4 410 000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FRANCE</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17.81269</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-66 623 399,41</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674 475 000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29 325 000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346 674 082</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369 921 662</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29 325 000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810 477 395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48 875 000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801 571 050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58 650 000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GERMANY</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20.57980</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-40 114 299,44</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707 250 000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30 750 000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363 520 137</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427 387 094</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30 750 000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936 380 900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51 250 000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926 091 000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61 500 000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GREECE</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1.50735</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3 085 715,34</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50 715 000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26 067 054</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31 303 605</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68 584 425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67 830 750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4 410 000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HUNGARY</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0.55</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0.61456</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7 714 288,35</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18 975 000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9 752 979</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12 762 758</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27 962 480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27 655 200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1 650 000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IRELAND</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0.91</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0.94006</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4 067 533,86</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31 395 000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1 365 000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16 136 748</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19 522 518</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1 365 000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42 772 730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42 302 700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2 730 000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ITALY</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12.53009</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4 488 313,22</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443 670 000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19 290 000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228 042 389</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260 216 268</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19 290 000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570 119 095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32 150 000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563 854 050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38 580 000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LATVIA</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0.07</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0.11612</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981 818,52</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2 415 000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1 241 288</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2 411 500</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5 283 460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5 225 400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LITHUANIA</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0.12</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0.18077</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1 683 117,46</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4 140 000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2 127 923</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3 754 107</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8 225 035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8 134 650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LUXEMBOURG</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0.27</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0.25509</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-280 519,58</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9 315 000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4 787 826</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5 297 533</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11 606 595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11 479 050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MALTA</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0.03801</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420 779,36</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1 035 000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531 981</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789 365</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1 729 455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1 710 450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NETHERLANDS</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4.77678</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-5 189 612,16</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167 325 000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7 275 000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86 003 545</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99 200 873</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217 343 490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12 125 000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214 955 100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14 550 000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POLAND</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2.00734</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18 233 772,47</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44 850 000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1 950 000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23 052 497</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41 687 053</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1 950 000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91 333 970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3 250 000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90 330 300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3 900 000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PORTUGAL</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1.19679</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2 524 676,19</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39 675 000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20 392 593</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24 854 109</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54 453 945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2 875 000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53 855 550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3 450 000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ROMANIA</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0.71815</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5 189 612,16</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12 765 000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6 561 095</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14 914 044</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32 675 825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32 316 750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1 110 000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SLOVAKIA</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0.37616</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2 945 455,55</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7 245 000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3 723 865</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7 811 831</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17 115 280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16 927 200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SLOVENIA</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0.22452</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2 524 676,19</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6 210 000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3 191 884</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4 662 677</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10 215 660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10 103 400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SPAIN</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7.93248</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28 192 217,44</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270 825 000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11 775 000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139 201 614</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164 736 274</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11 775 000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360 927 840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19 625 000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356 961 600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23 550 000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SWEDEN</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2.93911</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140 259,79</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94 530 000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4 110 000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48 587 570</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61 037 410</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4 110 000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133 729 505</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6 850 000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132 259 950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8 220 000</w:t>
            </w:r>
          </w:p>
        </w:tc>
      </w:tr>
      <w:tr>
        <w:trPr>
          <w:trHeight w:val="255"/>
        </w:trPr>
        <w:tc>
          <w:tcPr>
            <w:tcW w:w="1860"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UNITED KINGDOM</w:t>
            </w:r>
          </w:p>
        </w:tc>
        <w:tc>
          <w:tcPr>
            <w:tcW w:w="88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w:t>
            </w:r>
          </w:p>
        </w:tc>
        <w:tc>
          <w:tcPr>
            <w:tcW w:w="940" w:type="dxa"/>
            <w:tcBorders>
              <w:top w:val="nil"/>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14.67862</w:t>
            </w:r>
          </w:p>
        </w:tc>
        <w:tc>
          <w:tcPr>
            <w:tcW w:w="112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29 875 334,89</w:t>
            </w:r>
          </w:p>
        </w:tc>
        <w:tc>
          <w:tcPr>
            <w:tcW w:w="1058" w:type="dxa"/>
            <w:tcBorders>
              <w:top w:val="nil"/>
              <w:left w:val="single" w:sz="8"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511 290 000</w:t>
            </w:r>
          </w:p>
        </w:tc>
        <w:tc>
          <w:tcPr>
            <w:tcW w:w="1197"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22 230 000</w:t>
            </w:r>
          </w:p>
        </w:tc>
        <w:tc>
          <w:tcPr>
            <w:tcW w:w="1065"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262 798 460</w:t>
            </w:r>
          </w:p>
        </w:tc>
        <w:tc>
          <w:tcPr>
            <w:tcW w:w="125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304 835 457</w:t>
            </w:r>
          </w:p>
        </w:tc>
        <w:tc>
          <w:tcPr>
            <w:tcW w:w="1139"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22 230 000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667 877 210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37 050 000</w:t>
            </w:r>
          </w:p>
        </w:tc>
        <w:tc>
          <w:tcPr>
            <w:tcW w:w="1072"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660 537 900</w:t>
            </w:r>
          </w:p>
        </w:tc>
        <w:tc>
          <w:tcPr>
            <w:tcW w:w="1148"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44 460 000</w:t>
            </w:r>
          </w:p>
        </w:tc>
      </w:tr>
      <w:tr>
        <w:trPr>
          <w:trHeight w:val="270"/>
        </w:trPr>
        <w:tc>
          <w:tcPr>
            <w:tcW w:w="1860" w:type="dxa"/>
            <w:tcBorders>
              <w:top w:val="single" w:sz="4" w:space="0" w:color="auto"/>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CROATIA</w:t>
            </w:r>
          </w:p>
        </w:tc>
        <w:tc>
          <w:tcPr>
            <w:tcW w:w="880" w:type="dxa"/>
            <w:tcBorders>
              <w:top w:val="single" w:sz="4" w:space="0" w:color="auto"/>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940" w:type="dxa"/>
            <w:tcBorders>
              <w:top w:val="single" w:sz="4" w:space="0" w:color="auto"/>
              <w:left w:val="nil"/>
              <w:bottom w:val="nil"/>
              <w:right w:val="single" w:sz="8"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0.22518</w:t>
            </w:r>
          </w:p>
        </w:tc>
        <w:tc>
          <w:tcPr>
            <w:tcW w:w="1125" w:type="dxa"/>
            <w:tcBorders>
              <w:top w:val="single" w:sz="4" w:space="0" w:color="auto"/>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5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197" w:type="dxa"/>
            <w:tcBorders>
              <w:top w:val="single" w:sz="4" w:space="0" w:color="auto"/>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65" w:type="dxa"/>
            <w:tcBorders>
              <w:top w:val="single" w:sz="4" w:space="0" w:color="auto"/>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256"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4 676 383</w:t>
            </w:r>
          </w:p>
        </w:tc>
        <w:tc>
          <w:tcPr>
            <w:tcW w:w="1139" w:type="dxa"/>
            <w:tcBorders>
              <w:top w:val="single" w:sz="4" w:space="0" w:color="auto"/>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72" w:type="dxa"/>
            <w:tcBorders>
              <w:top w:val="single" w:sz="4" w:space="0" w:color="auto"/>
              <w:left w:val="nil"/>
              <w:bottom w:val="single" w:sz="8"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10 245 690</w:t>
            </w:r>
          </w:p>
        </w:tc>
        <w:tc>
          <w:tcPr>
            <w:tcW w:w="1148" w:type="dxa"/>
            <w:tcBorders>
              <w:top w:val="single" w:sz="4" w:space="0" w:color="auto"/>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72" w:type="dxa"/>
            <w:tcBorders>
              <w:top w:val="single" w:sz="4" w:space="0" w:color="auto"/>
              <w:left w:val="nil"/>
              <w:bottom w:val="single" w:sz="8" w:space="0" w:color="auto"/>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10 133 100</w:t>
            </w:r>
          </w:p>
        </w:tc>
        <w:tc>
          <w:tcPr>
            <w:tcW w:w="1148" w:type="dxa"/>
            <w:tcBorders>
              <w:top w:val="single" w:sz="4" w:space="0" w:color="auto"/>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r>
      <w:tr>
        <w:trPr>
          <w:trHeight w:val="270"/>
        </w:trPr>
        <w:tc>
          <w:tcPr>
            <w:tcW w:w="186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88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940"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1125"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0</w:t>
            </w:r>
          </w:p>
        </w:tc>
        <w:tc>
          <w:tcPr>
            <w:tcW w:w="1058" w:type="dxa"/>
            <w:tcBorders>
              <w:top w:val="nil"/>
              <w:left w:val="single" w:sz="8"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3 450 000 000</w:t>
            </w:r>
          </w:p>
        </w:tc>
        <w:tc>
          <w:tcPr>
            <w:tcW w:w="1197"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150 000 000</w:t>
            </w:r>
          </w:p>
        </w:tc>
        <w:tc>
          <w:tcPr>
            <w:tcW w:w="1065"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1 773 268 963</w:t>
            </w:r>
          </w:p>
        </w:tc>
        <w:tc>
          <w:tcPr>
            <w:tcW w:w="1256" w:type="dxa"/>
            <w:tcBorders>
              <w:top w:val="nil"/>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2 076 731 037</w:t>
            </w:r>
          </w:p>
        </w:tc>
        <w:tc>
          <w:tcPr>
            <w:tcW w:w="1139"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150 000 000</w:t>
            </w:r>
          </w:p>
        </w:tc>
        <w:tc>
          <w:tcPr>
            <w:tcW w:w="1072" w:type="dxa"/>
            <w:tcBorders>
              <w:top w:val="nil"/>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4 550.000 000</w:t>
            </w:r>
          </w:p>
        </w:tc>
        <w:tc>
          <w:tcPr>
            <w:tcW w:w="1148"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250 000 000</w:t>
            </w:r>
          </w:p>
        </w:tc>
        <w:tc>
          <w:tcPr>
            <w:tcW w:w="1072" w:type="dxa"/>
            <w:tcBorders>
              <w:top w:val="nil"/>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4 500 000 000</w:t>
            </w:r>
          </w:p>
        </w:tc>
        <w:tc>
          <w:tcPr>
            <w:tcW w:w="1148"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300 000 000</w:t>
            </w:r>
          </w:p>
        </w:tc>
      </w:tr>
      <w:tr>
        <w:trPr>
          <w:trHeight w:val="270"/>
        </w:trPr>
        <w:tc>
          <w:tcPr>
            <w:tcW w:w="186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w:t>
            </w:r>
          </w:p>
        </w:tc>
        <w:tc>
          <w:tcPr>
            <w:tcW w:w="880" w:type="dxa"/>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 </w:t>
            </w:r>
          </w:p>
        </w:tc>
        <w:tc>
          <w:tcPr>
            <w:tcW w:w="940" w:type="dxa"/>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 </w:t>
            </w:r>
          </w:p>
        </w:tc>
        <w:tc>
          <w:tcPr>
            <w:tcW w:w="3380"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3 600 000 000</w:t>
            </w:r>
          </w:p>
        </w:tc>
        <w:tc>
          <w:tcPr>
            <w:tcW w:w="3460" w:type="dxa"/>
            <w:gridSpan w:val="3"/>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4 000 000 000</w:t>
            </w:r>
          </w:p>
        </w:tc>
        <w:tc>
          <w:tcPr>
            <w:tcW w:w="2220"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4 800 000 000</w:t>
            </w:r>
          </w:p>
        </w:tc>
        <w:tc>
          <w:tcPr>
            <w:tcW w:w="2220"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4 800 000 000</w:t>
            </w:r>
          </w:p>
        </w:tc>
      </w:tr>
    </w:tbl>
    <w:p>
      <w:pPr>
        <w:spacing w:before="360" w:after="0" w:line="240" w:lineRule="auto"/>
        <w:rPr>
          <w:noProof/>
        </w:rPr>
      </w:pPr>
    </w:p>
    <w:sectPr>
      <w:headerReference w:type="even" r:id="rId22"/>
      <w:headerReference w:type="default" r:id="rId23"/>
      <w:footerReference w:type="even" r:id="rId24"/>
      <w:footerReference w:type="default" r:id="rId25"/>
      <w:headerReference w:type="first" r:id="rId26"/>
      <w:footerReference w:type="first" r:id="rId27"/>
      <w:pgSz w:w="16839" w:h="11907" w:orient="landscape"/>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sz w:val="48"/>
      </w:rP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 w:val="48"/>
      </w:rPr>
    </w:pPr>
    <w:r>
      <w:fldChar w:fldCharType="begin"/>
    </w:r>
    <w:r>
      <w:instrText xml:space="preserve"> PAGE  \* MERGEFORMAT </w:instrText>
    </w:r>
    <w:r>
      <w:fldChar w:fldCharType="separate"/>
    </w:r>
    <w:r>
      <w:rPr>
        <w:noProof/>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06.08.2013, p. 1).</w:t>
      </w:r>
    </w:p>
  </w:footnote>
  <w:footnote w:id="2">
    <w:p>
      <w:pPr>
        <w:pStyle w:val="FootnoteText"/>
      </w:pPr>
      <w:r>
        <w:rPr>
          <w:rStyle w:val="FootnoteReference"/>
        </w:rPr>
        <w:footnoteRef/>
      </w:r>
      <w:r>
        <w:tab/>
      </w:r>
      <w:r>
        <w:rPr>
          <w:szCs w:val="24"/>
        </w:rPr>
        <w:t>OJ L 58, 3.3.2015, p. 17–38</w:t>
      </w:r>
    </w:p>
  </w:footnote>
  <w:footnote w:id="3">
    <w:p>
      <w:pPr>
        <w:pStyle w:val="FootnoteText"/>
      </w:pPr>
      <w:r>
        <w:rPr>
          <w:rStyle w:val="FootnoteReference"/>
        </w:rPr>
        <w:footnoteRef/>
      </w:r>
      <w:r>
        <w:tab/>
        <w:t>African, Caribbean and Pacific States.</w:t>
      </w:r>
    </w:p>
  </w:footnote>
  <w:footnote w:id="4">
    <w:p>
      <w:pPr>
        <w:pStyle w:val="FootnoteText"/>
      </w:pPr>
      <w:r>
        <w:rPr>
          <w:rStyle w:val="FootnoteReference"/>
        </w:rPr>
        <w:footnoteRef/>
      </w:r>
      <w:r>
        <w:tab/>
        <w:t>Overseas Countries and Territories.</w:t>
      </w:r>
    </w:p>
  </w:footnote>
  <w:footnote w:id="5">
    <w:p>
      <w:pPr>
        <w:pStyle w:val="FootnoteText"/>
      </w:pPr>
      <w:r>
        <w:rPr>
          <w:rStyle w:val="FootnoteReference"/>
        </w:rPr>
        <w:footnoteRef/>
      </w:r>
      <w:r>
        <w:tab/>
        <w:t>OJ L 210, 06.08.2013.</w:t>
      </w:r>
    </w:p>
  </w:footnote>
  <w:footnote w:id="6">
    <w:p>
      <w:pPr>
        <w:pStyle w:val="FootnoteText"/>
      </w:pPr>
      <w:r>
        <w:rPr>
          <w:rStyle w:val="FootnoteReference"/>
        </w:rPr>
        <w:footnoteRef/>
      </w:r>
      <w:r>
        <w:tab/>
        <w:t>OJ L 58, 03.03.2015, Council Regulation (EU) 2015/323 of 2 March 2015 on the Financial Regulation applicable to the 11</w:t>
      </w:r>
      <w:r>
        <w:rPr>
          <w:vertAlign w:val="superscript"/>
        </w:rPr>
        <w:t>th</w:t>
      </w:r>
      <w:r>
        <w:t xml:space="preserve"> European Development Fund.</w:t>
      </w:r>
    </w:p>
  </w:footnote>
  <w:footnote w:id="7">
    <w:p>
      <w:pPr>
        <w:pStyle w:val="FootnoteText"/>
      </w:pPr>
      <w:r>
        <w:rPr>
          <w:rStyle w:val="FootnoteReference"/>
        </w:rPr>
        <w:footnoteRef/>
      </w:r>
      <w:r>
        <w:tab/>
        <w:t>Commission Decision (EU) 2015/7293 of 20 October 2015</w:t>
      </w:r>
    </w:p>
  </w:footnote>
  <w:footnote w:id="8">
    <w:p>
      <w:pPr>
        <w:pStyle w:val="FootnoteText"/>
      </w:pPr>
      <w:r>
        <w:rPr>
          <w:rStyle w:val="FootnoteReference"/>
        </w:rPr>
        <w:footnoteRef/>
      </w:r>
      <w:r>
        <w:tab/>
        <w:t>Gross commitments, i.e. without de-commitments being deducted.</w:t>
      </w:r>
    </w:p>
  </w:footnote>
  <w:footnote w:id="9">
    <w:p>
      <w:pPr>
        <w:pStyle w:val="FootnoteText"/>
      </w:pPr>
      <w:r>
        <w:rPr>
          <w:rStyle w:val="FootnoteReference"/>
        </w:rPr>
        <w:footnoteRef/>
      </w:r>
      <w:r>
        <w:tab/>
        <w:t>Gross payments, i.e. without recoveries being deducted.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04249A815C44A4A9A7526995214BD11"/>
    <w:docVar w:name="LW_CROSSREFERENCE" w:val="&lt;UNUSED&gt;"/>
    <w:docVar w:name="LW_DocType" w:val="NORMAL"/>
    <w:docVar w:name="LW_EMISSION" w:val="15.6.2016"/>
    <w:docVar w:name="LW_EMISSION_ISODATE" w:val="2016-06-15"/>
    <w:docVar w:name="LW_EMISSION_LOCATION" w:val="BRX"/>
    <w:docVar w:name="LW_EMISSION_PREFIX" w:val="Brussels, "/>
    <w:docVar w:name="LW_EMISSION_SUFFIX" w:val=" "/>
    <w:docVar w:name="LW_ID_DOCTYPE_NONLW" w:val="CP-010"/>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86"/>
    <w:docVar w:name="LW_REF.INTERNE" w:val="&lt;UNUSED&gt;"/>
    <w:docVar w:name="LW_SOUS.TITRE.OBJ.CP" w:val="&lt;UNUSED&gt;"/>
    <w:docVar w:name="LW_SUPERTITRE" w:val="&lt;UNUSED&gt;"/>
    <w:docVar w:name="LW_TITRE.OBJ.CP" w:val="Financial information on the European Development Fund"/>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2">
    <w:name w:val="List Bullet 2"/>
    <w:basedOn w:val="Normal"/>
    <w:pPr>
      <w:numPr>
        <w:numId w:val="2"/>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aption">
    <w:name w:val="caption"/>
    <w:basedOn w:val="Normal"/>
    <w:next w:val="Normal"/>
    <w:semiHidden/>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lang w:eastAsia="en-GB"/>
    </w:rPr>
  </w:style>
  <w:style w:type="paragraph" w:styleId="ListNumber">
    <w:name w:val="List Number"/>
    <w:basedOn w:val="Normal"/>
    <w:pPr>
      <w:numPr>
        <w:numId w:val="5"/>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2">
    <w:name w:val="List Number 2"/>
    <w:basedOn w:val="Normal"/>
    <w:pPr>
      <w:numPr>
        <w:numId w:val="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pPr>
      <w:numPr>
        <w:numId w:val="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pPr>
      <w:numPr>
        <w:numId w:val="8"/>
      </w:numPr>
      <w:spacing w:before="120" w:after="120" w:line="240" w:lineRule="auto"/>
      <w:contextualSpacing/>
      <w:jc w:val="both"/>
    </w:pPr>
    <w:rPr>
      <w:rFonts w:ascii="Times New Roman" w:eastAsia="Times New Roman" w:hAnsi="Times New Roman" w:cs="Times New Roman"/>
      <w:sz w:val="24"/>
      <w:lang w:eastAsia="en-GB"/>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Times New Roman" w:eastAsia="Times New Roman" w:hAnsi="Times New Roman" w:cs="Times New Roman"/>
      <w:sz w:val="24"/>
      <w:szCs w:val="24"/>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en-GB"/>
    </w:rPr>
  </w:style>
  <w:style w:type="character" w:styleId="EndnoteReference">
    <w:name w:val="endnote reference"/>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en-GB"/>
    </w:rPr>
  </w:style>
  <w:style w:type="numbering" w:customStyle="1" w:styleId="NoList2">
    <w:name w:val="No List2"/>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2">
    <w:name w:val="List Bullet 2"/>
    <w:basedOn w:val="Normal"/>
    <w:pPr>
      <w:numPr>
        <w:numId w:val="2"/>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aption">
    <w:name w:val="caption"/>
    <w:basedOn w:val="Normal"/>
    <w:next w:val="Normal"/>
    <w:semiHidden/>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lang w:eastAsia="en-GB"/>
    </w:rPr>
  </w:style>
  <w:style w:type="paragraph" w:styleId="ListNumber">
    <w:name w:val="List Number"/>
    <w:basedOn w:val="Normal"/>
    <w:pPr>
      <w:numPr>
        <w:numId w:val="5"/>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2">
    <w:name w:val="List Number 2"/>
    <w:basedOn w:val="Normal"/>
    <w:pPr>
      <w:numPr>
        <w:numId w:val="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pPr>
      <w:numPr>
        <w:numId w:val="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pPr>
      <w:numPr>
        <w:numId w:val="8"/>
      </w:numPr>
      <w:spacing w:before="120" w:after="120" w:line="240" w:lineRule="auto"/>
      <w:contextualSpacing/>
      <w:jc w:val="both"/>
    </w:pPr>
    <w:rPr>
      <w:rFonts w:ascii="Times New Roman" w:eastAsia="Times New Roman" w:hAnsi="Times New Roman" w:cs="Times New Roman"/>
      <w:sz w:val="24"/>
      <w:lang w:eastAsia="en-GB"/>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rFonts w:ascii="Times New Roman" w:eastAsia="Times New Roman" w:hAnsi="Times New Roman" w:cs="Times New Roman"/>
      <w:sz w:val="24"/>
      <w:szCs w:val="24"/>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en-GB"/>
    </w:rPr>
  </w:style>
  <w:style w:type="character" w:styleId="EndnoteReference">
    <w:name w:val="endnote reference"/>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en-GB"/>
    </w:rPr>
  </w:style>
  <w:style w:type="numbering" w:customStyle="1" w:styleId="NoList2">
    <w:name w:val="No List2"/>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3348</Words>
  <Characters>13395</Characters>
  <Application>Microsoft Office Word</Application>
  <DocSecurity>0</DocSecurity>
  <Lines>1674</Lines>
  <Paragraphs>1522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2016-05-12T12:15:00Z</dcterms:created>
  <dcterms:modified xsi:type="dcterms:W3CDTF">2016-06-06T09:42:00Z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