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0A3C" w:rsidRDefault="00C52BE2" w:rsidP="00242C75">
      <w:pPr>
        <w:pStyle w:val="Pagedecouverture"/>
        <w:rPr>
          <w:noProof/>
        </w:rPr>
      </w:pPr>
      <w:bookmarkStart w:id="0" w:name="LW_BM_COVERPAGE"/>
      <w:bookmarkStart w:id="1" w:name="_GoBack"/>
      <w:bookmarkEnd w:id="1"/>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BC438915C1B4FA3A53A20CFCB462A2A" style="width:450.6pt;height:334.2pt">
            <v:imagedata r:id="rId9" o:title=""/>
          </v:shape>
        </w:pict>
      </w:r>
    </w:p>
    <w:bookmarkEnd w:id="0"/>
    <w:p w:rsidR="00B70A3C" w:rsidRDefault="00B70A3C">
      <w:pPr>
        <w:rPr>
          <w:noProof/>
        </w:rPr>
        <w:sectPr w:rsidR="00B70A3C" w:rsidSect="00242C75">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rsidR="00B70A3C" w:rsidRDefault="00242C75">
      <w:pPr>
        <w:spacing w:after="120"/>
        <w:rPr>
          <w:rFonts w:ascii="Times New Roman" w:hAnsi="Times New Roman" w:cs="Times New Roman"/>
          <w:b/>
          <w:noProof/>
          <w:sz w:val="24"/>
          <w:szCs w:val="24"/>
        </w:rPr>
      </w:pPr>
      <w:r>
        <w:rPr>
          <w:rFonts w:ascii="Times New Roman" w:hAnsi="Times New Roman" w:cs="Times New Roman"/>
          <w:b/>
          <w:noProof/>
          <w:sz w:val="24"/>
          <w:szCs w:val="24"/>
        </w:rPr>
        <w:lastRenderedPageBreak/>
        <w:t>1. Introduction</w:t>
      </w:r>
    </w:p>
    <w:p w:rsidR="00B70A3C" w:rsidRDefault="00242C75">
      <w:pPr>
        <w:spacing w:before="120" w:after="120"/>
        <w:rPr>
          <w:rFonts w:ascii="Times New Roman" w:hAnsi="Times New Roman" w:cs="Times New Roman"/>
          <w:noProof/>
          <w:sz w:val="24"/>
          <w:szCs w:val="24"/>
        </w:rPr>
      </w:pPr>
      <w:r>
        <w:rPr>
          <w:rFonts w:ascii="Times New Roman" w:hAnsi="Times New Roman" w:cs="Times New Roman"/>
          <w:noProof/>
          <w:sz w:val="24"/>
          <w:szCs w:val="24"/>
        </w:rPr>
        <w:t xml:space="preserve">The collaborative economy creates new opportunities for consumers and entrepreneurs. The Commission considers that it can therefore make an important contribution to jobs and growth in the European Union, if encouraged and developed in a responsible manner. Driven by innovation, new business models have a significant potential to contribute to competitiveness and growth. The success of collaborative platforms are at times challenging for existing market operators and practices, but by enabling individual citizens to offer services, they also promote new employment opportunities, flexible working arrangements and new sources of income. For consumers, the collaborative economy can provide benefits through new services, an extended supply, and lower prices. It can also encourage more asset-sharing and more efficient use of resources, which can contribute to the EU’s sustainability agenda and to the transition to the circular economy. </w:t>
      </w:r>
    </w:p>
    <w:p w:rsidR="00B70A3C" w:rsidRDefault="00242C75">
      <w:pPr>
        <w:spacing w:after="120"/>
        <w:rPr>
          <w:rFonts w:ascii="Times New Roman" w:hAnsi="Times New Roman"/>
          <w:noProof/>
          <w:sz w:val="24"/>
          <w:szCs w:val="24"/>
        </w:rPr>
      </w:pPr>
      <w:r>
        <w:rPr>
          <w:rFonts w:ascii="Times New Roman" w:hAnsi="Times New Roman" w:cs="Times New Roman"/>
          <w:noProof/>
          <w:sz w:val="24"/>
          <w:szCs w:val="24"/>
        </w:rPr>
        <w:t xml:space="preserve">At the same time, the collaborative economy often raises issues with regard to the application of existing legal frameworks, blurring established lines between consumer and provider, employee and self-employed, or the professional and non-professional provision of services. </w:t>
      </w:r>
      <w:r>
        <w:rPr>
          <w:rFonts w:ascii="Times New Roman" w:hAnsi="Times New Roman"/>
          <w:noProof/>
          <w:sz w:val="24"/>
          <w:szCs w:val="24"/>
        </w:rPr>
        <w:t>This can result in u</w:t>
      </w:r>
      <w:r>
        <w:rPr>
          <w:rFonts w:ascii="Times New Roman" w:hAnsi="Times New Roman" w:cs="Times New Roman"/>
          <w:noProof/>
          <w:sz w:val="24"/>
          <w:szCs w:val="24"/>
        </w:rPr>
        <w:t>ncertainty over applicable rules, especially when combined with regulatory fragmentation stemming from divergent regulatory approaches at national or local level. This hampers the development of the collaborative economy in Europe and prevents its benefits to materialise fully. At the same time, there is a risk that regulatory grey zones are exploited to circumvent rules designed to preserve the public interest.</w:t>
      </w:r>
    </w:p>
    <w:p w:rsidR="00B70A3C" w:rsidRDefault="00242C75">
      <w:pPr>
        <w:spacing w:after="120"/>
        <w:rPr>
          <w:rFonts w:ascii="Times New Roman" w:hAnsi="Times New Roman" w:cs="Times New Roman"/>
          <w:noProof/>
          <w:sz w:val="24"/>
          <w:szCs w:val="24"/>
        </w:rPr>
      </w:pPr>
      <w:r>
        <w:rPr>
          <w:rFonts w:ascii="Times New Roman" w:hAnsi="Times New Roman" w:cs="Times New Roman"/>
          <w:noProof/>
          <w:sz w:val="24"/>
          <w:szCs w:val="24"/>
        </w:rPr>
        <w:t>The collaborative economy is small but growing rapidly, gaining important market shares in some sectors. Gross revenue in the EU from collaborative platforms and providers was estimated to be EUR 28 billion in 2015. Revenues in the EU in five key sectors almost doubled compared with the previous year and are set to continue expanding robustly.</w:t>
      </w:r>
      <w:r>
        <w:rPr>
          <w:rStyle w:val="FootnoteReference"/>
          <w:rFonts w:ascii="Times New Roman" w:hAnsi="Times New Roman" w:cs="Times New Roman"/>
          <w:noProof/>
          <w:sz w:val="24"/>
          <w:szCs w:val="24"/>
        </w:rPr>
        <w:footnoteReference w:id="2"/>
      </w:r>
      <w:r>
        <w:rPr>
          <w:rFonts w:ascii="Times New Roman" w:hAnsi="Times New Roman" w:cs="Times New Roman"/>
          <w:noProof/>
          <w:sz w:val="24"/>
          <w:szCs w:val="24"/>
        </w:rPr>
        <w:t xml:space="preserve"> Growth has been strong since 2013 and accelerated in 2015 as large platforms invested significantly in expanding their European operations. Going forward, some experts estimate that the collaborative economy could add EUR 160-572 billion to the EU economy. Therefore there is a high potential for new businesses to capture these fast growing markets.</w:t>
      </w:r>
      <w:r>
        <w:rPr>
          <w:rStyle w:val="FootnoteReference"/>
          <w:rFonts w:ascii="Times New Roman" w:hAnsi="Times New Roman" w:cs="Times New Roman"/>
          <w:noProof/>
          <w:sz w:val="24"/>
          <w:szCs w:val="24"/>
        </w:rPr>
        <w:footnoteReference w:id="3"/>
      </w:r>
      <w:r>
        <w:rPr>
          <w:rFonts w:ascii="Times New Roman" w:hAnsi="Times New Roman" w:cs="Times New Roman"/>
          <w:noProof/>
          <w:sz w:val="24"/>
          <w:szCs w:val="24"/>
        </w:rPr>
        <w:t xml:space="preserve"> Consumer interest is indeed strong, as confirmed by a public consultation and a Eurobarometer poll.</w:t>
      </w:r>
      <w:r>
        <w:rPr>
          <w:rStyle w:val="FootnoteReference"/>
          <w:rFonts w:ascii="Times New Roman" w:hAnsi="Times New Roman" w:cs="Times New Roman"/>
          <w:noProof/>
          <w:sz w:val="24"/>
          <w:szCs w:val="24"/>
        </w:rPr>
        <w:footnoteReference w:id="4"/>
      </w:r>
    </w:p>
    <w:p w:rsidR="00B70A3C" w:rsidRDefault="00242C75">
      <w:pPr>
        <w:spacing w:after="240"/>
        <w:rPr>
          <w:rFonts w:ascii="Times New Roman" w:hAnsi="Times New Roman" w:cs="Times New Roman"/>
          <w:noProof/>
          <w:sz w:val="24"/>
          <w:szCs w:val="24"/>
        </w:rPr>
      </w:pPr>
      <w:r>
        <w:rPr>
          <w:rFonts w:ascii="Times New Roman" w:hAnsi="Times New Roman" w:cs="Times New Roman"/>
          <w:noProof/>
          <w:sz w:val="24"/>
          <w:szCs w:val="24"/>
        </w:rPr>
        <w:t xml:space="preserve">This Communication aims at helping to reap these benefits and to address concerns over the uncertainty </w:t>
      </w:r>
      <w:r>
        <w:rPr>
          <w:rFonts w:ascii="Times New Roman" w:hAnsi="Times New Roman"/>
          <w:noProof/>
          <w:sz w:val="24"/>
          <w:szCs w:val="24"/>
        </w:rPr>
        <w:t>about rights and obligations of those taking part in the collaborative economy.</w:t>
      </w:r>
      <w:r>
        <w:rPr>
          <w:rFonts w:ascii="Times New Roman" w:hAnsi="Times New Roman" w:cs="Times New Roman"/>
          <w:noProof/>
          <w:sz w:val="24"/>
          <w:szCs w:val="24"/>
        </w:rPr>
        <w:t xml:space="preserve"> It </w:t>
      </w:r>
      <w:r>
        <w:rPr>
          <w:rFonts w:ascii="Times New Roman" w:hAnsi="Times New Roman"/>
          <w:noProof/>
          <w:sz w:val="24"/>
          <w:szCs w:val="24"/>
        </w:rPr>
        <w:t>provides legal guidance and policy orientation</w:t>
      </w:r>
      <w:r>
        <w:rPr>
          <w:rStyle w:val="FootnoteReference"/>
          <w:noProof/>
        </w:rPr>
        <w:footnoteReference w:id="5"/>
      </w:r>
      <w:r>
        <w:rPr>
          <w:rFonts w:ascii="Times New Roman" w:hAnsi="Times New Roman"/>
          <w:noProof/>
          <w:sz w:val="24"/>
          <w:szCs w:val="24"/>
        </w:rPr>
        <w:t xml:space="preserve">  </w:t>
      </w:r>
      <w:r>
        <w:rPr>
          <w:rFonts w:ascii="Times New Roman" w:hAnsi="Times New Roman" w:cs="Times New Roman"/>
          <w:noProof/>
          <w:sz w:val="24"/>
          <w:szCs w:val="24"/>
        </w:rPr>
        <w:t xml:space="preserve">to public authorities, market operators and interested citizens </w:t>
      </w:r>
      <w:r>
        <w:rPr>
          <w:rFonts w:ascii="Times New Roman" w:hAnsi="Times New Roman"/>
          <w:noProof/>
          <w:sz w:val="24"/>
          <w:szCs w:val="24"/>
        </w:rPr>
        <w:t>for the balanced and sustainable development of the collaborative economy,</w:t>
      </w:r>
      <w:r>
        <w:rPr>
          <w:rFonts w:ascii="Times New Roman" w:hAnsi="Times New Roman" w:cs="Times New Roman"/>
          <w:noProof/>
          <w:sz w:val="24"/>
          <w:szCs w:val="24"/>
        </w:rPr>
        <w:t xml:space="preserve"> as announced in the single market strategy.</w:t>
      </w:r>
      <w:r>
        <w:rPr>
          <w:rStyle w:val="FootnoteReference"/>
          <w:noProof/>
        </w:rPr>
        <w:footnoteReference w:id="6"/>
      </w:r>
      <w:r>
        <w:rPr>
          <w:rStyle w:val="FootnoteReference"/>
          <w:noProof/>
        </w:rPr>
        <w:t xml:space="preserve"> </w:t>
      </w:r>
      <w:r>
        <w:rPr>
          <w:rFonts w:ascii="Times New Roman" w:hAnsi="Times New Roman"/>
          <w:noProof/>
          <w:sz w:val="24"/>
          <w:szCs w:val="24"/>
        </w:rPr>
        <w:t xml:space="preserve">This non-binding </w:t>
      </w:r>
      <w:r>
        <w:rPr>
          <w:rFonts w:ascii="Times New Roman" w:hAnsi="Times New Roman" w:cs="Times New Roman"/>
          <w:noProof/>
          <w:sz w:val="24"/>
          <w:szCs w:val="24"/>
        </w:rPr>
        <w:t>guidance on how existing EU law should be applied to the collaborative economy covers key issues faced by market operators and public authorities alike.</w:t>
      </w:r>
      <w:r>
        <w:rPr>
          <w:rStyle w:val="FootnoteReference"/>
          <w:rFonts w:ascii="Times New Roman" w:hAnsi="Times New Roman" w:cs="Times New Roman"/>
          <w:noProof/>
          <w:sz w:val="24"/>
          <w:szCs w:val="24"/>
        </w:rPr>
        <w:footnoteReference w:id="7"/>
      </w:r>
      <w:r>
        <w:rPr>
          <w:rFonts w:ascii="Times New Roman" w:hAnsi="Times New Roman" w:cs="Times New Roman"/>
          <w:noProof/>
          <w:sz w:val="24"/>
          <w:szCs w:val="24"/>
        </w:rPr>
        <w:t xml:space="preserve"> It is without prejudice to initiatives that the </w:t>
      </w:r>
      <w:r>
        <w:rPr>
          <w:rFonts w:ascii="Times New Roman" w:hAnsi="Times New Roman" w:cs="Times New Roman"/>
          <w:noProof/>
          <w:sz w:val="24"/>
          <w:szCs w:val="24"/>
        </w:rPr>
        <w:lastRenderedPageBreak/>
        <w:t>Commission may take in this area in the future and to the prerogatives of the Court of Justice as regards the interpretation of EU law.</w:t>
      </w:r>
    </w:p>
    <w:tbl>
      <w:tblPr>
        <w:tblStyle w:val="TableGrid"/>
        <w:tblW w:w="0" w:type="auto"/>
        <w:tblLook w:val="04A0" w:firstRow="1" w:lastRow="0" w:firstColumn="1" w:lastColumn="0" w:noHBand="0" w:noVBand="1"/>
      </w:tblPr>
      <w:tblGrid>
        <w:gridCol w:w="9288"/>
      </w:tblGrid>
      <w:tr w:rsidR="00B70A3C">
        <w:tc>
          <w:tcPr>
            <w:tcW w:w="9288" w:type="dxa"/>
          </w:tcPr>
          <w:p w:rsidR="00B70A3C" w:rsidRDefault="00242C75">
            <w:pPr>
              <w:spacing w:after="120"/>
              <w:rPr>
                <w:rFonts w:ascii="Times New Roman" w:hAnsi="Times New Roman" w:cs="Times New Roman"/>
                <w:i/>
                <w:noProof/>
                <w:sz w:val="24"/>
                <w:szCs w:val="24"/>
                <w:u w:val="single"/>
              </w:rPr>
            </w:pPr>
            <w:r>
              <w:rPr>
                <w:rFonts w:ascii="Times New Roman" w:hAnsi="Times New Roman" w:cs="Times New Roman"/>
                <w:i/>
                <w:noProof/>
                <w:sz w:val="24"/>
                <w:szCs w:val="24"/>
                <w:u w:val="single"/>
              </w:rPr>
              <w:t>What is the collaborative economy?</w:t>
            </w:r>
          </w:p>
          <w:p w:rsidR="00B70A3C" w:rsidRDefault="00242C75">
            <w:pPr>
              <w:spacing w:after="120"/>
              <w:rPr>
                <w:rFonts w:ascii="Times New Roman" w:hAnsi="Times New Roman" w:cs="Times New Roman"/>
                <w:b/>
                <w:noProof/>
                <w:sz w:val="24"/>
                <w:szCs w:val="24"/>
              </w:rPr>
            </w:pPr>
            <w:r>
              <w:rPr>
                <w:rFonts w:ascii="Times New Roman" w:hAnsi="Times New Roman" w:cs="Times New Roman"/>
                <w:i/>
                <w:noProof/>
                <w:sz w:val="24"/>
                <w:szCs w:val="24"/>
                <w:lang w:eastAsia="en-GB"/>
              </w:rPr>
              <w:t>For the purposes of this Communication, the term "collaborative economy"</w:t>
            </w:r>
            <w:r>
              <w:rPr>
                <w:rStyle w:val="FootnoteReference"/>
                <w:rFonts w:ascii="Times New Roman" w:hAnsi="Times New Roman" w:cs="Times New Roman"/>
                <w:i/>
                <w:noProof/>
                <w:sz w:val="24"/>
                <w:szCs w:val="24"/>
                <w:lang w:eastAsia="en-GB"/>
              </w:rPr>
              <w:footnoteReference w:id="8"/>
            </w:r>
            <w:r>
              <w:rPr>
                <w:rFonts w:ascii="Times New Roman" w:hAnsi="Times New Roman" w:cs="Times New Roman"/>
                <w:i/>
                <w:noProof/>
                <w:sz w:val="24"/>
                <w:szCs w:val="24"/>
                <w:lang w:eastAsia="en-GB"/>
              </w:rPr>
              <w:t xml:space="preserve"> refers to business models where activities are facilitated by collaborative platforms that create an open marketplace for the temporary usage of goods or services often provided by private individuals. The collaborative economy involves three categories of actors: (i) service providers who share assets, resources, time and/or skills — these can be private individuals offering services on an occasional basis (‘peers’) or service providers acting in their professional capacity ("professional services providers"); (ii) users of these; and (iii) intermediaries that connect — via an online platform — providers with users and that facilitate transactions between them (‘collaborative platforms’). Collaborative economy transactions generally do not involve a change of ownership and can be carried out for profit or not-for-profit.</w:t>
            </w:r>
            <w:r>
              <w:rPr>
                <w:rStyle w:val="FootnoteReference"/>
                <w:rFonts w:ascii="Times New Roman" w:hAnsi="Times New Roman" w:cs="Times New Roman"/>
                <w:i/>
                <w:noProof/>
                <w:sz w:val="24"/>
                <w:szCs w:val="24"/>
                <w:lang w:eastAsia="en-GB"/>
              </w:rPr>
              <w:t xml:space="preserve"> </w:t>
            </w:r>
            <w:r>
              <w:rPr>
                <w:rStyle w:val="FootnoteReference"/>
                <w:rFonts w:ascii="Times New Roman" w:hAnsi="Times New Roman" w:cs="Times New Roman"/>
                <w:i/>
                <w:noProof/>
                <w:sz w:val="24"/>
                <w:szCs w:val="24"/>
                <w:lang w:eastAsia="en-GB"/>
              </w:rPr>
              <w:footnoteReference w:id="9"/>
            </w:r>
          </w:p>
        </w:tc>
      </w:tr>
    </w:tbl>
    <w:p w:rsidR="00B70A3C" w:rsidRDefault="00242C75">
      <w:pPr>
        <w:spacing w:before="360" w:after="120"/>
        <w:rPr>
          <w:rFonts w:ascii="Times New Roman" w:hAnsi="Times New Roman" w:cs="Times New Roman"/>
          <w:b/>
          <w:noProof/>
          <w:sz w:val="24"/>
          <w:szCs w:val="24"/>
        </w:rPr>
      </w:pPr>
      <w:r>
        <w:rPr>
          <w:rFonts w:ascii="Times New Roman" w:hAnsi="Times New Roman" w:cs="Times New Roman"/>
          <w:b/>
          <w:noProof/>
          <w:sz w:val="24"/>
          <w:szCs w:val="24"/>
        </w:rPr>
        <w:t>2. Key issues</w:t>
      </w:r>
    </w:p>
    <w:p w:rsidR="00B70A3C" w:rsidRDefault="00242C75">
      <w:pPr>
        <w:spacing w:before="120" w:after="120"/>
        <w:rPr>
          <w:rFonts w:ascii="Times New Roman" w:hAnsi="Times New Roman" w:cs="Times New Roman"/>
          <w:b/>
          <w:i/>
          <w:noProof/>
          <w:sz w:val="24"/>
          <w:szCs w:val="24"/>
        </w:rPr>
      </w:pPr>
      <w:r>
        <w:rPr>
          <w:rFonts w:ascii="Times New Roman" w:hAnsi="Times New Roman" w:cs="Times New Roman"/>
          <w:b/>
          <w:i/>
          <w:noProof/>
          <w:sz w:val="24"/>
          <w:szCs w:val="24"/>
        </w:rPr>
        <w:t>2.1. Market access requirements</w:t>
      </w:r>
    </w:p>
    <w:p w:rsidR="00B70A3C" w:rsidRDefault="00242C75">
      <w:pPr>
        <w:spacing w:after="240"/>
        <w:rPr>
          <w:rFonts w:ascii="Times New Roman" w:hAnsi="Times New Roman" w:cs="Times New Roman"/>
          <w:noProof/>
          <w:sz w:val="24"/>
          <w:szCs w:val="24"/>
        </w:rPr>
      </w:pPr>
      <w:r>
        <w:rPr>
          <w:rFonts w:ascii="Times New Roman" w:hAnsi="Times New Roman" w:cs="Times New Roman"/>
          <w:noProof/>
          <w:sz w:val="24"/>
          <w:szCs w:val="24"/>
        </w:rPr>
        <w:t>As well as creating new markets and expanding existing ones, collaborative economy businesses enter markets so far served by traditional service providers. A key question for authorities and market operators alike is whether and if so to what extent, under existing EU law, collaborative platforms and service providers can be subject to market access requirements. These can include business authorisations, licensing obligations, or minimum quality standard requirements (e.g. the size of rooms or the type of cars, insurance or deposit obligations etc.). Under EU law, such requirements need to be justified and proportionate, taking account of the specificities of the business model and innovative services concerned, while not favouring one business model over the other.</w:t>
      </w:r>
    </w:p>
    <w:p w:rsidR="00B70A3C" w:rsidRDefault="00242C75">
      <w:pPr>
        <w:spacing w:after="120"/>
        <w:rPr>
          <w:rFonts w:ascii="Times New Roman" w:hAnsi="Times New Roman" w:cs="Times New Roman"/>
          <w:i/>
          <w:noProof/>
          <w:sz w:val="24"/>
          <w:szCs w:val="24"/>
        </w:rPr>
      </w:pPr>
      <w:r>
        <w:rPr>
          <w:rFonts w:ascii="Times New Roman" w:hAnsi="Times New Roman" w:cs="Times New Roman"/>
          <w:i/>
          <w:noProof/>
          <w:sz w:val="24"/>
          <w:szCs w:val="24"/>
        </w:rPr>
        <w:t>Professional provision of services</w:t>
      </w:r>
    </w:p>
    <w:p w:rsidR="00B70A3C" w:rsidRDefault="00242C75">
      <w:pPr>
        <w:spacing w:after="120"/>
        <w:rPr>
          <w:rFonts w:ascii="Times New Roman" w:hAnsi="Times New Roman" w:cs="Times New Roman"/>
          <w:noProof/>
          <w:sz w:val="24"/>
          <w:szCs w:val="24"/>
        </w:rPr>
      </w:pPr>
      <w:r>
        <w:rPr>
          <w:rFonts w:ascii="Times New Roman" w:hAnsi="Times New Roman" w:cs="Times New Roman"/>
          <w:noProof/>
          <w:sz w:val="24"/>
          <w:szCs w:val="24"/>
        </w:rPr>
        <w:t>National regulatory approaches differ in various sectors, some being more restrictive than others. Depending on the type of service, regulatory intervention is usually motivated by reference to varying public interest objectives: protection of tourists; ensuring public safety; combating tax evasion; maintaining a level playing field; safeguarding public health and food safety; remedying scarcity of affordable housing for citizens, etc. In some Member States, in addition to existing sector-specific regulation, there have been targeted regulatory interventions, spurred by the entry into the market of collaborative economy operators.</w:t>
      </w:r>
    </w:p>
    <w:p w:rsidR="00B70A3C" w:rsidRDefault="00242C75">
      <w:pPr>
        <w:spacing w:after="120"/>
        <w:rPr>
          <w:rFonts w:ascii="Times New Roman" w:hAnsi="Times New Roman" w:cs="Times New Roman"/>
          <w:noProof/>
          <w:sz w:val="24"/>
          <w:szCs w:val="24"/>
        </w:rPr>
      </w:pPr>
      <w:r>
        <w:rPr>
          <w:rFonts w:ascii="Times New Roman" w:hAnsi="Times New Roman" w:cs="Times New Roman"/>
          <w:noProof/>
          <w:sz w:val="24"/>
          <w:szCs w:val="24"/>
        </w:rPr>
        <w:t>Under EU law, in particular the fundamental freedoms of the Treaty and the</w:t>
      </w:r>
      <w:r>
        <w:rPr>
          <w:rFonts w:ascii="Times New Roman" w:hAnsi="Times New Roman" w:cs="Times New Roman"/>
          <w:noProof/>
          <w:sz w:val="18"/>
          <w:szCs w:val="18"/>
        </w:rPr>
        <w:t xml:space="preserve"> </w:t>
      </w:r>
      <w:r>
        <w:rPr>
          <w:rFonts w:ascii="Times New Roman" w:hAnsi="Times New Roman" w:cs="Times New Roman"/>
          <w:noProof/>
          <w:sz w:val="24"/>
          <w:szCs w:val="24"/>
        </w:rPr>
        <w:t>Services Directive,</w:t>
      </w:r>
      <w:r>
        <w:rPr>
          <w:rStyle w:val="FootnoteReference"/>
          <w:rFonts w:ascii="Times New Roman" w:hAnsi="Times New Roman" w:cs="Times New Roman"/>
          <w:noProof/>
          <w:sz w:val="24"/>
          <w:szCs w:val="24"/>
        </w:rPr>
        <w:footnoteReference w:id="10"/>
      </w:r>
      <w:r>
        <w:rPr>
          <w:rFonts w:ascii="Times New Roman" w:hAnsi="Times New Roman" w:cs="Times New Roman"/>
          <w:noProof/>
          <w:sz w:val="24"/>
          <w:szCs w:val="24"/>
        </w:rPr>
        <w:t xml:space="preserve"> service providers are not to be subject to market access or other requirements, such </w:t>
      </w:r>
      <w:r>
        <w:rPr>
          <w:rFonts w:ascii="Times New Roman" w:hAnsi="Times New Roman" w:cs="Times New Roman"/>
          <w:noProof/>
          <w:sz w:val="24"/>
          <w:szCs w:val="24"/>
        </w:rPr>
        <w:lastRenderedPageBreak/>
        <w:t>as authorisation schemes and licensing requirements, unless they are non-discriminatory, necessary to attain a clearly identified public interest objective</w:t>
      </w:r>
      <w:r>
        <w:rPr>
          <w:rStyle w:val="FootnoteReference"/>
          <w:rFonts w:ascii="Times New Roman" w:hAnsi="Times New Roman" w:cs="Times New Roman"/>
          <w:noProof/>
          <w:sz w:val="24"/>
          <w:szCs w:val="24"/>
        </w:rPr>
        <w:footnoteReference w:id="11"/>
      </w:r>
      <w:r>
        <w:rPr>
          <w:rFonts w:ascii="Times New Roman" w:hAnsi="Times New Roman" w:cs="Times New Roman"/>
          <w:noProof/>
          <w:sz w:val="24"/>
          <w:szCs w:val="24"/>
        </w:rPr>
        <w:t xml:space="preserve"> and proportionate to achieving this interest (i.e. imposing no more requirements than strictly needed).</w:t>
      </w:r>
      <w:r>
        <w:rPr>
          <w:rStyle w:val="FootnoteReference"/>
          <w:rFonts w:ascii="Times New Roman" w:hAnsi="Times New Roman" w:cs="Times New Roman"/>
          <w:noProof/>
          <w:sz w:val="24"/>
          <w:szCs w:val="24"/>
        </w:rPr>
        <w:footnoteReference w:id="12"/>
      </w:r>
      <w:r>
        <w:rPr>
          <w:rFonts w:ascii="Times New Roman" w:hAnsi="Times New Roman" w:cs="Times New Roman"/>
          <w:noProof/>
          <w:sz w:val="24"/>
          <w:szCs w:val="24"/>
        </w:rPr>
        <w:t xml:space="preserve"> This also applies to the regulation of professions.</w:t>
      </w:r>
      <w:r>
        <w:rPr>
          <w:rStyle w:val="FootnoteReference"/>
          <w:rFonts w:ascii="Times New Roman" w:hAnsi="Times New Roman" w:cs="Times New Roman"/>
          <w:noProof/>
          <w:sz w:val="24"/>
          <w:szCs w:val="24"/>
        </w:rPr>
        <w:footnoteReference w:id="13"/>
      </w:r>
    </w:p>
    <w:p w:rsidR="00B70A3C" w:rsidRDefault="00242C75">
      <w:pPr>
        <w:spacing w:after="120"/>
        <w:rPr>
          <w:rFonts w:ascii="Times New Roman" w:hAnsi="Times New Roman" w:cs="Times New Roman"/>
          <w:noProof/>
          <w:sz w:val="24"/>
          <w:szCs w:val="24"/>
        </w:rPr>
      </w:pPr>
      <w:r>
        <w:rPr>
          <w:rFonts w:ascii="Times New Roman" w:hAnsi="Times New Roman" w:cs="Times New Roman"/>
          <w:noProof/>
          <w:sz w:val="24"/>
          <w:szCs w:val="24"/>
        </w:rPr>
        <w:t>The Services Directive requires national authorities to review existing national legislation to ensure that market access requirements continue to be justified by a legitimate objective. They must also be necessary and proportionate. As the Commission emphasised in its Annual Growth Survey 2016</w:t>
      </w:r>
      <w:r>
        <w:rPr>
          <w:rStyle w:val="FootnoteReference"/>
          <w:rFonts w:ascii="Times New Roman" w:hAnsi="Times New Roman" w:cs="Times New Roman"/>
          <w:noProof/>
          <w:sz w:val="24"/>
          <w:szCs w:val="24"/>
        </w:rPr>
        <w:footnoteReference w:id="14"/>
      </w:r>
      <w:r>
        <w:rPr>
          <w:rFonts w:ascii="Times New Roman" w:hAnsi="Times New Roman" w:cs="Times New Roman"/>
          <w:noProof/>
          <w:sz w:val="24"/>
          <w:szCs w:val="24"/>
        </w:rPr>
        <w:t>, a more flexible regulation of services markets would lead to higher productivity and could ease the market entry of new players, reduce the price for services, and ensure wider choices for consumers.</w:t>
      </w:r>
    </w:p>
    <w:p w:rsidR="00B70A3C" w:rsidRDefault="00242C75">
      <w:pPr>
        <w:spacing w:after="120"/>
        <w:rPr>
          <w:rFonts w:ascii="Times New Roman" w:hAnsi="Times New Roman" w:cs="Times New Roman"/>
          <w:noProof/>
          <w:sz w:val="24"/>
          <w:szCs w:val="24"/>
        </w:rPr>
      </w:pPr>
      <w:r>
        <w:rPr>
          <w:rFonts w:ascii="Times New Roman" w:hAnsi="Times New Roman" w:cs="Times New Roman"/>
          <w:noProof/>
          <w:sz w:val="24"/>
          <w:szCs w:val="24"/>
        </w:rPr>
        <w:t>The emergence of the collaborative economy and the entry into the market of new business models provide an opportunity to policymakers and legislators in Member States. They can consider whether the objectives pursued in existing legislation remain valid, both in relation to the collaborative economy and to traditionally operating service providers.</w:t>
      </w:r>
    </w:p>
    <w:p w:rsidR="00B70A3C" w:rsidRDefault="00242C75">
      <w:pPr>
        <w:spacing w:after="120"/>
        <w:rPr>
          <w:rFonts w:ascii="Times New Roman" w:hAnsi="Times New Roman" w:cs="Times New Roman"/>
          <w:noProof/>
          <w:sz w:val="24"/>
          <w:szCs w:val="24"/>
        </w:rPr>
      </w:pPr>
      <w:r>
        <w:rPr>
          <w:rFonts w:ascii="Times New Roman" w:hAnsi="Times New Roman" w:cs="Times New Roman"/>
          <w:noProof/>
          <w:sz w:val="24"/>
          <w:szCs w:val="24"/>
        </w:rPr>
        <w:t xml:space="preserve">When reassessing the justification and proportionality of legislation applicable to the collaborative economy, national authorities should generally take into consideration the specific features of collaborative economy business models and the tools they may put in place to address public policy concerns, for instance in relation to access, quality or safety. For example, rating and reputational systems or other mechanisms to discourage harmful behaviour by market participants may in some cases reduce risks for consumers stemming from information asymmetries. This can contribute to higher quality services and potentially reduce the need for certain elements of regulation, provided adequate trust can be placed in the quality of the reviews and ratings. </w:t>
      </w:r>
    </w:p>
    <w:p w:rsidR="00B70A3C" w:rsidRDefault="00242C75">
      <w:pPr>
        <w:spacing w:after="120"/>
        <w:rPr>
          <w:rFonts w:ascii="Times New Roman" w:hAnsi="Times New Roman" w:cs="Times New Roman"/>
          <w:noProof/>
          <w:sz w:val="24"/>
          <w:szCs w:val="24"/>
        </w:rPr>
      </w:pPr>
      <w:r>
        <w:rPr>
          <w:rFonts w:ascii="Times New Roman" w:hAnsi="Times New Roman" w:cs="Times New Roman"/>
          <w:noProof/>
          <w:sz w:val="24"/>
          <w:szCs w:val="24"/>
        </w:rPr>
        <w:t>Absolute bans and quantitative restrictions of an activity normally constitute a measure of last resort. They should in general only be applied if and where no less restrictive requirements to attain a legitimate public interest objective can be used. For example, banning short-term letting of apartments appears generally difficult to justify when the short-term rental use of properties can for example be limited to a maximum number of days per year. This would allow citizens to share their properties on an occasional basis without withdrawing the property from the long-term rental market.</w:t>
      </w:r>
    </w:p>
    <w:p w:rsidR="00B70A3C" w:rsidRDefault="00242C75">
      <w:pPr>
        <w:spacing w:after="120"/>
        <w:rPr>
          <w:rFonts w:ascii="Times New Roman" w:hAnsi="Times New Roman" w:cs="Times New Roman"/>
          <w:noProof/>
          <w:sz w:val="24"/>
          <w:szCs w:val="24"/>
        </w:rPr>
      </w:pPr>
      <w:r>
        <w:rPr>
          <w:rFonts w:ascii="Times New Roman" w:hAnsi="Times New Roman" w:cs="Times New Roman"/>
          <w:noProof/>
          <w:sz w:val="24"/>
          <w:szCs w:val="24"/>
        </w:rPr>
        <w:t>In addition, where service providers are legitimately required to obtain authorisations on the basis of national law, Member States are to ensure that the conditions to obtain them are, among other things, clear, proportionate and objective and that the authorisations are in principle granted for an unlimited period of time.</w:t>
      </w:r>
      <w:r>
        <w:rPr>
          <w:rStyle w:val="FootnoteReference"/>
          <w:rFonts w:ascii="Times New Roman" w:hAnsi="Times New Roman" w:cs="Times New Roman"/>
          <w:noProof/>
          <w:sz w:val="24"/>
          <w:szCs w:val="24"/>
        </w:rPr>
        <w:footnoteReference w:id="15"/>
      </w:r>
      <w:r>
        <w:rPr>
          <w:rFonts w:ascii="Times New Roman" w:hAnsi="Times New Roman" w:cs="Times New Roman"/>
          <w:noProof/>
          <w:sz w:val="24"/>
          <w:szCs w:val="24"/>
        </w:rPr>
        <w:t xml:space="preserve"> Moreover, the relevant administrative procedures and formalities must also be clear, transparent and not unduly complicated, whereas their costs for the providers must be reasonable and proportionate to the cost of the procedure in question and the procedures must be as speedy as possible and subject to tacit </w:t>
      </w:r>
      <w:r>
        <w:rPr>
          <w:rFonts w:ascii="Times New Roman" w:hAnsi="Times New Roman" w:cs="Times New Roman"/>
          <w:noProof/>
          <w:sz w:val="24"/>
          <w:szCs w:val="24"/>
        </w:rPr>
        <w:lastRenderedPageBreak/>
        <w:t>approval.</w:t>
      </w:r>
      <w:r>
        <w:rPr>
          <w:rStyle w:val="FootnoteReference"/>
          <w:rFonts w:ascii="Times New Roman" w:hAnsi="Times New Roman" w:cs="Times New Roman"/>
          <w:noProof/>
          <w:sz w:val="24"/>
          <w:szCs w:val="24"/>
        </w:rPr>
        <w:footnoteReference w:id="16"/>
      </w:r>
      <w:r>
        <w:rPr>
          <w:rFonts w:ascii="Times New Roman" w:hAnsi="Times New Roman" w:cs="Times New Roman"/>
          <w:noProof/>
          <w:sz w:val="24"/>
          <w:szCs w:val="24"/>
        </w:rPr>
        <w:t xml:space="preserve"> Employing e-government best practices and principles can significantly lower the cost and burden of compliance for service providers.</w:t>
      </w:r>
      <w:r>
        <w:rPr>
          <w:rStyle w:val="FootnoteReference"/>
          <w:rFonts w:ascii="Times New Roman" w:hAnsi="Times New Roman" w:cs="Times New Roman"/>
          <w:noProof/>
          <w:sz w:val="24"/>
          <w:szCs w:val="24"/>
        </w:rPr>
        <w:footnoteReference w:id="17"/>
      </w:r>
    </w:p>
    <w:p w:rsidR="00B70A3C" w:rsidRDefault="00242C75">
      <w:pPr>
        <w:spacing w:after="120"/>
        <w:rPr>
          <w:rFonts w:ascii="Times New Roman" w:hAnsi="Times New Roman" w:cs="Times New Roman"/>
          <w:i/>
          <w:noProof/>
          <w:sz w:val="24"/>
          <w:szCs w:val="24"/>
        </w:rPr>
      </w:pPr>
      <w:r>
        <w:rPr>
          <w:rFonts w:ascii="Times New Roman" w:hAnsi="Times New Roman" w:cs="Times New Roman"/>
          <w:i/>
          <w:noProof/>
          <w:sz w:val="24"/>
          <w:szCs w:val="24"/>
        </w:rPr>
        <w:t>Peer-to-peer provision of services</w:t>
      </w:r>
    </w:p>
    <w:p w:rsidR="00B70A3C" w:rsidRDefault="00242C75">
      <w:pPr>
        <w:spacing w:after="120"/>
        <w:rPr>
          <w:rFonts w:ascii="Times New Roman" w:hAnsi="Times New Roman" w:cs="Times New Roman"/>
          <w:noProof/>
          <w:sz w:val="24"/>
          <w:szCs w:val="24"/>
        </w:rPr>
      </w:pPr>
      <w:r>
        <w:rPr>
          <w:rFonts w:ascii="Times New Roman" w:hAnsi="Times New Roman" w:cs="Times New Roman"/>
          <w:noProof/>
          <w:sz w:val="24"/>
          <w:szCs w:val="24"/>
        </w:rPr>
        <w:t>In the collaborative economy context, an important element to assess whether a market access requirement is necessary, justified and proportionate, can be whether the services are offered by professional providers or rather by private individuals on an occasional basis. In fact, a specific feature of the collaborative economy is that service providers are often private individuals offering assets or services on an occasional peer-to-peer basis. At the same time, increasingly micro entrepreneurs and small businesses are using collaborative platforms.</w:t>
      </w:r>
    </w:p>
    <w:p w:rsidR="00B70A3C" w:rsidRDefault="00242C75">
      <w:pPr>
        <w:autoSpaceDE w:val="0"/>
        <w:autoSpaceDN w:val="0"/>
        <w:adjustRightInd w:val="0"/>
        <w:spacing w:after="120"/>
        <w:rPr>
          <w:rFonts w:ascii="Times New Roman" w:hAnsi="Times New Roman" w:cs="Times New Roman"/>
          <w:noProof/>
          <w:sz w:val="24"/>
          <w:szCs w:val="24"/>
        </w:rPr>
      </w:pPr>
      <w:r>
        <w:rPr>
          <w:rFonts w:ascii="Times New Roman" w:hAnsi="Times New Roman" w:cs="Times New Roman"/>
          <w:noProof/>
          <w:sz w:val="24"/>
          <w:szCs w:val="24"/>
        </w:rPr>
        <w:t>EU legislation does not establish expressly at what point a peer becomes a professional services provider in the collaborative economy.</w:t>
      </w:r>
      <w:r>
        <w:rPr>
          <w:rStyle w:val="FootnoteReference"/>
          <w:rFonts w:ascii="Times New Roman" w:hAnsi="Times New Roman" w:cs="Times New Roman"/>
          <w:noProof/>
          <w:sz w:val="24"/>
          <w:szCs w:val="24"/>
        </w:rPr>
        <w:footnoteReference w:id="18"/>
      </w:r>
      <w:r>
        <w:rPr>
          <w:rFonts w:ascii="Times New Roman" w:hAnsi="Times New Roman" w:cs="Times New Roman"/>
          <w:noProof/>
          <w:sz w:val="24"/>
          <w:szCs w:val="24"/>
        </w:rPr>
        <w:t xml:space="preserve"> Member States use different criteria to differentiate between professional services and peer-to-peer services. Some Member States define professional services as services provided against remuneration compared to peer-to-peer services that aim at compensating costs incurred by the services provider. Other Member States have introduced a differentiation using thresholds. These thresholds are often developed on a sector-specific basis taking into account the level of income generated or the regularity with which the service is provided.</w:t>
      </w:r>
      <w:r>
        <w:rPr>
          <w:rStyle w:val="FootnoteReference"/>
          <w:rFonts w:ascii="Times New Roman" w:hAnsi="Times New Roman" w:cs="Times New Roman"/>
          <w:noProof/>
          <w:sz w:val="24"/>
          <w:szCs w:val="24"/>
        </w:rPr>
        <w:t xml:space="preserve"> </w:t>
      </w:r>
      <w:r>
        <w:rPr>
          <w:rFonts w:ascii="Times New Roman" w:hAnsi="Times New Roman" w:cs="Times New Roman"/>
          <w:noProof/>
          <w:sz w:val="24"/>
          <w:szCs w:val="24"/>
        </w:rPr>
        <w:t>Below these thresholds, service providers are usually subject to less restrictive requirements. Thresholds, established in a reasonable way, can be a useful proxy and can help create a clear regulatory framework to the benefit of non-professional providers.</w:t>
      </w:r>
    </w:p>
    <w:p w:rsidR="00B70A3C" w:rsidRDefault="00242C75">
      <w:pPr>
        <w:autoSpaceDE w:val="0"/>
        <w:autoSpaceDN w:val="0"/>
        <w:adjustRightInd w:val="0"/>
        <w:spacing w:after="120"/>
        <w:rPr>
          <w:rFonts w:ascii="Times New Roman" w:hAnsi="Times New Roman" w:cs="Times New Roman"/>
          <w:noProof/>
          <w:sz w:val="24"/>
          <w:szCs w:val="24"/>
        </w:rPr>
      </w:pPr>
      <w:r>
        <w:rPr>
          <w:rFonts w:ascii="Times New Roman" w:hAnsi="Times New Roman" w:cs="Times New Roman"/>
          <w:noProof/>
          <w:sz w:val="24"/>
          <w:szCs w:val="24"/>
        </w:rPr>
        <w:t>For example, in the transport sector, some Member States are preparing to exempt small-scale passenger transport services — falling below a specific threshold of annual turnover — from licensing requirements. In the short-term accommodation sector, some cities permit short-term rentals and home-sharing services without prior authorisation or registration requirements. This would be the case when the services are provided on an occasional basis, i.e. up to specific thresholds such as less than 90 days per year. Other cities apply different rules depending on whether the property is a primary or secondary residence, on the assumption that a citizen’s primary residence can only be rented out on an occasional basis.</w:t>
      </w:r>
    </w:p>
    <w:p w:rsidR="00B70A3C" w:rsidRDefault="00242C75">
      <w:pPr>
        <w:spacing w:before="240" w:after="120"/>
        <w:rPr>
          <w:rFonts w:ascii="Times New Roman" w:hAnsi="Times New Roman" w:cs="Times New Roman"/>
          <w:i/>
          <w:noProof/>
          <w:sz w:val="24"/>
          <w:szCs w:val="24"/>
        </w:rPr>
      </w:pPr>
      <w:r>
        <w:rPr>
          <w:rFonts w:ascii="Times New Roman" w:hAnsi="Times New Roman" w:cs="Times New Roman"/>
          <w:i/>
          <w:noProof/>
          <w:sz w:val="24"/>
          <w:szCs w:val="24"/>
        </w:rPr>
        <w:t>Collaborative platforms</w:t>
      </w:r>
    </w:p>
    <w:p w:rsidR="00B70A3C" w:rsidRDefault="00242C75">
      <w:pPr>
        <w:spacing w:after="120"/>
        <w:rPr>
          <w:rFonts w:ascii="Times New Roman" w:hAnsi="Times New Roman" w:cs="Times New Roman"/>
          <w:noProof/>
          <w:sz w:val="24"/>
          <w:szCs w:val="24"/>
        </w:rPr>
      </w:pPr>
      <w:r>
        <w:rPr>
          <w:rFonts w:ascii="Times New Roman" w:hAnsi="Times New Roman" w:cs="Times New Roman"/>
          <w:noProof/>
          <w:sz w:val="24"/>
          <w:szCs w:val="24"/>
        </w:rPr>
        <w:t>Whether or not – and the extent to which – collaborative platforms can be subject to market access requirements depends on the nature of their activities. As long as collaborative platforms provide a</w:t>
      </w:r>
      <w:r>
        <w:rPr>
          <w:rFonts w:ascii="Times New Roman" w:hAnsi="Times New Roman" w:cs="Times New Roman"/>
          <w:i/>
          <w:noProof/>
          <w:sz w:val="24"/>
          <w:szCs w:val="24"/>
        </w:rPr>
        <w:t xml:space="preserve"> service normally provided for remuneration, at a distance, by electronic means and at the individual request of a recipient of services,</w:t>
      </w:r>
      <w:r>
        <w:rPr>
          <w:rStyle w:val="FootnoteReference"/>
          <w:rFonts w:ascii="Times New Roman" w:hAnsi="Times New Roman" w:cs="Times New Roman"/>
          <w:i/>
          <w:noProof/>
          <w:sz w:val="24"/>
          <w:szCs w:val="24"/>
        </w:rPr>
        <w:footnoteReference w:id="19"/>
      </w:r>
      <w:r>
        <w:rPr>
          <w:rFonts w:ascii="Times New Roman" w:hAnsi="Times New Roman" w:cs="Times New Roman"/>
          <w:noProof/>
          <w:sz w:val="24"/>
          <w:szCs w:val="24"/>
        </w:rPr>
        <w:t xml:space="preserve"> they provide an information society service. Therefore, they cannot be subjected to prior authorisations or any equivalent requirements that are specifically and exclusively targeting those services.</w:t>
      </w:r>
      <w:r>
        <w:rPr>
          <w:rStyle w:val="FootnoteReference"/>
          <w:rFonts w:ascii="Times New Roman" w:hAnsi="Times New Roman" w:cs="Times New Roman"/>
          <w:noProof/>
          <w:sz w:val="24"/>
          <w:szCs w:val="24"/>
        </w:rPr>
        <w:footnoteReference w:id="20"/>
      </w:r>
      <w:r>
        <w:rPr>
          <w:rFonts w:ascii="Times New Roman" w:hAnsi="Times New Roman" w:cs="Times New Roman"/>
          <w:noProof/>
          <w:sz w:val="24"/>
          <w:szCs w:val="24"/>
        </w:rPr>
        <w:t xml:space="preserve"> Also, Member States can only impose regulatory requirements on collaborative platforms providing such </w:t>
      </w:r>
      <w:r>
        <w:rPr>
          <w:rFonts w:ascii="Times New Roman" w:hAnsi="Times New Roman" w:cs="Times New Roman"/>
          <w:noProof/>
          <w:sz w:val="24"/>
          <w:szCs w:val="24"/>
        </w:rPr>
        <w:lastRenderedPageBreak/>
        <w:t>services across borders from another Member State under limited circumstances and subject to a specific procedure.</w:t>
      </w:r>
      <w:r>
        <w:rPr>
          <w:rStyle w:val="FootnoteReference"/>
          <w:rFonts w:ascii="Times New Roman" w:hAnsi="Times New Roman" w:cs="Times New Roman"/>
          <w:noProof/>
          <w:sz w:val="24"/>
          <w:szCs w:val="24"/>
        </w:rPr>
        <w:footnoteReference w:id="21"/>
      </w:r>
    </w:p>
    <w:p w:rsidR="00B70A3C" w:rsidRDefault="00242C75">
      <w:pPr>
        <w:spacing w:after="120"/>
        <w:rPr>
          <w:rFonts w:ascii="Times New Roman" w:hAnsi="Times New Roman" w:cs="Times New Roman"/>
          <w:noProof/>
          <w:sz w:val="24"/>
          <w:szCs w:val="24"/>
        </w:rPr>
      </w:pPr>
      <w:r>
        <w:rPr>
          <w:rFonts w:ascii="Times New Roman" w:hAnsi="Times New Roman" w:cs="Times New Roman"/>
          <w:noProof/>
          <w:sz w:val="24"/>
          <w:szCs w:val="24"/>
        </w:rPr>
        <w:t>However, there may be cases in which collaborative platforms can be considered as offering other services in addition to the information society services that they offer to intermediate between the providers of underlying services and their users. In particular, in certain circumstances, a platform may also be a provider of the underlying service (e.g. transport or short-term rental service). In such a case, collaborative platforms could be subject to the relevant sector-specific regulation, including business authorisation and licensing requirements generally applied to service providers, under the conditions as set out in the preceding sections</w:t>
      </w:r>
      <w:r>
        <w:rPr>
          <w:rStyle w:val="FootnoteReference"/>
          <w:rFonts w:ascii="Times New Roman" w:hAnsi="Times New Roman" w:cs="Times New Roman"/>
          <w:noProof/>
          <w:sz w:val="24"/>
          <w:szCs w:val="24"/>
        </w:rPr>
        <w:footnoteReference w:id="22"/>
      </w:r>
      <w:r>
        <w:rPr>
          <w:rFonts w:ascii="Times New Roman" w:hAnsi="Times New Roman" w:cs="Times New Roman"/>
          <w:noProof/>
          <w:sz w:val="24"/>
          <w:szCs w:val="24"/>
        </w:rPr>
        <w:t>.</w:t>
      </w:r>
    </w:p>
    <w:p w:rsidR="00B70A3C" w:rsidRDefault="00242C75">
      <w:pPr>
        <w:spacing w:after="120"/>
        <w:rPr>
          <w:rFonts w:ascii="Times New Roman" w:hAnsi="Times New Roman" w:cs="Times New Roman"/>
          <w:noProof/>
          <w:sz w:val="24"/>
          <w:szCs w:val="24"/>
        </w:rPr>
      </w:pPr>
      <w:r>
        <w:rPr>
          <w:rFonts w:ascii="Times New Roman" w:hAnsi="Times New Roman" w:cs="Times New Roman"/>
          <w:noProof/>
          <w:sz w:val="24"/>
          <w:szCs w:val="24"/>
        </w:rPr>
        <w:t>Whether a collaborative platform also provides the underlying service will normally have to be established on a case-by-case basis. Several factual and legal criteria can play a role in this regard. The level of control or influence that the collaborative platform exerts over the provider of such services will generally be of significant importance. It can in particular be established in light of the following key criteria:</w:t>
      </w:r>
    </w:p>
    <w:p w:rsidR="00B70A3C" w:rsidRDefault="00242C75">
      <w:pPr>
        <w:pStyle w:val="ListParagraph"/>
        <w:numPr>
          <w:ilvl w:val="2"/>
          <w:numId w:val="3"/>
        </w:numPr>
        <w:spacing w:after="120"/>
        <w:ind w:left="1080"/>
        <w:rPr>
          <w:rFonts w:ascii="Times New Roman" w:hAnsi="Times New Roman" w:cs="Times New Roman"/>
          <w:noProof/>
          <w:sz w:val="24"/>
          <w:szCs w:val="24"/>
        </w:rPr>
      </w:pPr>
      <w:r>
        <w:rPr>
          <w:rFonts w:ascii="Times New Roman" w:hAnsi="Times New Roman" w:cs="Times New Roman"/>
          <w:noProof/>
          <w:sz w:val="24"/>
          <w:szCs w:val="24"/>
        </w:rPr>
        <w:t>Price: does the collaborative platform set the final price to be paid by the user, as the recipient of the underlying service. Where the collaborative platform is only recommending a price or where the underlying services provider is otherwise free to adapt the price set by a collaborative platform, this indicates that this criterion may not be met.</w:t>
      </w:r>
    </w:p>
    <w:p w:rsidR="00B70A3C" w:rsidRDefault="00242C75">
      <w:pPr>
        <w:pStyle w:val="ListParagraph"/>
        <w:numPr>
          <w:ilvl w:val="2"/>
          <w:numId w:val="3"/>
        </w:numPr>
        <w:spacing w:after="120"/>
        <w:ind w:left="1080"/>
        <w:rPr>
          <w:rFonts w:ascii="Times New Roman" w:hAnsi="Times New Roman" w:cs="Times New Roman"/>
          <w:noProof/>
          <w:sz w:val="24"/>
          <w:szCs w:val="24"/>
        </w:rPr>
      </w:pPr>
      <w:r>
        <w:rPr>
          <w:rFonts w:ascii="Times New Roman" w:hAnsi="Times New Roman" w:cs="Times New Roman"/>
          <w:noProof/>
          <w:sz w:val="24"/>
          <w:szCs w:val="24"/>
        </w:rPr>
        <w:t xml:space="preserve">Other key contractual terms: does the collaborative platform set terms and conditions, other than price, which determine the contractual relationship between the underlying services provider and the user (such as for example setting mandatory instructions for the provision of the underlying service, including </w:t>
      </w:r>
      <w:r>
        <w:rPr>
          <w:rFonts w:ascii="Times New Roman" w:hAnsi="Times New Roman" w:cs="Times New Roman"/>
          <w:bCs/>
          <w:iCs/>
          <w:noProof/>
          <w:sz w:val="24"/>
          <w:szCs w:val="24"/>
        </w:rPr>
        <w:t>any obligation to provide the service</w:t>
      </w:r>
      <w:r>
        <w:rPr>
          <w:rFonts w:ascii="Times New Roman" w:hAnsi="Times New Roman" w:cs="Times New Roman"/>
          <w:noProof/>
          <w:sz w:val="24"/>
          <w:szCs w:val="24"/>
        </w:rPr>
        <w:t>).</w:t>
      </w:r>
    </w:p>
    <w:p w:rsidR="00B70A3C" w:rsidRDefault="00242C75">
      <w:pPr>
        <w:pStyle w:val="ListParagraph"/>
        <w:numPr>
          <w:ilvl w:val="2"/>
          <w:numId w:val="3"/>
        </w:numPr>
        <w:spacing w:after="120"/>
        <w:ind w:left="1080"/>
        <w:rPr>
          <w:rFonts w:ascii="Times New Roman" w:hAnsi="Times New Roman" w:cs="Times New Roman"/>
          <w:noProof/>
          <w:sz w:val="24"/>
          <w:szCs w:val="24"/>
        </w:rPr>
      </w:pPr>
      <w:r>
        <w:rPr>
          <w:rFonts w:ascii="Times New Roman" w:hAnsi="Times New Roman" w:cs="Times New Roman"/>
          <w:noProof/>
          <w:sz w:val="24"/>
          <w:szCs w:val="24"/>
        </w:rPr>
        <w:t>Ownership of key assets: does the collaborative platform own the key assets used to provide the underlying service.</w:t>
      </w:r>
    </w:p>
    <w:p w:rsidR="00B70A3C" w:rsidRDefault="00242C75">
      <w:pPr>
        <w:spacing w:after="120"/>
        <w:rPr>
          <w:rFonts w:ascii="Times New Roman" w:hAnsi="Times New Roman" w:cs="Times New Roman"/>
          <w:noProof/>
          <w:sz w:val="24"/>
          <w:szCs w:val="24"/>
        </w:rPr>
      </w:pPr>
      <w:r>
        <w:rPr>
          <w:rFonts w:ascii="Times New Roman" w:hAnsi="Times New Roman" w:cs="Times New Roman"/>
          <w:noProof/>
          <w:sz w:val="24"/>
          <w:szCs w:val="24"/>
        </w:rPr>
        <w:t>When these three criteria are all met, there are strong indications that the collaborative platform exercises significant influence or control over the provider of the underlying service, which may in turn indicate that it should be considered as also providing the underlying service (in addition to an information society service).</w:t>
      </w:r>
    </w:p>
    <w:p w:rsidR="00B70A3C" w:rsidRDefault="00242C75">
      <w:pPr>
        <w:spacing w:after="120"/>
        <w:rPr>
          <w:rFonts w:ascii="Times New Roman" w:hAnsi="Times New Roman" w:cs="Times New Roman"/>
          <w:noProof/>
          <w:sz w:val="24"/>
          <w:szCs w:val="24"/>
        </w:rPr>
      </w:pPr>
      <w:r>
        <w:rPr>
          <w:rFonts w:ascii="Times New Roman" w:hAnsi="Times New Roman" w:cs="Times New Roman"/>
          <w:noProof/>
          <w:sz w:val="24"/>
          <w:szCs w:val="24"/>
        </w:rPr>
        <w:t>Depending on the case at hand, other criteria may also play a role. For instance, if the collaborative platform incurs the costs and assumes all the risks related to the provision of the underlying service. Or if an employment relationship exists between the collaborative platform and the person providing the underlying service in question (see section 2.4). These elements could indicate that the collaborative platform exerts a high level of control and influence over the provision of the underlying service.</w:t>
      </w:r>
    </w:p>
    <w:p w:rsidR="00B70A3C" w:rsidRDefault="00242C75">
      <w:pPr>
        <w:spacing w:after="120"/>
        <w:rPr>
          <w:rFonts w:ascii="Times New Roman" w:hAnsi="Times New Roman" w:cs="Times New Roman"/>
          <w:noProof/>
          <w:sz w:val="24"/>
          <w:szCs w:val="24"/>
        </w:rPr>
      </w:pPr>
      <w:r>
        <w:rPr>
          <w:rFonts w:ascii="Times New Roman" w:hAnsi="Times New Roman" w:cs="Times New Roman"/>
          <w:noProof/>
          <w:sz w:val="24"/>
          <w:szCs w:val="24"/>
        </w:rPr>
        <w:t xml:space="preserve">Conversely, collaborative platforms may merely assist the provider of the underlying services by offering the possibility to carry out certain activities that are ancillary to the core information society services offered by the platform to intermediate between the provider of </w:t>
      </w:r>
      <w:r>
        <w:rPr>
          <w:rFonts w:ascii="Times New Roman" w:hAnsi="Times New Roman" w:cs="Times New Roman"/>
          <w:noProof/>
          <w:sz w:val="24"/>
          <w:szCs w:val="24"/>
        </w:rPr>
        <w:lastRenderedPageBreak/>
        <w:t>the underlying services and their users (e.g. by providing payment facilities, insurance coverage, aftersales services etc.) This, in itself, does not constitute proof of influence and control as regards the underlying service. Similarly, offering user rating or review mechanisms is not in itself proof of significant influence or control.</w:t>
      </w:r>
      <w:r>
        <w:rPr>
          <w:rStyle w:val="FootnoteReference"/>
          <w:rFonts w:ascii="Times New Roman" w:hAnsi="Times New Roman" w:cs="Times New Roman"/>
          <w:noProof/>
          <w:sz w:val="24"/>
          <w:szCs w:val="24"/>
        </w:rPr>
        <w:footnoteReference w:id="23"/>
      </w:r>
      <w:r>
        <w:rPr>
          <w:rFonts w:ascii="Times New Roman" w:hAnsi="Times New Roman" w:cs="Times New Roman"/>
          <w:noProof/>
          <w:sz w:val="24"/>
          <w:szCs w:val="24"/>
        </w:rPr>
        <w:t xml:space="preserve"> Yet, generally speaking, the more collaborative platforms manage and organise the selection of the providers of the underlying services and the manner in which those underlying services are carried out — for example, by directly verifying and managing the quality of such services — the more apparent it becomes that the collaborative platform may have to be considered as also providing the underlying services itself.</w:t>
      </w:r>
    </w:p>
    <w:p w:rsidR="00B70A3C" w:rsidRDefault="00242C75">
      <w:pPr>
        <w:spacing w:after="240"/>
        <w:rPr>
          <w:rFonts w:ascii="Times New Roman" w:hAnsi="Times New Roman" w:cs="Times New Roman"/>
          <w:noProof/>
          <w:sz w:val="24"/>
          <w:szCs w:val="24"/>
        </w:rPr>
      </w:pPr>
      <w:r>
        <w:rPr>
          <w:rFonts w:ascii="Times New Roman" w:hAnsi="Times New Roman" w:cs="Times New Roman"/>
          <w:noProof/>
          <w:sz w:val="24"/>
          <w:szCs w:val="24"/>
        </w:rPr>
        <w:t>Therefore, a collaborative platform providing services in the short-term rental sector may only provide information society services and not also the accommodation service itself if, for example, the provider of the accommodation service sets its own prices and the platform does not own any of the assets used for that service provision. The fact that the collaborative platform may also offer insurance and rating services to their users need not alter that conclusion.</w:t>
      </w:r>
    </w:p>
    <w:p w:rsidR="00B70A3C" w:rsidRDefault="00242C75">
      <w:pPr>
        <w:pBdr>
          <w:top w:val="single" w:sz="4" w:space="1" w:color="auto"/>
          <w:left w:val="single" w:sz="4" w:space="4" w:color="auto"/>
          <w:bottom w:val="single" w:sz="4" w:space="1" w:color="auto"/>
          <w:right w:val="single" w:sz="4" w:space="4" w:color="auto"/>
        </w:pBdr>
        <w:spacing w:after="120"/>
        <w:rPr>
          <w:rFonts w:ascii="Times New Roman" w:hAnsi="Times New Roman" w:cs="Times New Roman"/>
          <w:i/>
          <w:noProof/>
          <w:sz w:val="24"/>
          <w:szCs w:val="24"/>
        </w:rPr>
      </w:pPr>
      <w:r>
        <w:rPr>
          <w:rFonts w:ascii="Times New Roman" w:hAnsi="Times New Roman" w:cs="Times New Roman"/>
          <w:i/>
          <w:noProof/>
          <w:sz w:val="24"/>
          <w:szCs w:val="24"/>
        </w:rPr>
        <w:t>When assessing whether market access requirements applied to the collaborative economy are necessary, justified and proportionate to meet identified and legitimate public interest objectives, Member States should take into account the specific features of collaborative economy business models.</w:t>
      </w:r>
    </w:p>
    <w:p w:rsidR="00B70A3C" w:rsidRDefault="00242C75">
      <w:pPr>
        <w:pBdr>
          <w:top w:val="single" w:sz="4" w:space="1" w:color="auto"/>
          <w:left w:val="single" w:sz="4" w:space="4" w:color="auto"/>
          <w:bottom w:val="single" w:sz="4" w:space="1" w:color="auto"/>
          <w:right w:val="single" w:sz="4" w:space="4" w:color="auto"/>
        </w:pBdr>
        <w:spacing w:after="120"/>
        <w:rPr>
          <w:rFonts w:ascii="Times New Roman" w:hAnsi="Times New Roman" w:cs="Times New Roman"/>
          <w:i/>
          <w:noProof/>
          <w:sz w:val="24"/>
          <w:szCs w:val="24"/>
        </w:rPr>
      </w:pPr>
      <w:r>
        <w:rPr>
          <w:rFonts w:ascii="Times New Roman" w:hAnsi="Times New Roman" w:cs="Times New Roman"/>
          <w:i/>
          <w:noProof/>
          <w:sz w:val="24"/>
          <w:szCs w:val="24"/>
        </w:rPr>
        <w:t>For the purposes of regulating the activities in question, private individuals offering services via collaborative platforms on a peer-to-peer and occasional basis should not be automatically treated as professional service providers. Establishing (possibly sector-specific) thresholds under which an economic activity would be considered a non-professional peer-to-peer activity may be a suitable way forward.</w:t>
      </w:r>
    </w:p>
    <w:p w:rsidR="00B70A3C" w:rsidRDefault="00242C75">
      <w:pPr>
        <w:pBdr>
          <w:top w:val="single" w:sz="4" w:space="1" w:color="auto"/>
          <w:left w:val="single" w:sz="4" w:space="4" w:color="auto"/>
          <w:bottom w:val="single" w:sz="4" w:space="1" w:color="auto"/>
          <w:right w:val="single" w:sz="4" w:space="4" w:color="auto"/>
        </w:pBdr>
        <w:spacing w:before="120" w:after="120"/>
        <w:rPr>
          <w:rFonts w:ascii="Times New Roman" w:hAnsi="Times New Roman" w:cs="Times New Roman"/>
          <w:i/>
          <w:noProof/>
          <w:sz w:val="24"/>
          <w:szCs w:val="24"/>
          <w:u w:val="single"/>
        </w:rPr>
      </w:pPr>
      <w:r>
        <w:rPr>
          <w:rFonts w:ascii="Times New Roman" w:hAnsi="Times New Roman" w:cs="Times New Roman"/>
          <w:i/>
          <w:noProof/>
          <w:sz w:val="24"/>
          <w:szCs w:val="24"/>
        </w:rPr>
        <w:t>Member States are advised to take the opportunity to review, simplify and modernise market access requirements that are generally applicable to market operators. They should aim to relieve operators from unnecessary regulatory burden, regardless of the business model adopted, and to avoid fragmentation of the Single Market.</w:t>
      </w:r>
    </w:p>
    <w:p w:rsidR="00B70A3C" w:rsidRDefault="00242C75">
      <w:pPr>
        <w:spacing w:before="240" w:after="120"/>
        <w:rPr>
          <w:rFonts w:ascii="Times New Roman" w:hAnsi="Times New Roman" w:cs="Times New Roman"/>
          <w:b/>
          <w:i/>
          <w:noProof/>
          <w:sz w:val="24"/>
          <w:szCs w:val="24"/>
        </w:rPr>
      </w:pPr>
      <w:r>
        <w:rPr>
          <w:rFonts w:ascii="Times New Roman" w:hAnsi="Times New Roman" w:cs="Times New Roman"/>
          <w:b/>
          <w:i/>
          <w:noProof/>
          <w:sz w:val="24"/>
          <w:szCs w:val="24"/>
        </w:rPr>
        <w:t>2.2 Liability regimes</w:t>
      </w:r>
    </w:p>
    <w:p w:rsidR="00B70A3C" w:rsidRDefault="00242C75">
      <w:pPr>
        <w:spacing w:after="120"/>
        <w:rPr>
          <w:rFonts w:ascii="Times New Roman" w:hAnsi="Times New Roman" w:cs="Times New Roman"/>
          <w:noProof/>
          <w:sz w:val="24"/>
          <w:szCs w:val="24"/>
        </w:rPr>
      </w:pPr>
      <w:r>
        <w:rPr>
          <w:rFonts w:ascii="Times New Roman" w:hAnsi="Times New Roman" w:cs="Times New Roman"/>
          <w:noProof/>
          <w:sz w:val="24"/>
          <w:szCs w:val="24"/>
        </w:rPr>
        <w:t>Most relevant rules on contractual and extra-contractual liability are laid down in national laws of Member States. However, under EU law, online platforms, as providers of information society intermediary services, are under certain conditions exempted from liability for the information they store.</w:t>
      </w:r>
      <w:r>
        <w:rPr>
          <w:rStyle w:val="FootnoteReference"/>
          <w:rFonts w:ascii="Times New Roman" w:hAnsi="Times New Roman" w:cs="Times New Roman"/>
          <w:noProof/>
          <w:sz w:val="24"/>
          <w:szCs w:val="24"/>
        </w:rPr>
        <w:footnoteReference w:id="24"/>
      </w:r>
    </w:p>
    <w:p w:rsidR="00B70A3C" w:rsidRDefault="00242C75">
      <w:pPr>
        <w:spacing w:after="120"/>
        <w:rPr>
          <w:rFonts w:ascii="Times New Roman" w:hAnsi="Times New Roman" w:cs="Times New Roman"/>
          <w:noProof/>
          <w:sz w:val="24"/>
          <w:szCs w:val="24"/>
        </w:rPr>
      </w:pPr>
      <w:r>
        <w:rPr>
          <w:rFonts w:ascii="Times New Roman" w:hAnsi="Times New Roman" w:cs="Times New Roman"/>
          <w:noProof/>
          <w:sz w:val="24"/>
          <w:szCs w:val="24"/>
        </w:rPr>
        <w:t>The applicability of this exemption from liability will depend on the legal and factual elements relating to the activity performed by the collaborative platform and applies where the activities in question qualify as hosting services under the terms of the e-Commerce Directive.</w:t>
      </w:r>
      <w:r>
        <w:rPr>
          <w:rStyle w:val="FootnoteReference"/>
          <w:noProof/>
        </w:rPr>
        <w:footnoteReference w:id="25"/>
      </w:r>
      <w:r>
        <w:rPr>
          <w:rFonts w:ascii="Times New Roman" w:hAnsi="Times New Roman" w:cs="Times New Roman"/>
          <w:noProof/>
          <w:sz w:val="24"/>
          <w:szCs w:val="24"/>
        </w:rPr>
        <w:t xml:space="preserve"> To do so, their conduct must be merely technical, automatic and passive.</w:t>
      </w:r>
      <w:r>
        <w:rPr>
          <w:rStyle w:val="FootnoteReference"/>
          <w:noProof/>
        </w:rPr>
        <w:footnoteReference w:id="26"/>
      </w:r>
      <w:r>
        <w:rPr>
          <w:rFonts w:ascii="Times New Roman" w:hAnsi="Times New Roman" w:cs="Times New Roman"/>
          <w:noProof/>
          <w:sz w:val="24"/>
          <w:szCs w:val="24"/>
        </w:rPr>
        <w:t xml:space="preserve"> The </w:t>
      </w:r>
      <w:r>
        <w:rPr>
          <w:rFonts w:ascii="Times New Roman" w:hAnsi="Times New Roman" w:cs="Times New Roman"/>
          <w:noProof/>
          <w:sz w:val="24"/>
          <w:szCs w:val="24"/>
        </w:rPr>
        <w:lastRenderedPageBreak/>
        <w:t>exemption from liability applies on the condition that the collaborative platform does not play an active role which would give it knowledge of, control over, or awareness of the illegal information - and, where it nonetheless obtains such knowledge or awareness, acts expeditiously to remove it or to disable access thereto.</w:t>
      </w:r>
      <w:r>
        <w:rPr>
          <w:rStyle w:val="FootnoteReference"/>
          <w:rFonts w:ascii="Times New Roman" w:hAnsi="Times New Roman" w:cs="Times New Roman"/>
          <w:noProof/>
          <w:sz w:val="24"/>
          <w:szCs w:val="24"/>
        </w:rPr>
        <w:footnoteReference w:id="27"/>
      </w:r>
    </w:p>
    <w:p w:rsidR="00B70A3C" w:rsidRDefault="00242C75">
      <w:pPr>
        <w:spacing w:after="120"/>
        <w:rPr>
          <w:rFonts w:ascii="Times New Roman" w:hAnsi="Times New Roman" w:cs="Times New Roman"/>
          <w:noProof/>
          <w:sz w:val="24"/>
          <w:szCs w:val="24"/>
          <w:lang w:val="en-US"/>
        </w:rPr>
      </w:pPr>
      <w:r>
        <w:rPr>
          <w:rFonts w:ascii="Times New Roman" w:hAnsi="Times New Roman" w:cs="Times New Roman"/>
          <w:noProof/>
          <w:sz w:val="24"/>
          <w:szCs w:val="24"/>
          <w:lang w:val="en-US"/>
        </w:rPr>
        <w:t>Whether or not collaborative platforms can benefit from such liability exemption will need to be established on a case-by-case basis, depending on the level of knowledge and control of the online platform in respect of the information it hosts.</w:t>
      </w:r>
    </w:p>
    <w:p w:rsidR="00B70A3C" w:rsidRDefault="00242C75">
      <w:pPr>
        <w:spacing w:after="120"/>
        <w:rPr>
          <w:rFonts w:ascii="Times New Roman" w:hAnsi="Times New Roman" w:cs="Times New Roman"/>
          <w:i/>
          <w:noProof/>
          <w:sz w:val="24"/>
          <w:szCs w:val="24"/>
        </w:rPr>
      </w:pPr>
      <w:r>
        <w:rPr>
          <w:rFonts w:ascii="Times New Roman" w:hAnsi="Times New Roman" w:cs="Times New Roman"/>
          <w:noProof/>
          <w:sz w:val="24"/>
          <w:szCs w:val="24"/>
        </w:rPr>
        <w:t>Importantly, under EU law, Member States cannot impose on collaborative platforms, to the extent that they provide hosting services, a general obligation to monitor or to actively seek facts or circumstances indicating illegal activity.</w:t>
      </w:r>
      <w:r>
        <w:rPr>
          <w:rStyle w:val="FootnoteReference"/>
          <w:rFonts w:ascii="Times New Roman" w:hAnsi="Times New Roman" w:cs="Times New Roman"/>
          <w:noProof/>
          <w:sz w:val="24"/>
          <w:szCs w:val="24"/>
        </w:rPr>
        <w:footnoteReference w:id="28"/>
      </w:r>
    </w:p>
    <w:p w:rsidR="00B70A3C" w:rsidRDefault="00242C75">
      <w:pPr>
        <w:spacing w:after="120"/>
        <w:rPr>
          <w:rFonts w:ascii="Times New Roman" w:hAnsi="Times New Roman" w:cs="Times New Roman"/>
          <w:noProof/>
          <w:sz w:val="24"/>
          <w:szCs w:val="24"/>
        </w:rPr>
      </w:pPr>
      <w:r>
        <w:rPr>
          <w:rFonts w:ascii="Times New Roman" w:hAnsi="Times New Roman" w:cs="Times New Roman"/>
          <w:noProof/>
          <w:sz w:val="24"/>
          <w:szCs w:val="24"/>
          <w:lang w:val="en-US"/>
        </w:rPr>
        <w:t>The Communication on Online Platforms and the Digital Single Market</w:t>
      </w:r>
      <w:r>
        <w:rPr>
          <w:rStyle w:val="FootnoteReference"/>
          <w:rFonts w:ascii="Times New Roman" w:hAnsi="Times New Roman" w:cs="Times New Roman"/>
          <w:noProof/>
          <w:sz w:val="24"/>
          <w:szCs w:val="24"/>
          <w:lang w:val="en-US"/>
        </w:rPr>
        <w:footnoteReference w:id="29"/>
      </w:r>
      <w:r>
        <w:rPr>
          <w:rFonts w:ascii="Times New Roman" w:hAnsi="Times New Roman" w:cs="Times New Roman"/>
          <w:noProof/>
          <w:sz w:val="24"/>
          <w:szCs w:val="24"/>
          <w:lang w:val="en-US"/>
        </w:rPr>
        <w:t xml:space="preserve"> explains that maintaining the existing intermediary liability regime </w:t>
      </w:r>
      <w:r>
        <w:rPr>
          <w:rFonts w:ascii="Times New Roman" w:hAnsi="Times New Roman" w:cs="Times New Roman"/>
          <w:noProof/>
          <w:sz w:val="24"/>
          <w:szCs w:val="24"/>
        </w:rPr>
        <w:t xml:space="preserve">is crucial for the further development of the digital economy in the EU. This includes the collaborative economy, as online platforms act as key drivers for its growth. The Commission, at the same time, </w:t>
      </w:r>
      <w:r>
        <w:rPr>
          <w:rFonts w:ascii="Times New Roman" w:hAnsi="Times New Roman" w:cs="Times New Roman"/>
          <w:noProof/>
          <w:sz w:val="24"/>
          <w:szCs w:val="24"/>
          <w:lang w:val="en-US"/>
        </w:rPr>
        <w:t xml:space="preserve">encourages responsible behavior by all types of online platforms in the form of voluntary action, for example to help tackle the important issue of fake or misleading reviews. </w:t>
      </w:r>
      <w:r>
        <w:rPr>
          <w:rFonts w:ascii="Times New Roman" w:hAnsi="Times New Roman" w:cs="Times New Roman"/>
          <w:noProof/>
          <w:sz w:val="24"/>
          <w:szCs w:val="24"/>
        </w:rPr>
        <w:t>Such voluntary action taken to increase trust and to offer a more competitive service should not automatically be taken to mean that the conduct of the collaborative platform is no longer merely technical, automatic and passive.</w:t>
      </w:r>
    </w:p>
    <w:p w:rsidR="00B70A3C" w:rsidRDefault="00242C75">
      <w:pPr>
        <w:spacing w:after="120"/>
        <w:rPr>
          <w:rFonts w:ascii="Times New Roman" w:hAnsi="Times New Roman" w:cs="Times New Roman"/>
          <w:noProof/>
          <w:sz w:val="24"/>
          <w:szCs w:val="24"/>
        </w:rPr>
      </w:pPr>
      <w:r>
        <w:rPr>
          <w:rFonts w:ascii="Times New Roman" w:hAnsi="Times New Roman" w:cs="Times New Roman"/>
          <w:noProof/>
          <w:sz w:val="24"/>
          <w:szCs w:val="24"/>
        </w:rPr>
        <w:t>In addition to hosting services, a collaborative platform may also offer a number of other connected or ancillary activities. These can include review or ratings facilities, payment facilities, insurance, ID verification (often carried out by third-party providers) or the platform may even provide the underlying service that is being offered to the users.</w:t>
      </w:r>
    </w:p>
    <w:p w:rsidR="00B70A3C" w:rsidRDefault="00242C75">
      <w:pPr>
        <w:spacing w:after="120"/>
        <w:rPr>
          <w:rFonts w:ascii="Times New Roman" w:hAnsi="Times New Roman" w:cs="Times New Roman"/>
          <w:noProof/>
          <w:sz w:val="24"/>
          <w:szCs w:val="24"/>
        </w:rPr>
      </w:pPr>
      <w:r>
        <w:rPr>
          <w:rFonts w:ascii="Times New Roman" w:hAnsi="Times New Roman" w:cs="Times New Roman"/>
          <w:noProof/>
          <w:sz w:val="24"/>
          <w:szCs w:val="24"/>
          <w:lang w:val="en-US"/>
        </w:rPr>
        <w:t xml:space="preserve">The aforementioned liability exemption set out in EU law remains limited to the provision of hosting services and does not extend to other services or activities performed by a collaborative economy platform. The aforementioned liability exemption also does not exclude the collaborative economy platform's liability arising under the applicable personal data protection legislation, in as far as the platform's own activities are concerned. </w:t>
      </w:r>
      <w:r>
        <w:rPr>
          <w:rFonts w:ascii="Times New Roman" w:hAnsi="Times New Roman" w:cs="Times New Roman"/>
          <w:noProof/>
          <w:sz w:val="24"/>
          <w:szCs w:val="24"/>
        </w:rPr>
        <w:t>Conversely, the mere fact that a platform also carries out certain other activities - besides providing hosting services - does not necessarily mean that that platform can no longer rely on the liability exemption in respect of its hosting services.</w:t>
      </w:r>
      <w:r>
        <w:rPr>
          <w:rStyle w:val="FootnoteReference"/>
          <w:rFonts w:ascii="Times New Roman" w:hAnsi="Times New Roman" w:cs="Times New Roman"/>
          <w:noProof/>
          <w:sz w:val="24"/>
          <w:szCs w:val="24"/>
        </w:rPr>
        <w:footnoteReference w:id="30"/>
      </w:r>
      <w:r>
        <w:rPr>
          <w:rFonts w:ascii="Times New Roman" w:hAnsi="Times New Roman" w:cs="Times New Roman"/>
          <w:noProof/>
          <w:sz w:val="24"/>
          <w:szCs w:val="24"/>
        </w:rPr>
        <w:t xml:space="preserve"> In any case, </w:t>
      </w:r>
      <w:r>
        <w:rPr>
          <w:rFonts w:ascii="Times New Roman" w:hAnsi="Times New Roman" w:cs="Times New Roman"/>
          <w:noProof/>
          <w:sz w:val="24"/>
          <w:szCs w:val="24"/>
          <w:lang w:val="en-US"/>
        </w:rPr>
        <w:t>the way in which collaborative platforms design their information society service and implement voluntary measures to tackle illegal content online remains in principle a business decision and the question of whether they benefit from the exemption from intermediary liability should always be assessed on a case-by-case basis.</w:t>
      </w:r>
    </w:p>
    <w:tbl>
      <w:tblPr>
        <w:tblStyle w:val="TableGrid"/>
        <w:tblW w:w="0" w:type="auto"/>
        <w:tblLook w:val="04A0" w:firstRow="1" w:lastRow="0" w:firstColumn="1" w:lastColumn="0" w:noHBand="0" w:noVBand="1"/>
      </w:tblPr>
      <w:tblGrid>
        <w:gridCol w:w="9180"/>
      </w:tblGrid>
      <w:tr w:rsidR="00B70A3C">
        <w:tc>
          <w:tcPr>
            <w:tcW w:w="9180" w:type="dxa"/>
          </w:tcPr>
          <w:p w:rsidR="00B70A3C" w:rsidRDefault="00242C75">
            <w:pPr>
              <w:spacing w:after="120"/>
              <w:rPr>
                <w:rFonts w:ascii="Times New Roman" w:hAnsi="Times New Roman" w:cs="Times New Roman"/>
                <w:noProof/>
                <w:sz w:val="24"/>
                <w:szCs w:val="24"/>
              </w:rPr>
            </w:pPr>
            <w:r>
              <w:rPr>
                <w:rFonts w:ascii="Times New Roman" w:hAnsi="Times New Roman" w:cs="Times New Roman"/>
                <w:i/>
                <w:noProof/>
                <w:sz w:val="24"/>
                <w:szCs w:val="24"/>
              </w:rPr>
              <w:lastRenderedPageBreak/>
              <w:t>Collaborative platforms are encouraged to continue taking voluntary action to fight illegal content online and to increase trust (for example by helping to ensure the quality of the services offered by providers of underlying services on their platform). Such voluntary measures should not automatically be taken to mean that collaborative platforms that benefit from the exemption from intermediary liability no longer do so.</w:t>
            </w:r>
          </w:p>
        </w:tc>
      </w:tr>
    </w:tbl>
    <w:p w:rsidR="00B70A3C" w:rsidRDefault="00242C75">
      <w:pPr>
        <w:pStyle w:val="Heading3"/>
        <w:tabs>
          <w:tab w:val="clear" w:pos="850"/>
        </w:tabs>
        <w:spacing w:after="120"/>
        <w:ind w:left="0" w:firstLine="0"/>
        <w:rPr>
          <w:b/>
          <w:i/>
          <w:noProof/>
          <w:lang w:val="en-GB"/>
        </w:rPr>
      </w:pPr>
      <w:r>
        <w:rPr>
          <w:b/>
          <w:i/>
          <w:noProof/>
          <w:lang w:val="en-GB"/>
        </w:rPr>
        <w:t>2.3 Protection of users</w:t>
      </w:r>
    </w:p>
    <w:p w:rsidR="00B70A3C" w:rsidRDefault="00242C75">
      <w:pPr>
        <w:spacing w:after="120"/>
        <w:rPr>
          <w:rFonts w:ascii="Times New Roman" w:hAnsi="Times New Roman" w:cs="Times New Roman"/>
          <w:noProof/>
          <w:sz w:val="24"/>
          <w:szCs w:val="24"/>
        </w:rPr>
      </w:pPr>
      <w:r>
        <w:rPr>
          <w:rFonts w:ascii="Times New Roman" w:hAnsi="Times New Roman" w:cs="Times New Roman"/>
          <w:noProof/>
          <w:sz w:val="24"/>
          <w:szCs w:val="24"/>
        </w:rPr>
        <w:t>Traditionally, EU consumer and marketing legislation has been designed to address transactions, in which there is a weaker party that needs to be protected (typically the consumer). However, the collaborative economy blurs the lines between consumers and business since there is a multisided relationship that may involve business-to-business, business-to-consumer, consumer-to-business, and consumer-to-consumer transactions. In these relationships, it is not always clear who the weaker party requiring protection may be.</w:t>
      </w:r>
    </w:p>
    <w:p w:rsidR="00B70A3C" w:rsidRDefault="00242C75">
      <w:pPr>
        <w:spacing w:after="120"/>
        <w:rPr>
          <w:rFonts w:ascii="Times New Roman" w:hAnsi="Times New Roman" w:cs="Times New Roman"/>
          <w:noProof/>
          <w:sz w:val="24"/>
          <w:szCs w:val="24"/>
        </w:rPr>
      </w:pPr>
      <w:r>
        <w:rPr>
          <w:rFonts w:ascii="Times New Roman" w:hAnsi="Times New Roman" w:cs="Times New Roman"/>
          <w:noProof/>
          <w:sz w:val="24"/>
          <w:szCs w:val="24"/>
        </w:rPr>
        <w:t xml:space="preserve">Currently, EU consumer and marketing legislation is based on the distinction between a ‘trader’ and a ‘consumer’. A trader is a person </w:t>
      </w:r>
      <w:r>
        <w:rPr>
          <w:rFonts w:ascii="Times New Roman" w:hAnsi="Times New Roman" w:cs="Times New Roman"/>
          <w:i/>
          <w:noProof/>
          <w:sz w:val="24"/>
          <w:szCs w:val="24"/>
        </w:rPr>
        <w:t>'acting for purposes relating to his trade, business, craft or profession</w:t>
      </w:r>
      <w:r>
        <w:rPr>
          <w:rFonts w:ascii="Times New Roman" w:hAnsi="Times New Roman" w:cs="Times New Roman"/>
          <w:noProof/>
          <w:sz w:val="24"/>
          <w:szCs w:val="24"/>
        </w:rPr>
        <w:t>';</w:t>
      </w:r>
      <w:r>
        <w:rPr>
          <w:rStyle w:val="FootnoteReference"/>
          <w:rFonts w:ascii="Times New Roman" w:hAnsi="Times New Roman" w:cs="Times New Roman"/>
          <w:noProof/>
          <w:sz w:val="24"/>
          <w:szCs w:val="24"/>
        </w:rPr>
        <w:footnoteReference w:id="31"/>
      </w:r>
      <w:r>
        <w:rPr>
          <w:rFonts w:ascii="Times New Roman" w:hAnsi="Times New Roman" w:cs="Times New Roman"/>
          <w:noProof/>
          <w:sz w:val="24"/>
          <w:szCs w:val="24"/>
        </w:rPr>
        <w:t xml:space="preserve"> a ‘consumer’ is a person acting </w:t>
      </w:r>
      <w:r>
        <w:rPr>
          <w:rFonts w:ascii="Times New Roman" w:hAnsi="Times New Roman" w:cs="Times New Roman"/>
          <w:i/>
          <w:noProof/>
          <w:sz w:val="24"/>
          <w:szCs w:val="24"/>
        </w:rPr>
        <w:t>'outside his trade, business, craft or profession</w:t>
      </w:r>
      <w:r>
        <w:rPr>
          <w:rFonts w:ascii="Times New Roman" w:hAnsi="Times New Roman" w:cs="Times New Roman"/>
          <w:noProof/>
          <w:sz w:val="24"/>
          <w:szCs w:val="24"/>
        </w:rPr>
        <w:t>'</w:t>
      </w:r>
      <w:r>
        <w:rPr>
          <w:rStyle w:val="FootnoteReference"/>
          <w:rFonts w:ascii="Times New Roman" w:hAnsi="Times New Roman" w:cs="Times New Roman"/>
          <w:noProof/>
          <w:sz w:val="24"/>
          <w:szCs w:val="24"/>
        </w:rPr>
        <w:footnoteReference w:id="32"/>
      </w:r>
      <w:r>
        <w:rPr>
          <w:rFonts w:ascii="Times New Roman" w:hAnsi="Times New Roman" w:cs="Times New Roman"/>
          <w:noProof/>
          <w:sz w:val="24"/>
          <w:szCs w:val="24"/>
        </w:rPr>
        <w:t>. These criteria applied to the participant categories in the collaborative economy, determine the respective rights and obligations of the parties under existing EU consumer and marketing legislation.</w:t>
      </w:r>
      <w:r>
        <w:rPr>
          <w:rStyle w:val="FootnoteReference"/>
          <w:rFonts w:ascii="Times New Roman" w:hAnsi="Times New Roman" w:cs="Times New Roman"/>
          <w:noProof/>
          <w:sz w:val="24"/>
          <w:szCs w:val="24"/>
        </w:rPr>
        <w:footnoteReference w:id="33"/>
      </w:r>
    </w:p>
    <w:p w:rsidR="00B70A3C" w:rsidRDefault="00242C75">
      <w:pPr>
        <w:spacing w:after="120"/>
        <w:rPr>
          <w:rFonts w:ascii="Times New Roman" w:hAnsi="Times New Roman" w:cs="Times New Roman"/>
          <w:noProof/>
          <w:sz w:val="24"/>
          <w:szCs w:val="24"/>
        </w:rPr>
      </w:pPr>
      <w:r>
        <w:rPr>
          <w:rFonts w:ascii="Times New Roman" w:hAnsi="Times New Roman" w:cs="Times New Roman"/>
          <w:noProof/>
          <w:sz w:val="24"/>
          <w:szCs w:val="24"/>
        </w:rPr>
        <w:t>In particular, EU consumer law applies to any collaborative platform that qualifies as a ‘trader’ and engages in ‘commercial practices’ vis-à-vis consumers. Providers of the underlying services also qualify as traders if they act '</w:t>
      </w:r>
      <w:r>
        <w:rPr>
          <w:rFonts w:ascii="Times New Roman" w:hAnsi="Times New Roman" w:cs="Times New Roman"/>
          <w:i/>
          <w:noProof/>
          <w:sz w:val="24"/>
          <w:szCs w:val="24"/>
        </w:rPr>
        <w:t>for purposes relating to their trade, business, craft or profession</w:t>
      </w:r>
      <w:r>
        <w:rPr>
          <w:rFonts w:ascii="Times New Roman" w:hAnsi="Times New Roman" w:cs="Times New Roman"/>
          <w:noProof/>
          <w:sz w:val="24"/>
          <w:szCs w:val="24"/>
        </w:rPr>
        <w:t>'. Conversely, EU consumer and marketing legislation does not apply to consumer-to-consumer transactions. Therefore, if neither the collaborative service provider nor the user qualifies as a trader, the transactions between them will fall outside the scope of this legislation.</w:t>
      </w:r>
    </w:p>
    <w:p w:rsidR="00B70A3C" w:rsidRDefault="00242C75">
      <w:pPr>
        <w:spacing w:after="120"/>
        <w:rPr>
          <w:rFonts w:ascii="Times New Roman" w:hAnsi="Times New Roman" w:cs="Times New Roman"/>
          <w:noProof/>
          <w:sz w:val="24"/>
          <w:szCs w:val="24"/>
        </w:rPr>
      </w:pPr>
      <w:r>
        <w:rPr>
          <w:rFonts w:ascii="Times New Roman" w:hAnsi="Times New Roman" w:cs="Times New Roman"/>
          <w:noProof/>
          <w:sz w:val="24"/>
          <w:szCs w:val="24"/>
        </w:rPr>
        <w:t>This raises the central question under which conditions in a peer-to-peer provision of services, the provider of the underlying service qualifies as trader. Member States currently approach this issue differently.</w:t>
      </w:r>
      <w:r>
        <w:rPr>
          <w:rStyle w:val="FootnoteReference"/>
          <w:rFonts w:ascii="Times New Roman" w:hAnsi="Times New Roman" w:cs="Times New Roman"/>
          <w:noProof/>
          <w:sz w:val="24"/>
          <w:szCs w:val="24"/>
        </w:rPr>
        <w:footnoteReference w:id="34"/>
      </w:r>
      <w:r>
        <w:rPr>
          <w:rFonts w:ascii="Times New Roman" w:hAnsi="Times New Roman" w:cs="Times New Roman"/>
          <w:noProof/>
          <w:sz w:val="24"/>
          <w:szCs w:val="24"/>
        </w:rPr>
        <w:t xml:space="preserve"> Under current EU law, this question must be answered on a case-by-case basis. To this end, the Commission offers some general orientations in the revised Guidance on the Unfair Commercial Practices Directive</w:t>
      </w:r>
      <w:r>
        <w:rPr>
          <w:rStyle w:val="FootnoteReference"/>
          <w:noProof/>
        </w:rPr>
        <w:footnoteReference w:id="35"/>
      </w:r>
      <w:r>
        <w:rPr>
          <w:rFonts w:ascii="Times New Roman" w:hAnsi="Times New Roman" w:cs="Times New Roman"/>
          <w:noProof/>
          <w:sz w:val="24"/>
          <w:szCs w:val="24"/>
        </w:rPr>
        <w:t>. Within the specific context of the collaborative economy the following factors are important. While none of them in itself would be sufficient to qualify a provider as trader, depending on the circumstances of the case, their combination may point into that direction:</w:t>
      </w:r>
    </w:p>
    <w:p w:rsidR="00B70A3C" w:rsidRDefault="00242C75">
      <w:pPr>
        <w:pStyle w:val="ListParagraph"/>
        <w:numPr>
          <w:ilvl w:val="0"/>
          <w:numId w:val="28"/>
        </w:numPr>
        <w:spacing w:after="120"/>
        <w:rPr>
          <w:rFonts w:ascii="Times New Roman" w:hAnsi="Times New Roman" w:cs="Times New Roman"/>
          <w:noProof/>
          <w:sz w:val="24"/>
          <w:szCs w:val="24"/>
        </w:rPr>
      </w:pPr>
      <w:r>
        <w:rPr>
          <w:rFonts w:ascii="Times New Roman" w:hAnsi="Times New Roman" w:cs="Times New Roman"/>
          <w:i/>
          <w:noProof/>
          <w:sz w:val="24"/>
          <w:szCs w:val="24"/>
        </w:rPr>
        <w:t>Frequency of the services</w:t>
      </w:r>
      <w:r>
        <w:rPr>
          <w:rFonts w:ascii="Times New Roman" w:hAnsi="Times New Roman" w:cs="Times New Roman"/>
          <w:noProof/>
          <w:sz w:val="24"/>
          <w:szCs w:val="24"/>
        </w:rPr>
        <w:t>: providers who offer their services merely on an occasional basis (i.e. on a purely marginal and accessory basis as opposed to regularly) will be less likely to qualify as a trader. The greater the frequency of the service provision, the more apparent it is that the provider may qualify as a trader, because this could indicate that he is acting for purposes related to his business, craft or trade.</w:t>
      </w:r>
    </w:p>
    <w:p w:rsidR="00B70A3C" w:rsidRDefault="00242C75">
      <w:pPr>
        <w:pStyle w:val="ListParagraph"/>
        <w:numPr>
          <w:ilvl w:val="0"/>
          <w:numId w:val="28"/>
        </w:numPr>
        <w:spacing w:after="120"/>
        <w:rPr>
          <w:rFonts w:ascii="Times New Roman" w:hAnsi="Times New Roman" w:cs="Times New Roman"/>
          <w:i/>
          <w:noProof/>
          <w:sz w:val="24"/>
          <w:szCs w:val="24"/>
        </w:rPr>
      </w:pPr>
      <w:r>
        <w:rPr>
          <w:rFonts w:ascii="Times New Roman" w:hAnsi="Times New Roman" w:cs="Times New Roman"/>
          <w:i/>
          <w:noProof/>
          <w:sz w:val="24"/>
          <w:szCs w:val="24"/>
        </w:rPr>
        <w:lastRenderedPageBreak/>
        <w:t xml:space="preserve">Profit-seeking motive: </w:t>
      </w:r>
      <w:r>
        <w:rPr>
          <w:rFonts w:ascii="Times New Roman" w:hAnsi="Times New Roman" w:cs="Times New Roman"/>
          <w:noProof/>
          <w:sz w:val="24"/>
          <w:szCs w:val="24"/>
        </w:rPr>
        <w:t>a profit-seeking motive may be an indication that the provider may qualify as a trader for a given transaction. Providers aiming at exchanging assets or skills (for example, in the case of home swapping or time banks) will in principle not qualify as traders. Providers who simply obtain cost compensation for a given transaction may not be seeking a profit. Conversely, those providers that obtain remuneration beyond cost compensation likely have a profit-seeking motive.</w:t>
      </w:r>
    </w:p>
    <w:p w:rsidR="00B70A3C" w:rsidRDefault="00242C75">
      <w:pPr>
        <w:pStyle w:val="ListParagraph"/>
        <w:numPr>
          <w:ilvl w:val="0"/>
          <w:numId w:val="28"/>
        </w:numPr>
        <w:spacing w:after="120"/>
        <w:rPr>
          <w:rFonts w:ascii="Times New Roman" w:hAnsi="Times New Roman" w:cs="Times New Roman"/>
          <w:i/>
          <w:noProof/>
          <w:sz w:val="24"/>
          <w:szCs w:val="24"/>
        </w:rPr>
      </w:pPr>
      <w:r>
        <w:rPr>
          <w:rFonts w:ascii="Times New Roman" w:hAnsi="Times New Roman" w:cs="Times New Roman"/>
          <w:i/>
          <w:noProof/>
          <w:sz w:val="24"/>
          <w:szCs w:val="24"/>
        </w:rPr>
        <w:t xml:space="preserve">Level of turnover: </w:t>
      </w:r>
      <w:r>
        <w:rPr>
          <w:rFonts w:ascii="Times New Roman" w:hAnsi="Times New Roman" w:cs="Times New Roman"/>
          <w:noProof/>
          <w:sz w:val="24"/>
          <w:szCs w:val="24"/>
        </w:rPr>
        <w:t>the higher the turnover generated by the service provider (be it from one or several collaborative platforms), the greater the indication that the provider may qualify as a trader. In this regard, it is important to assess whether the level of turnover generated by the provider stems from the same activity (e.g. ride sharing) or from various type of activities (ride sharing, gardening, etc.). In the second scenario, a higher turnover may not necessarily imply that the provider qualifies as a trader, since it may not have necessarily been obtained in relation to the provider’s other (main) business.</w:t>
      </w:r>
    </w:p>
    <w:p w:rsidR="00B70A3C" w:rsidRDefault="00242C75">
      <w:pPr>
        <w:spacing w:after="120"/>
        <w:rPr>
          <w:rFonts w:ascii="Times New Roman" w:hAnsi="Times New Roman" w:cs="Times New Roman"/>
          <w:noProof/>
          <w:sz w:val="24"/>
          <w:szCs w:val="24"/>
        </w:rPr>
      </w:pPr>
      <w:r>
        <w:rPr>
          <w:rFonts w:ascii="Times New Roman" w:hAnsi="Times New Roman" w:cs="Times New Roman"/>
          <w:noProof/>
          <w:sz w:val="24"/>
          <w:szCs w:val="24"/>
        </w:rPr>
        <w:t xml:space="preserve">A person regularly offering </w:t>
      </w:r>
      <w:r>
        <w:rPr>
          <w:rFonts w:ascii="Times New Roman" w:hAnsi="Times New Roman"/>
          <w:noProof/>
          <w:sz w:val="24"/>
          <w:szCs w:val="24"/>
        </w:rPr>
        <w:t>gardening</w:t>
      </w:r>
      <w:r>
        <w:rPr>
          <w:rFonts w:ascii="Times New Roman" w:hAnsi="Times New Roman"/>
          <w:noProof/>
          <w:color w:val="FF0000"/>
          <w:sz w:val="24"/>
          <w:szCs w:val="24"/>
        </w:rPr>
        <w:t xml:space="preserve"> </w:t>
      </w:r>
      <w:r>
        <w:rPr>
          <w:rFonts w:ascii="Times New Roman" w:hAnsi="Times New Roman" w:cs="Times New Roman"/>
          <w:noProof/>
          <w:sz w:val="24"/>
          <w:szCs w:val="24"/>
        </w:rPr>
        <w:t xml:space="preserve">services — facilitated by collaborative platforms — and seeking to obtain substantial remuneration could fall within the definition of trader. However, a professional babysitter who occasionally provides gardening services — facilitated by collaborative platforms — would in principle not qualify as a trader insofar as the </w:t>
      </w:r>
      <w:r>
        <w:rPr>
          <w:rFonts w:ascii="Times New Roman" w:hAnsi="Times New Roman"/>
          <w:noProof/>
          <w:sz w:val="24"/>
          <w:szCs w:val="24"/>
        </w:rPr>
        <w:t xml:space="preserve">occasional gardening </w:t>
      </w:r>
      <w:r>
        <w:rPr>
          <w:rFonts w:ascii="Times New Roman" w:hAnsi="Times New Roman" w:cs="Times New Roman"/>
          <w:noProof/>
          <w:sz w:val="24"/>
          <w:szCs w:val="24"/>
        </w:rPr>
        <w:t xml:space="preserve">services are concerned. In line with the Unfair Commercial Practices Directive, all traders must comply with professional diligence duties and not mislead consumers. This also applies to collaborative platforms qualifying as traders as far as their own commercial practices are concerned (e.g. intermediation services, payment services, rating services etc.). Collaborative platforms should also enable underlying service providers that qualify as traders to comply with EU consumer and marketing law, for example by designing their web structures to make it possible for third party traders to identify themselves as such to platforms users. In addition, they could also clearly indicate to all users that they will only benefit from protection under EU consumer and marketing laws in their relation with traders. If the collaborative platform applies criteria </w:t>
      </w:r>
      <w:r>
        <w:rPr>
          <w:rFonts w:ascii="Myriad Pro" w:hAnsi="Myriad Pro"/>
          <w:noProof/>
          <w:sz w:val="24"/>
          <w:szCs w:val="24"/>
        </w:rPr>
        <w:t>to select underlying service providers operating through it and if it performs checks in relation to their reliability, it should inform users accordingly.</w:t>
      </w:r>
    </w:p>
    <w:p w:rsidR="00B70A3C" w:rsidRDefault="00242C75">
      <w:pPr>
        <w:spacing w:after="120"/>
        <w:rPr>
          <w:rFonts w:ascii="Times New Roman" w:hAnsi="Times New Roman" w:cs="Times New Roman"/>
          <w:noProof/>
          <w:sz w:val="24"/>
          <w:szCs w:val="24"/>
        </w:rPr>
      </w:pPr>
      <w:r>
        <w:rPr>
          <w:rFonts w:ascii="Times New Roman" w:hAnsi="Times New Roman" w:cs="Times New Roman"/>
          <w:noProof/>
          <w:sz w:val="24"/>
          <w:szCs w:val="24"/>
        </w:rPr>
        <w:t>In addition, collaborative platforms and providers of underlying services may be required to comply with other applicable information obligations under EU law,</w:t>
      </w:r>
      <w:r>
        <w:rPr>
          <w:rStyle w:val="FootnoteReference"/>
          <w:rFonts w:ascii="Times New Roman" w:hAnsi="Times New Roman" w:cs="Times New Roman"/>
          <w:noProof/>
          <w:sz w:val="24"/>
          <w:szCs w:val="24"/>
        </w:rPr>
        <w:footnoteReference w:id="36"/>
      </w:r>
      <w:r>
        <w:rPr>
          <w:rFonts w:ascii="Times New Roman" w:hAnsi="Times New Roman" w:cs="Times New Roman"/>
          <w:noProof/>
          <w:sz w:val="24"/>
          <w:szCs w:val="24"/>
        </w:rPr>
        <w:t xml:space="preserve"> including with regard to transparency requirements of the relevant sector-specific legislation.</w:t>
      </w:r>
      <w:r>
        <w:rPr>
          <w:rStyle w:val="FootnoteReference"/>
          <w:rFonts w:ascii="Times New Roman" w:hAnsi="Times New Roman" w:cs="Times New Roman"/>
          <w:noProof/>
          <w:sz w:val="24"/>
          <w:szCs w:val="24"/>
        </w:rPr>
        <w:footnoteReference w:id="37"/>
      </w:r>
      <w:r>
        <w:rPr>
          <w:rFonts w:ascii="Times New Roman" w:hAnsi="Times New Roman" w:cs="Times New Roman"/>
          <w:noProof/>
          <w:sz w:val="24"/>
          <w:szCs w:val="24"/>
        </w:rPr>
        <w:t xml:space="preserve"> </w:t>
      </w:r>
    </w:p>
    <w:p w:rsidR="00B70A3C" w:rsidRDefault="00242C75">
      <w:pPr>
        <w:spacing w:after="120"/>
        <w:rPr>
          <w:rFonts w:ascii="Times New Roman" w:hAnsi="Times New Roman" w:cs="Times New Roman"/>
          <w:noProof/>
          <w:sz w:val="24"/>
          <w:szCs w:val="24"/>
        </w:rPr>
      </w:pPr>
      <w:r>
        <w:rPr>
          <w:rFonts w:ascii="Times New Roman" w:hAnsi="Times New Roman" w:cs="Times New Roman"/>
          <w:noProof/>
          <w:sz w:val="24"/>
          <w:szCs w:val="24"/>
          <w:lang w:val="en-US"/>
        </w:rPr>
        <w:t>In any event, like any other controllers collecting and further processing personal data in the EU, collaborative platforms must comply with the applicable legal framework on the protection of personal data.</w:t>
      </w:r>
      <w:r>
        <w:rPr>
          <w:rStyle w:val="FootnoteReference"/>
          <w:rFonts w:ascii="Times New Roman" w:hAnsi="Times New Roman" w:cs="Times New Roman"/>
          <w:noProof/>
          <w:sz w:val="24"/>
          <w:szCs w:val="24"/>
          <w:lang w:val="en-US"/>
        </w:rPr>
        <w:footnoteReference w:id="38"/>
      </w:r>
      <w:r>
        <w:rPr>
          <w:rFonts w:ascii="Times New Roman" w:hAnsi="Times New Roman" w:cs="Times New Roman"/>
          <w:noProof/>
          <w:sz w:val="24"/>
          <w:szCs w:val="24"/>
          <w:lang w:val="en-US"/>
        </w:rPr>
        <w:t xml:space="preserve"> Ensuring adherence to the rules for processing personal data will help increase the trust of individuals, whether providers or consumers (including peer to peer) using the collaborative economy, so they know that when it comes to their personal data they will have the protection they are due.</w:t>
      </w:r>
    </w:p>
    <w:p w:rsidR="00B70A3C" w:rsidRDefault="00242C75">
      <w:pPr>
        <w:spacing w:after="240"/>
        <w:rPr>
          <w:rFonts w:ascii="Times New Roman" w:hAnsi="Times New Roman" w:cs="Times New Roman"/>
          <w:noProof/>
          <w:sz w:val="24"/>
          <w:szCs w:val="24"/>
        </w:rPr>
      </w:pPr>
      <w:r>
        <w:rPr>
          <w:rFonts w:ascii="Times New Roman" w:hAnsi="Times New Roman" w:cs="Times New Roman"/>
          <w:noProof/>
          <w:sz w:val="24"/>
          <w:szCs w:val="24"/>
        </w:rPr>
        <w:t xml:space="preserve">A way to increase consumer confidence is to increase trust in peer-to-peer services. Trust-building mechanisms such as online rating and review systems and quality labels can be an essential tool to overcome the lack of information about individual service providers. Such mechanisms for establishing trust in the collaborative economy have been created either by </w:t>
      </w:r>
      <w:r>
        <w:rPr>
          <w:rFonts w:ascii="Times New Roman" w:hAnsi="Times New Roman" w:cs="Times New Roman"/>
          <w:noProof/>
          <w:sz w:val="24"/>
          <w:szCs w:val="24"/>
        </w:rPr>
        <w:lastRenderedPageBreak/>
        <w:t>the collaborative platforms themselves or by specialised third parties and can be particularly important where existing consumer legislation does not apply, as explained below.</w:t>
      </w:r>
    </w:p>
    <w:tbl>
      <w:tblPr>
        <w:tblStyle w:val="TableGrid"/>
        <w:tblW w:w="0" w:type="auto"/>
        <w:tblLook w:val="04A0" w:firstRow="1" w:lastRow="0" w:firstColumn="1" w:lastColumn="0" w:noHBand="0" w:noVBand="1"/>
      </w:tblPr>
      <w:tblGrid>
        <w:gridCol w:w="9180"/>
      </w:tblGrid>
      <w:tr w:rsidR="00B70A3C">
        <w:tc>
          <w:tcPr>
            <w:tcW w:w="9180" w:type="dxa"/>
            <w:tcBorders>
              <w:top w:val="single" w:sz="4" w:space="0" w:color="auto"/>
              <w:left w:val="single" w:sz="4" w:space="0" w:color="auto"/>
              <w:bottom w:val="single" w:sz="4" w:space="0" w:color="auto"/>
              <w:right w:val="single" w:sz="4" w:space="0" w:color="auto"/>
            </w:tcBorders>
            <w:hideMark/>
          </w:tcPr>
          <w:p w:rsidR="00B70A3C" w:rsidRDefault="00242C75">
            <w:pPr>
              <w:spacing w:after="120"/>
              <w:rPr>
                <w:rFonts w:ascii="Times New Roman" w:hAnsi="Times New Roman" w:cs="Times New Roman"/>
                <w:i/>
                <w:noProof/>
                <w:sz w:val="24"/>
                <w:szCs w:val="24"/>
              </w:rPr>
            </w:pPr>
            <w:r>
              <w:rPr>
                <w:rFonts w:ascii="Times New Roman" w:hAnsi="Times New Roman" w:cs="Times New Roman"/>
                <w:i/>
                <w:noProof/>
                <w:sz w:val="24"/>
                <w:szCs w:val="24"/>
              </w:rPr>
              <w:t>In line with EU consumer and marketing rules, Member States are encouraged to seek a balanced approach to ensure that consumers enjoy a high level of protection in particular from unfair commercial practices, while not imposing disproportionate information obligations and other administrative burdens on private individuals who are not traders but who provide services on an occasional basis.</w:t>
            </w:r>
          </w:p>
          <w:p w:rsidR="00B70A3C" w:rsidRDefault="00242C75">
            <w:pPr>
              <w:spacing w:after="120"/>
              <w:rPr>
                <w:rFonts w:ascii="Times New Roman" w:hAnsi="Times New Roman" w:cs="Times New Roman"/>
                <w:noProof/>
                <w:sz w:val="24"/>
                <w:szCs w:val="24"/>
                <w:lang w:val="en-US"/>
              </w:rPr>
            </w:pPr>
            <w:r>
              <w:rPr>
                <w:rFonts w:ascii="Times New Roman" w:hAnsi="Times New Roman" w:cs="Times New Roman"/>
                <w:i/>
                <w:noProof/>
                <w:sz w:val="24"/>
                <w:szCs w:val="24"/>
              </w:rPr>
              <w:t>The effectiveness and use of online trust mechanisms (e.g. quality labels) to increase trust and credibility should be improved to encourage a more confident participation in the collaborative economy.</w:t>
            </w:r>
          </w:p>
        </w:tc>
      </w:tr>
    </w:tbl>
    <w:p w:rsidR="00B70A3C" w:rsidRDefault="00242C75">
      <w:pPr>
        <w:spacing w:before="240" w:after="120"/>
        <w:rPr>
          <w:rFonts w:ascii="Times New Roman" w:hAnsi="Times New Roman" w:cs="Times New Roman"/>
          <w:b/>
          <w:i/>
          <w:noProof/>
          <w:sz w:val="24"/>
          <w:szCs w:val="24"/>
        </w:rPr>
      </w:pPr>
      <w:r>
        <w:rPr>
          <w:rFonts w:ascii="Times New Roman" w:hAnsi="Times New Roman" w:cs="Times New Roman"/>
          <w:b/>
          <w:i/>
          <w:noProof/>
          <w:sz w:val="24"/>
          <w:szCs w:val="24"/>
        </w:rPr>
        <w:t>2.4 Self-employed and workers in the collaborative economy</w:t>
      </w:r>
    </w:p>
    <w:p w:rsidR="00B70A3C" w:rsidRDefault="00242C75">
      <w:pPr>
        <w:spacing w:before="120" w:after="120"/>
        <w:rPr>
          <w:noProof/>
        </w:rPr>
      </w:pPr>
      <w:r>
        <w:rPr>
          <w:rFonts w:ascii="Times New Roman" w:hAnsi="Times New Roman" w:cs="Times New Roman"/>
          <w:noProof/>
          <w:sz w:val="24"/>
          <w:szCs w:val="24"/>
        </w:rPr>
        <w:t>The collaborative economy generates new employment opportunities, generating revenues beyond traditional linear employment relationships,  and it enables people to work according to flexible arrangements. This makes it possible for them to become economically active where more traditional forms of employment are not suitable or available to them. At the same time, the more flexible work arrangements may not be as regular or stable as traditional employment relations. This may create uncertainty as to applicable rights and the level of social protection. Working arrangements in the context of the collaborative economy are often based on individual tasks performed on an ad hoc basis rather than tasks regularly performed in a pre-defined environment and timeframe.</w:t>
      </w:r>
    </w:p>
    <w:p w:rsidR="00B70A3C" w:rsidRDefault="00242C75">
      <w:pPr>
        <w:spacing w:before="120" w:after="120"/>
        <w:rPr>
          <w:rFonts w:ascii="Times New Roman" w:hAnsi="Times New Roman" w:cs="Times New Roman"/>
          <w:noProof/>
          <w:sz w:val="24"/>
          <w:szCs w:val="24"/>
        </w:rPr>
      </w:pPr>
      <w:r>
        <w:rPr>
          <w:rFonts w:ascii="Times New Roman" w:hAnsi="Times New Roman" w:cs="Times New Roman"/>
          <w:noProof/>
          <w:sz w:val="24"/>
          <w:szCs w:val="24"/>
        </w:rPr>
        <w:t>In fact, this is part of a more structural shift. There are increasingly blurred boundaries between the self-employed and workers, there is an increase in temporary and part-time work and multiple job-holding.</w:t>
      </w:r>
      <w:r>
        <w:rPr>
          <w:rStyle w:val="FootnoteReference"/>
          <w:noProof/>
        </w:rPr>
        <w:footnoteReference w:id="39"/>
      </w:r>
      <w:r>
        <w:rPr>
          <w:rFonts w:ascii="Times New Roman" w:hAnsi="Times New Roman" w:cs="Times New Roman"/>
          <w:noProof/>
          <w:sz w:val="24"/>
          <w:szCs w:val="24"/>
        </w:rPr>
        <w:t xml:space="preserve"> Under the European pillar of social rights</w:t>
      </w:r>
      <w:r>
        <w:rPr>
          <w:rStyle w:val="FootnoteReference"/>
          <w:noProof/>
        </w:rPr>
        <w:footnoteReference w:id="40"/>
      </w:r>
      <w:r>
        <w:rPr>
          <w:rFonts w:ascii="Times New Roman" w:hAnsi="Times New Roman" w:cs="Times New Roman"/>
          <w:noProof/>
          <w:sz w:val="24"/>
          <w:szCs w:val="24"/>
        </w:rPr>
        <w:t xml:space="preserve">, the Commission has launched a public consultation as to how best to address the need for increased participation in the labour market, ensuring fair working conditions and adequate and sustainable social protection. This initiative is currently subject to a consultation process, by which the Commission seeks to gather stakeholders’ views on the current EU social </w:t>
      </w:r>
      <w:r>
        <w:rPr>
          <w:rFonts w:ascii="Times New Roman" w:hAnsi="Times New Roman" w:cs="Times New Roman"/>
          <w:i/>
          <w:noProof/>
          <w:sz w:val="24"/>
          <w:szCs w:val="24"/>
        </w:rPr>
        <w:t>acquis</w:t>
      </w:r>
      <w:r>
        <w:rPr>
          <w:rFonts w:ascii="Times New Roman" w:hAnsi="Times New Roman" w:cs="Times New Roman"/>
          <w:noProof/>
          <w:sz w:val="24"/>
          <w:szCs w:val="24"/>
        </w:rPr>
        <w:t>, the future of work and the coverage of social protection schemes.</w:t>
      </w:r>
    </w:p>
    <w:p w:rsidR="00B70A3C" w:rsidRDefault="00242C75">
      <w:pPr>
        <w:spacing w:before="120" w:after="120"/>
        <w:rPr>
          <w:rFonts w:ascii="Times New Roman" w:hAnsi="Times New Roman" w:cs="Times New Roman"/>
          <w:noProof/>
          <w:sz w:val="24"/>
          <w:szCs w:val="24"/>
        </w:rPr>
      </w:pPr>
      <w:r>
        <w:rPr>
          <w:rFonts w:ascii="Times New Roman" w:hAnsi="Times New Roman" w:cs="Times New Roman"/>
          <w:noProof/>
          <w:sz w:val="24"/>
          <w:szCs w:val="24"/>
        </w:rPr>
        <w:t>While most labour law falls under national competence, the European Union has nonetheless developed certain minimum standards in the field of social policy.</w:t>
      </w:r>
      <w:r>
        <w:rPr>
          <w:rStyle w:val="FootnoteReference"/>
          <w:rFonts w:ascii="Times New Roman" w:hAnsi="Times New Roman" w:cs="Times New Roman"/>
          <w:noProof/>
          <w:sz w:val="24"/>
          <w:szCs w:val="24"/>
        </w:rPr>
        <w:footnoteReference w:id="41"/>
      </w:r>
      <w:r>
        <w:rPr>
          <w:rFonts w:ascii="Times New Roman" w:hAnsi="Times New Roman" w:cs="Times New Roman"/>
          <w:noProof/>
          <w:sz w:val="24"/>
          <w:szCs w:val="24"/>
        </w:rPr>
        <w:t xml:space="preserve"> To provide some orientation on how the traditional distinction between the self-employed and workers applies in the context of the collaborative economy, this section examines the conditions under which an employment relationship exists in line with EU labour law</w:t>
      </w:r>
      <w:r>
        <w:rPr>
          <w:rStyle w:val="FootnoteReference"/>
          <w:rFonts w:ascii="Times New Roman" w:hAnsi="Times New Roman"/>
          <w:noProof/>
          <w:sz w:val="24"/>
        </w:rPr>
        <w:footnoteReference w:id="42"/>
      </w:r>
      <w:r>
        <w:rPr>
          <w:rFonts w:ascii="Times New Roman" w:hAnsi="Times New Roman" w:cs="Times New Roman"/>
          <w:noProof/>
          <w:sz w:val="24"/>
          <w:szCs w:val="24"/>
        </w:rPr>
        <w:t xml:space="preserve"> and jurisprudence.</w:t>
      </w:r>
    </w:p>
    <w:p w:rsidR="00B70A3C" w:rsidRDefault="00242C75">
      <w:pPr>
        <w:spacing w:before="120" w:after="240"/>
        <w:rPr>
          <w:rFonts w:ascii="Times New Roman" w:hAnsi="Times New Roman" w:cs="Times New Roman"/>
          <w:noProof/>
          <w:sz w:val="24"/>
          <w:szCs w:val="24"/>
        </w:rPr>
      </w:pPr>
      <w:r>
        <w:rPr>
          <w:rFonts w:ascii="Times New Roman" w:hAnsi="Times New Roman" w:cs="Times New Roman"/>
          <w:noProof/>
          <w:sz w:val="24"/>
          <w:szCs w:val="24"/>
        </w:rPr>
        <w:lastRenderedPageBreak/>
        <w:t>Since, in general, EU labour law only sets minimum standards and does not cover all aspects of social legislation applicable to work relationships, which implies that Member States may in principle set higher ones in their national legislation, collaborative economy actors are advised to refer to national labour legislation applicable in the country where the service is provided.</w:t>
      </w:r>
    </w:p>
    <w:p w:rsidR="00B70A3C" w:rsidRDefault="00242C75">
      <w:pPr>
        <w:spacing w:before="120" w:after="120"/>
        <w:rPr>
          <w:rFonts w:ascii="Times New Roman" w:hAnsi="Times New Roman" w:cs="Times New Roman"/>
          <w:i/>
          <w:noProof/>
          <w:sz w:val="24"/>
          <w:szCs w:val="24"/>
        </w:rPr>
      </w:pPr>
      <w:r>
        <w:rPr>
          <w:rFonts w:ascii="Times New Roman" w:hAnsi="Times New Roman" w:cs="Times New Roman"/>
          <w:i/>
          <w:noProof/>
          <w:sz w:val="24"/>
          <w:szCs w:val="24"/>
        </w:rPr>
        <w:t>The EU definition of ‘worker’</w:t>
      </w:r>
    </w:p>
    <w:p w:rsidR="00B70A3C" w:rsidRDefault="00242C75">
      <w:pPr>
        <w:spacing w:after="120"/>
        <w:rPr>
          <w:rFonts w:ascii="Times New Roman" w:hAnsi="Times New Roman" w:cs="Times New Roman"/>
          <w:noProof/>
          <w:sz w:val="24"/>
          <w:szCs w:val="24"/>
        </w:rPr>
      </w:pPr>
      <w:r>
        <w:rPr>
          <w:rFonts w:ascii="Times New Roman" w:hAnsi="Times New Roman"/>
          <w:noProof/>
          <w:sz w:val="24"/>
        </w:rPr>
        <w:t xml:space="preserve">EU law guaranteeing rights to workers is only applicable to people who are in an employment relationship, i.e. who are considered ‘workers’. </w:t>
      </w:r>
      <w:r>
        <w:rPr>
          <w:rFonts w:ascii="Times New Roman" w:hAnsi="Times New Roman" w:cs="Times New Roman"/>
          <w:noProof/>
          <w:sz w:val="24"/>
          <w:szCs w:val="24"/>
        </w:rPr>
        <w:t>While EU Member States are responsible for deciding who is to be considered a worker in their national legal order, at EU level the Court of Justice (</w:t>
      </w:r>
      <w:r>
        <w:rPr>
          <w:rFonts w:ascii="Times New Roman" w:hAnsi="Times New Roman"/>
          <w:noProof/>
          <w:sz w:val="24"/>
        </w:rPr>
        <w:t xml:space="preserve">CJEU) </w:t>
      </w:r>
      <w:r>
        <w:rPr>
          <w:rFonts w:ascii="Times New Roman" w:hAnsi="Times New Roman" w:cs="Times New Roman"/>
          <w:noProof/>
          <w:sz w:val="24"/>
          <w:szCs w:val="24"/>
        </w:rPr>
        <w:t>has defined the concept of worker for the purpose of applying EU law.</w:t>
      </w:r>
      <w:r>
        <w:rPr>
          <w:rStyle w:val="FootnoteReference"/>
          <w:rFonts w:ascii="Times New Roman" w:hAnsi="Times New Roman" w:cs="Times New Roman"/>
          <w:noProof/>
          <w:sz w:val="24"/>
          <w:szCs w:val="24"/>
        </w:rPr>
        <w:footnoteReference w:id="43"/>
      </w:r>
      <w:r>
        <w:rPr>
          <w:rFonts w:ascii="Times New Roman" w:hAnsi="Times New Roman" w:cs="Times New Roman"/>
          <w:noProof/>
          <w:sz w:val="24"/>
          <w:szCs w:val="24"/>
        </w:rPr>
        <w:t xml:space="preserve"> This definition has primarily been developed within the framework of the free movement of workers. The </w:t>
      </w:r>
      <w:r>
        <w:rPr>
          <w:rFonts w:ascii="Times New Roman" w:hAnsi="Times New Roman"/>
          <w:noProof/>
          <w:sz w:val="24"/>
        </w:rPr>
        <w:t>CJEU</w:t>
      </w:r>
      <w:r>
        <w:rPr>
          <w:rFonts w:ascii="Times New Roman" w:hAnsi="Times New Roman" w:cs="Times New Roman"/>
          <w:noProof/>
          <w:sz w:val="24"/>
          <w:szCs w:val="24"/>
        </w:rPr>
        <w:t xml:space="preserve"> stated that ‘</w:t>
      </w:r>
      <w:r>
        <w:rPr>
          <w:rFonts w:ascii="Times New Roman" w:hAnsi="Times New Roman" w:cs="Times New Roman"/>
          <w:i/>
          <w:noProof/>
          <w:sz w:val="24"/>
          <w:szCs w:val="24"/>
        </w:rPr>
        <w:t xml:space="preserve">the essential feature of an employment relationship is that for a certain </w:t>
      </w:r>
      <w:r>
        <w:rPr>
          <w:rFonts w:ascii="Times New Roman" w:hAnsi="Times New Roman"/>
          <w:i/>
          <w:noProof/>
          <w:sz w:val="24"/>
        </w:rPr>
        <w:t>period of time</w:t>
      </w:r>
      <w:r>
        <w:rPr>
          <w:rFonts w:ascii="Times New Roman" w:hAnsi="Times New Roman" w:cs="Times New Roman"/>
          <w:i/>
          <w:noProof/>
          <w:sz w:val="24"/>
          <w:szCs w:val="24"/>
        </w:rPr>
        <w:t xml:space="preserve"> a person performs</w:t>
      </w:r>
      <w:r>
        <w:rPr>
          <w:rFonts w:ascii="Times New Roman" w:hAnsi="Times New Roman"/>
          <w:i/>
          <w:noProof/>
          <w:sz w:val="24"/>
        </w:rPr>
        <w:t xml:space="preserve"> services </w:t>
      </w:r>
      <w:r>
        <w:rPr>
          <w:rFonts w:ascii="Times New Roman" w:hAnsi="Times New Roman" w:cs="Times New Roman"/>
          <w:i/>
          <w:noProof/>
          <w:sz w:val="24"/>
          <w:szCs w:val="24"/>
        </w:rPr>
        <w:t xml:space="preserve">for and </w:t>
      </w:r>
      <w:r>
        <w:rPr>
          <w:rFonts w:ascii="Times New Roman" w:hAnsi="Times New Roman"/>
          <w:i/>
          <w:noProof/>
          <w:sz w:val="24"/>
        </w:rPr>
        <w:t>under the direction of another person</w:t>
      </w:r>
      <w:r>
        <w:rPr>
          <w:rFonts w:ascii="Times New Roman" w:hAnsi="Times New Roman" w:cs="Times New Roman"/>
          <w:i/>
          <w:noProof/>
          <w:sz w:val="24"/>
          <w:szCs w:val="24"/>
        </w:rPr>
        <w:t xml:space="preserve"> in return for which he </w:t>
      </w:r>
      <w:r>
        <w:rPr>
          <w:rFonts w:ascii="Times New Roman" w:hAnsi="Times New Roman"/>
          <w:i/>
          <w:noProof/>
          <w:sz w:val="24"/>
        </w:rPr>
        <w:t>receives remuneration</w:t>
      </w:r>
      <w:r>
        <w:rPr>
          <w:rFonts w:ascii="Times New Roman" w:hAnsi="Times New Roman" w:cs="Times New Roman"/>
          <w:noProof/>
          <w:sz w:val="24"/>
          <w:szCs w:val="24"/>
        </w:rPr>
        <w:t>’.</w:t>
      </w:r>
      <w:r>
        <w:rPr>
          <w:rStyle w:val="FootnoteReference"/>
          <w:rFonts w:ascii="Times New Roman" w:hAnsi="Times New Roman" w:cs="Times New Roman"/>
          <w:noProof/>
          <w:sz w:val="24"/>
          <w:szCs w:val="24"/>
        </w:rPr>
        <w:footnoteReference w:id="44"/>
      </w:r>
      <w:r>
        <w:rPr>
          <w:rFonts w:ascii="Times New Roman" w:hAnsi="Times New Roman" w:cs="Times New Roman"/>
          <w:noProof/>
          <w:sz w:val="24"/>
          <w:szCs w:val="24"/>
        </w:rPr>
        <w:t xml:space="preserve"> The CJEU notably confirmed that this definition shall also be used to determine who is to be considered as a worker when applying certain EU Directives in the social field.</w:t>
      </w:r>
      <w:r>
        <w:rPr>
          <w:rStyle w:val="FootnoteReference"/>
          <w:rFonts w:ascii="Times New Roman" w:hAnsi="Times New Roman" w:cs="Times New Roman"/>
          <w:noProof/>
          <w:sz w:val="24"/>
          <w:szCs w:val="24"/>
        </w:rPr>
        <w:footnoteReference w:id="45"/>
      </w:r>
    </w:p>
    <w:p w:rsidR="00B70A3C" w:rsidRDefault="00242C75">
      <w:pPr>
        <w:spacing w:after="120"/>
        <w:rPr>
          <w:rFonts w:ascii="Times New Roman" w:hAnsi="Times New Roman" w:cs="Times New Roman"/>
          <w:noProof/>
          <w:sz w:val="24"/>
          <w:szCs w:val="24"/>
        </w:rPr>
      </w:pPr>
      <w:r>
        <w:rPr>
          <w:rFonts w:ascii="Times New Roman" w:hAnsi="Times New Roman" w:cs="Times New Roman"/>
          <w:noProof/>
          <w:sz w:val="24"/>
          <w:szCs w:val="24"/>
        </w:rPr>
        <w:t>Whether an employment relationship exists or not has to be established on the basis of a case-by-case assessment, considering the facts characterising the relationship between the platform and the underlying service provider, and the performance of the related tasks, looking cumulatively in particular at the following three essential criteria:</w:t>
      </w:r>
      <w:r>
        <w:rPr>
          <w:rStyle w:val="FootnoteReference"/>
          <w:rFonts w:ascii="Times New Roman" w:hAnsi="Times New Roman" w:cs="Times New Roman"/>
          <w:noProof/>
          <w:sz w:val="24"/>
          <w:szCs w:val="24"/>
        </w:rPr>
        <w:footnoteReference w:id="46"/>
      </w:r>
    </w:p>
    <w:p w:rsidR="00B70A3C" w:rsidRDefault="00242C75">
      <w:pPr>
        <w:pStyle w:val="ListParagraph"/>
        <w:numPr>
          <w:ilvl w:val="0"/>
          <w:numId w:val="27"/>
        </w:numPr>
        <w:spacing w:after="120"/>
        <w:rPr>
          <w:rFonts w:ascii="Times New Roman" w:hAnsi="Times New Roman" w:cs="Times New Roman"/>
          <w:noProof/>
          <w:sz w:val="24"/>
          <w:szCs w:val="24"/>
        </w:rPr>
      </w:pPr>
      <w:r>
        <w:rPr>
          <w:rFonts w:ascii="Times New Roman" w:hAnsi="Times New Roman" w:cs="Times New Roman"/>
          <w:noProof/>
          <w:sz w:val="24"/>
          <w:szCs w:val="24"/>
        </w:rPr>
        <w:t>the existence of a subordination link;</w:t>
      </w:r>
    </w:p>
    <w:p w:rsidR="00B70A3C" w:rsidRDefault="00242C75">
      <w:pPr>
        <w:pStyle w:val="ListParagraph"/>
        <w:numPr>
          <w:ilvl w:val="0"/>
          <w:numId w:val="27"/>
        </w:numPr>
        <w:spacing w:after="120"/>
        <w:rPr>
          <w:rFonts w:ascii="Times New Roman" w:hAnsi="Times New Roman" w:cs="Times New Roman"/>
          <w:noProof/>
          <w:sz w:val="24"/>
          <w:szCs w:val="24"/>
        </w:rPr>
      </w:pPr>
      <w:r>
        <w:rPr>
          <w:rFonts w:ascii="Times New Roman" w:hAnsi="Times New Roman" w:cs="Times New Roman"/>
          <w:noProof/>
          <w:sz w:val="24"/>
          <w:szCs w:val="24"/>
        </w:rPr>
        <w:t>the nature of work; and</w:t>
      </w:r>
    </w:p>
    <w:p w:rsidR="00B70A3C" w:rsidRDefault="00242C75">
      <w:pPr>
        <w:pStyle w:val="ListParagraph"/>
        <w:numPr>
          <w:ilvl w:val="0"/>
          <w:numId w:val="27"/>
        </w:numPr>
        <w:spacing w:after="120"/>
        <w:rPr>
          <w:rFonts w:ascii="Times New Roman" w:hAnsi="Times New Roman" w:cs="Times New Roman"/>
          <w:noProof/>
          <w:sz w:val="24"/>
          <w:szCs w:val="24"/>
        </w:rPr>
      </w:pPr>
      <w:r>
        <w:rPr>
          <w:rFonts w:ascii="Times New Roman" w:hAnsi="Times New Roman" w:cs="Times New Roman"/>
          <w:noProof/>
          <w:sz w:val="24"/>
          <w:szCs w:val="24"/>
        </w:rPr>
        <w:t>the presence of a remuneration.</w:t>
      </w:r>
    </w:p>
    <w:p w:rsidR="00B70A3C" w:rsidRDefault="00242C75">
      <w:pPr>
        <w:spacing w:after="120"/>
        <w:rPr>
          <w:rFonts w:ascii="Times New Roman" w:hAnsi="Times New Roman" w:cs="Times New Roman"/>
          <w:noProof/>
          <w:sz w:val="24"/>
          <w:szCs w:val="24"/>
        </w:rPr>
      </w:pPr>
      <w:r>
        <w:rPr>
          <w:rFonts w:ascii="Times New Roman" w:hAnsi="Times New Roman" w:cs="Times New Roman"/>
          <w:noProof/>
          <w:sz w:val="24"/>
          <w:szCs w:val="24"/>
        </w:rPr>
        <w:t xml:space="preserve">For the criterion of </w:t>
      </w:r>
      <w:r>
        <w:rPr>
          <w:rFonts w:ascii="Times New Roman" w:hAnsi="Times New Roman" w:cs="Times New Roman"/>
          <w:b/>
          <w:noProof/>
          <w:sz w:val="24"/>
          <w:szCs w:val="24"/>
        </w:rPr>
        <w:t>subordination</w:t>
      </w:r>
      <w:r>
        <w:rPr>
          <w:rFonts w:ascii="Times New Roman" w:hAnsi="Times New Roman" w:cs="Times New Roman"/>
          <w:noProof/>
          <w:sz w:val="24"/>
          <w:szCs w:val="24"/>
        </w:rPr>
        <w:t xml:space="preserve"> to be met, the service provider must act under the direction of the collaborative platform, the latter determining the choice of the activity, remuneration and working conditions.</w:t>
      </w:r>
      <w:r>
        <w:rPr>
          <w:rStyle w:val="FootnoteReference"/>
          <w:noProof/>
        </w:rPr>
        <w:footnoteReference w:id="47"/>
      </w:r>
      <w:r>
        <w:rPr>
          <w:rFonts w:ascii="Times New Roman" w:hAnsi="Times New Roman" w:cs="Times New Roman"/>
          <w:noProof/>
          <w:sz w:val="24"/>
          <w:szCs w:val="24"/>
        </w:rPr>
        <w:t xml:space="preserve"> In other words, the provider of the underlying service is not free to choose which services it will provide and how, e.g. as per the contractual relationship it entered with the collaborative platform.</w:t>
      </w:r>
      <w:r>
        <w:rPr>
          <w:rStyle w:val="FootnoteReference"/>
          <w:rFonts w:ascii="Times New Roman" w:hAnsi="Times New Roman" w:cs="Times New Roman"/>
          <w:noProof/>
          <w:sz w:val="24"/>
          <w:szCs w:val="24"/>
        </w:rPr>
        <w:footnoteReference w:id="48"/>
      </w:r>
      <w:r>
        <w:rPr>
          <w:rFonts w:ascii="Times New Roman" w:hAnsi="Times New Roman" w:cs="Times New Roman"/>
          <w:noProof/>
          <w:sz w:val="24"/>
          <w:szCs w:val="24"/>
        </w:rPr>
        <w:t xml:space="preserve"> Where the collaborative platform is merely processing the payment deposited by a user and passes it on to the provider of the underlying service, this does not imply that the collaborative platform is determining the remuneration. The existence of subordination is not necessarily dependent on the actual exercise of management or supervision on a continuous basis.</w:t>
      </w:r>
      <w:r>
        <w:rPr>
          <w:rStyle w:val="FootnoteReference"/>
          <w:rFonts w:ascii="Times New Roman" w:hAnsi="Times New Roman" w:cs="Times New Roman"/>
          <w:noProof/>
          <w:sz w:val="24"/>
          <w:szCs w:val="24"/>
        </w:rPr>
        <w:footnoteReference w:id="49"/>
      </w:r>
    </w:p>
    <w:p w:rsidR="00B70A3C" w:rsidRDefault="00242C75">
      <w:pPr>
        <w:spacing w:after="120"/>
        <w:rPr>
          <w:rFonts w:ascii="Times New Roman" w:hAnsi="Times New Roman" w:cs="Times New Roman"/>
          <w:noProof/>
          <w:sz w:val="24"/>
          <w:szCs w:val="24"/>
        </w:rPr>
      </w:pPr>
      <w:r>
        <w:rPr>
          <w:rFonts w:ascii="Times New Roman" w:hAnsi="Times New Roman" w:cs="Times New Roman"/>
          <w:noProof/>
          <w:sz w:val="24"/>
          <w:szCs w:val="24"/>
        </w:rPr>
        <w:t xml:space="preserve">For the </w:t>
      </w:r>
      <w:r>
        <w:rPr>
          <w:rFonts w:ascii="Times New Roman" w:hAnsi="Times New Roman" w:cs="Times New Roman"/>
          <w:b/>
          <w:noProof/>
          <w:sz w:val="24"/>
          <w:szCs w:val="24"/>
        </w:rPr>
        <w:t>nature of the work</w:t>
      </w:r>
      <w:r>
        <w:rPr>
          <w:rFonts w:ascii="Times New Roman" w:hAnsi="Times New Roman" w:cs="Times New Roman"/>
          <w:noProof/>
          <w:sz w:val="24"/>
          <w:szCs w:val="24"/>
        </w:rPr>
        <w:t xml:space="preserve"> criterion to be met, the provider of the underlying service must pursue an activity of economic value that is effective and genuine, excluding services on such </w:t>
      </w:r>
      <w:r>
        <w:rPr>
          <w:rFonts w:ascii="Times New Roman" w:hAnsi="Times New Roman" w:cs="Times New Roman"/>
          <w:noProof/>
          <w:sz w:val="24"/>
          <w:szCs w:val="24"/>
        </w:rPr>
        <w:lastRenderedPageBreak/>
        <w:t>a small scale as to be regarded as purely marginal and accessory.</w:t>
      </w:r>
      <w:r>
        <w:rPr>
          <w:rStyle w:val="FootnoteReference"/>
          <w:rFonts w:ascii="Times New Roman" w:hAnsi="Times New Roman" w:cs="Times New Roman"/>
          <w:noProof/>
          <w:sz w:val="24"/>
          <w:szCs w:val="24"/>
        </w:rPr>
        <w:footnoteReference w:id="50"/>
      </w:r>
      <w:r>
        <w:rPr>
          <w:rFonts w:ascii="Times New Roman" w:hAnsi="Times New Roman" w:cs="Times New Roman"/>
          <w:noProof/>
          <w:sz w:val="24"/>
          <w:szCs w:val="24"/>
        </w:rPr>
        <w:t xml:space="preserve"> National courts have adopted divergent approaches in identifying what is marginal and accessory even within the context of more traditional employment relationships. There is a mix of use of thresholds (hour or wage-based) and ad hoc assessments of the features of a given relationship. In the context of the collaborative economy, where persons actually provide purely marginal and accessory services through collaborative platforms, this is an indication that such persons would not qualify as workers, although short duration</w:t>
      </w:r>
      <w:r>
        <w:rPr>
          <w:rStyle w:val="FootnoteReference"/>
          <w:rFonts w:ascii="Times New Roman" w:hAnsi="Times New Roman" w:cs="Times New Roman"/>
          <w:noProof/>
          <w:sz w:val="24"/>
          <w:szCs w:val="24"/>
        </w:rPr>
        <w:footnoteReference w:id="51"/>
      </w:r>
      <w:r>
        <w:rPr>
          <w:rFonts w:ascii="Times New Roman" w:hAnsi="Times New Roman" w:cs="Times New Roman"/>
          <w:noProof/>
          <w:sz w:val="24"/>
          <w:szCs w:val="24"/>
        </w:rPr>
        <w:t>, limited working hours</w:t>
      </w:r>
      <w:r>
        <w:rPr>
          <w:rStyle w:val="FootnoteReference"/>
          <w:rFonts w:ascii="Times New Roman" w:hAnsi="Times New Roman" w:cs="Times New Roman"/>
          <w:noProof/>
          <w:sz w:val="24"/>
          <w:szCs w:val="24"/>
        </w:rPr>
        <w:footnoteReference w:id="52"/>
      </w:r>
      <w:r>
        <w:rPr>
          <w:rFonts w:ascii="Times New Roman" w:hAnsi="Times New Roman" w:cs="Times New Roman"/>
          <w:noProof/>
          <w:sz w:val="24"/>
          <w:szCs w:val="24"/>
        </w:rPr>
        <w:t>, discontinuous work</w:t>
      </w:r>
      <w:r>
        <w:rPr>
          <w:rStyle w:val="FootnoteReference"/>
          <w:rFonts w:ascii="Times New Roman" w:hAnsi="Times New Roman" w:cs="Times New Roman"/>
          <w:noProof/>
          <w:sz w:val="24"/>
          <w:szCs w:val="24"/>
        </w:rPr>
        <w:footnoteReference w:id="53"/>
      </w:r>
      <w:r>
        <w:rPr>
          <w:rFonts w:ascii="Times New Roman" w:hAnsi="Times New Roman" w:cs="Times New Roman"/>
          <w:noProof/>
          <w:sz w:val="24"/>
          <w:szCs w:val="24"/>
        </w:rPr>
        <w:t xml:space="preserve"> or low productivity</w:t>
      </w:r>
      <w:r>
        <w:rPr>
          <w:rStyle w:val="FootnoteReference"/>
          <w:rFonts w:ascii="Times New Roman" w:hAnsi="Times New Roman" w:cs="Times New Roman"/>
          <w:noProof/>
          <w:sz w:val="24"/>
          <w:szCs w:val="24"/>
        </w:rPr>
        <w:footnoteReference w:id="54"/>
      </w:r>
      <w:r>
        <w:rPr>
          <w:rFonts w:ascii="Times New Roman" w:hAnsi="Times New Roman" w:cs="Times New Roman"/>
          <w:noProof/>
          <w:sz w:val="24"/>
          <w:szCs w:val="24"/>
        </w:rPr>
        <w:t xml:space="preserve"> cannot in themselves exclude an employment relation. At the same time, persons providing services on more than an occasional basis may be either workers or self-employed, as the actual qualification of their status results from a comprehensive test of all three criteria.</w:t>
      </w:r>
    </w:p>
    <w:p w:rsidR="00B70A3C" w:rsidRDefault="00242C75">
      <w:pPr>
        <w:pStyle w:val="CommentText"/>
        <w:spacing w:after="120"/>
        <w:rPr>
          <w:rFonts w:ascii="Times New Roman" w:hAnsi="Times New Roman" w:cs="Times New Roman"/>
          <w:noProof/>
          <w:sz w:val="24"/>
          <w:szCs w:val="24"/>
        </w:rPr>
      </w:pPr>
      <w:r>
        <w:rPr>
          <w:rFonts w:ascii="Times New Roman" w:hAnsi="Times New Roman" w:cs="Times New Roman"/>
          <w:noProof/>
          <w:sz w:val="24"/>
          <w:szCs w:val="24"/>
        </w:rPr>
        <w:t xml:space="preserve">The </w:t>
      </w:r>
      <w:r>
        <w:rPr>
          <w:rFonts w:ascii="Times New Roman" w:hAnsi="Times New Roman" w:cs="Times New Roman"/>
          <w:b/>
          <w:noProof/>
          <w:sz w:val="24"/>
          <w:szCs w:val="24"/>
        </w:rPr>
        <w:t>remuneration</w:t>
      </w:r>
      <w:r>
        <w:rPr>
          <w:rFonts w:ascii="Times New Roman" w:hAnsi="Times New Roman" w:cs="Times New Roman"/>
          <w:noProof/>
          <w:sz w:val="24"/>
          <w:szCs w:val="24"/>
        </w:rPr>
        <w:t xml:space="preserve"> criterion is primarily used for distinguishing a volunteer from a worker. Thus, where the provider does not receive any remuneration or receives merely a compensation of costs incurred for his activities, the remuneration criterion would not be met. </w:t>
      </w:r>
    </w:p>
    <w:p w:rsidR="00B70A3C" w:rsidRDefault="00242C75">
      <w:pPr>
        <w:spacing w:after="240"/>
        <w:rPr>
          <w:rFonts w:ascii="Times New Roman" w:hAnsi="Times New Roman" w:cs="Times New Roman"/>
          <w:bCs/>
          <w:noProof/>
          <w:sz w:val="24"/>
          <w:szCs w:val="24"/>
        </w:rPr>
      </w:pPr>
      <w:r>
        <w:rPr>
          <w:rFonts w:ascii="Times New Roman" w:hAnsi="Times New Roman" w:cs="Times New Roman"/>
          <w:bCs/>
          <w:noProof/>
          <w:sz w:val="24"/>
          <w:szCs w:val="24"/>
        </w:rPr>
        <w:t>While the above criteria are referred to when applying the EU definition of workers, courts in the Member States tend to use a similar set of criteria when they undertake their global assessment of a given employment relationship in the national remit.</w:t>
      </w:r>
    </w:p>
    <w:tbl>
      <w:tblPr>
        <w:tblStyle w:val="TableGrid"/>
        <w:tblW w:w="0" w:type="auto"/>
        <w:tblLook w:val="04A0" w:firstRow="1" w:lastRow="0" w:firstColumn="1" w:lastColumn="0" w:noHBand="0" w:noVBand="1"/>
      </w:tblPr>
      <w:tblGrid>
        <w:gridCol w:w="9288"/>
      </w:tblGrid>
      <w:tr w:rsidR="00B70A3C">
        <w:tc>
          <w:tcPr>
            <w:tcW w:w="9288" w:type="dxa"/>
          </w:tcPr>
          <w:p w:rsidR="00B70A3C" w:rsidRDefault="00242C75">
            <w:pPr>
              <w:spacing w:after="120"/>
              <w:rPr>
                <w:rFonts w:ascii="Times New Roman" w:hAnsi="Times New Roman" w:cs="Times New Roman"/>
                <w:i/>
                <w:noProof/>
                <w:sz w:val="24"/>
                <w:szCs w:val="24"/>
              </w:rPr>
            </w:pPr>
            <w:r>
              <w:rPr>
                <w:rFonts w:ascii="Times New Roman" w:hAnsi="Times New Roman" w:cs="Times New Roman"/>
                <w:i/>
                <w:noProof/>
                <w:sz w:val="24"/>
                <w:szCs w:val="24"/>
              </w:rPr>
              <w:t xml:space="preserve">In order to help people make full use of their potential, increase participation in the labour market and boost competitiveness, while ensuring fair working conditions and adequate and sustainable social protection, </w:t>
            </w:r>
            <w:r>
              <w:rPr>
                <w:rFonts w:ascii="Times New Roman" w:hAnsi="Times New Roman"/>
                <w:i/>
                <w:noProof/>
                <w:sz w:val="24"/>
              </w:rPr>
              <w:t>Member States should</w:t>
            </w:r>
            <w:r>
              <w:rPr>
                <w:rFonts w:ascii="Times New Roman" w:hAnsi="Times New Roman" w:cs="Times New Roman"/>
                <w:i/>
                <w:noProof/>
                <w:sz w:val="24"/>
                <w:szCs w:val="24"/>
              </w:rPr>
              <w:t>:</w:t>
            </w:r>
          </w:p>
          <w:p w:rsidR="00B70A3C" w:rsidRDefault="00242C75">
            <w:pPr>
              <w:spacing w:after="120"/>
              <w:rPr>
                <w:rFonts w:ascii="Times New Roman" w:hAnsi="Times New Roman" w:cs="Times New Roman"/>
                <w:i/>
                <w:noProof/>
                <w:sz w:val="24"/>
                <w:szCs w:val="24"/>
              </w:rPr>
            </w:pPr>
            <w:r>
              <w:rPr>
                <w:rFonts w:ascii="Times New Roman" w:hAnsi="Times New Roman" w:cs="Times New Roman"/>
                <w:i/>
                <w:noProof/>
                <w:sz w:val="24"/>
                <w:szCs w:val="24"/>
              </w:rPr>
              <w:t>- assess the adequacy of their national employment rules considering the different needs of workers and self-employed people in the digital world as well as the innovative nature of collaborative business models;</w:t>
            </w:r>
          </w:p>
          <w:p w:rsidR="00B70A3C" w:rsidRDefault="00242C75">
            <w:pPr>
              <w:rPr>
                <w:rFonts w:ascii="Times New Roman" w:hAnsi="Times New Roman" w:cs="Times New Roman"/>
                <w:noProof/>
                <w:sz w:val="24"/>
                <w:szCs w:val="24"/>
              </w:rPr>
            </w:pPr>
            <w:r>
              <w:rPr>
                <w:rFonts w:ascii="Times New Roman" w:hAnsi="Times New Roman" w:cs="Times New Roman"/>
                <w:i/>
                <w:noProof/>
                <w:sz w:val="24"/>
                <w:szCs w:val="24"/>
              </w:rPr>
              <w:t xml:space="preserve">- provide guidance on the applicability of their national </w:t>
            </w:r>
            <w:r>
              <w:rPr>
                <w:rFonts w:ascii="Times New Roman" w:hAnsi="Times New Roman"/>
                <w:i/>
                <w:noProof/>
                <w:sz w:val="24"/>
              </w:rPr>
              <w:t xml:space="preserve">employment </w:t>
            </w:r>
            <w:r>
              <w:rPr>
                <w:rFonts w:ascii="Times New Roman" w:hAnsi="Times New Roman" w:cs="Times New Roman"/>
                <w:i/>
                <w:noProof/>
                <w:sz w:val="24"/>
                <w:szCs w:val="24"/>
              </w:rPr>
              <w:t>rules in light of labour patterns</w:t>
            </w:r>
            <w:r>
              <w:rPr>
                <w:rFonts w:ascii="Times New Roman" w:hAnsi="Times New Roman"/>
                <w:i/>
                <w:noProof/>
                <w:sz w:val="24"/>
              </w:rPr>
              <w:t xml:space="preserve"> in the collaborative economy.</w:t>
            </w:r>
          </w:p>
        </w:tc>
      </w:tr>
    </w:tbl>
    <w:p w:rsidR="00B70A3C" w:rsidRDefault="00242C75">
      <w:pPr>
        <w:pStyle w:val="Heading3"/>
        <w:tabs>
          <w:tab w:val="clear" w:pos="850"/>
        </w:tabs>
        <w:spacing w:after="120"/>
        <w:ind w:left="851" w:hanging="851"/>
        <w:rPr>
          <w:b/>
          <w:i/>
          <w:noProof/>
          <w:lang w:val="en-GB"/>
        </w:rPr>
      </w:pPr>
      <w:r>
        <w:rPr>
          <w:b/>
          <w:i/>
          <w:noProof/>
          <w:lang w:val="en-GB"/>
        </w:rPr>
        <w:t>2.5 Taxation</w:t>
      </w:r>
    </w:p>
    <w:p w:rsidR="00B70A3C" w:rsidRDefault="00242C75">
      <w:pPr>
        <w:keepNext/>
        <w:spacing w:after="120"/>
        <w:rPr>
          <w:rFonts w:ascii="Times New Roman" w:hAnsi="Times New Roman" w:cs="Times New Roman"/>
          <w:i/>
          <w:noProof/>
          <w:sz w:val="24"/>
          <w:szCs w:val="24"/>
        </w:rPr>
      </w:pPr>
      <w:r>
        <w:rPr>
          <w:rFonts w:ascii="Times New Roman" w:hAnsi="Times New Roman" w:cs="Times New Roman"/>
          <w:i/>
          <w:noProof/>
          <w:sz w:val="24"/>
          <w:szCs w:val="24"/>
        </w:rPr>
        <w:t>Adapting to new business models</w:t>
      </w:r>
    </w:p>
    <w:p w:rsidR="00B70A3C" w:rsidRDefault="00242C75">
      <w:pPr>
        <w:spacing w:after="120"/>
        <w:rPr>
          <w:rFonts w:ascii="Times New Roman" w:hAnsi="Times New Roman" w:cs="Times New Roman"/>
          <w:noProof/>
          <w:sz w:val="24"/>
          <w:szCs w:val="24"/>
        </w:rPr>
      </w:pPr>
      <w:r>
        <w:rPr>
          <w:rFonts w:ascii="Times New Roman" w:hAnsi="Times New Roman" w:cs="Times New Roman"/>
          <w:noProof/>
          <w:sz w:val="24"/>
          <w:szCs w:val="24"/>
        </w:rPr>
        <w:t xml:space="preserve">Like all economic operators, those in the collaborative economy are also subject to taxation rules. These include personal income, corporate income and value added tax rules. However, issues have emerged in relation to tax compliance and enforcement: difficulties in identifying the taxpayers and the taxable income, lack of information on service providers, aggressive corporate tax planning exacerbated in the digital sector, differences in tax practices across the EU and insufficient exchange of information. </w:t>
      </w:r>
    </w:p>
    <w:p w:rsidR="00B70A3C" w:rsidRDefault="00242C75">
      <w:pPr>
        <w:spacing w:after="120"/>
        <w:rPr>
          <w:rFonts w:ascii="Times New Roman" w:hAnsi="Times New Roman" w:cs="Times New Roman"/>
          <w:noProof/>
          <w:sz w:val="24"/>
          <w:szCs w:val="24"/>
        </w:rPr>
      </w:pPr>
      <w:r>
        <w:rPr>
          <w:rFonts w:ascii="Times New Roman" w:hAnsi="Times New Roman" w:cs="Times New Roman"/>
          <w:noProof/>
          <w:sz w:val="24"/>
          <w:szCs w:val="24"/>
        </w:rPr>
        <w:t xml:space="preserve">In this regard, Member States should aim at proportionate obligations and a level playing field. They should apply functionally similar tax obligations to businesses providing comparable services. Raising awareness on tax obligations, making tax administrators aware of collaborative business models, issuing guidance, and increasing transparency through online information can all be tools for unlocking the potential of the collaborative economy. </w:t>
      </w:r>
      <w:r>
        <w:rPr>
          <w:rFonts w:ascii="Times New Roman" w:hAnsi="Times New Roman" w:cs="Times New Roman"/>
          <w:noProof/>
          <w:sz w:val="24"/>
          <w:szCs w:val="24"/>
        </w:rPr>
        <w:lastRenderedPageBreak/>
        <w:t>Information about national tax obligations, including those linked to employment status, should be clearly communicated to stakeholders.</w:t>
      </w:r>
    </w:p>
    <w:p w:rsidR="00B70A3C" w:rsidRDefault="00242C75">
      <w:pPr>
        <w:spacing w:after="120"/>
        <w:rPr>
          <w:rFonts w:ascii="Times New Roman" w:hAnsi="Times New Roman" w:cs="Times New Roman"/>
          <w:noProof/>
          <w:sz w:val="24"/>
          <w:szCs w:val="24"/>
        </w:rPr>
      </w:pPr>
      <w:r>
        <w:rPr>
          <w:rFonts w:ascii="Times New Roman" w:hAnsi="Times New Roman" w:cs="Times New Roman"/>
          <w:noProof/>
          <w:sz w:val="24"/>
          <w:szCs w:val="24"/>
        </w:rPr>
        <w:t>To increase clarity and transparency, some Member States have issued guidance on the application of the national tax regime to collaborative business models, and a few have considered changes to their legislation.</w:t>
      </w:r>
      <w:r>
        <w:rPr>
          <w:rStyle w:val="FootnoteReference"/>
          <w:rFonts w:ascii="Times New Roman" w:hAnsi="Times New Roman" w:cs="Times New Roman"/>
          <w:noProof/>
          <w:sz w:val="24"/>
          <w:szCs w:val="24"/>
        </w:rPr>
        <w:footnoteReference w:id="55"/>
      </w:r>
      <w:r>
        <w:rPr>
          <w:rFonts w:ascii="Times New Roman" w:hAnsi="Times New Roman" w:cs="Times New Roman"/>
          <w:noProof/>
          <w:sz w:val="24"/>
          <w:szCs w:val="24"/>
        </w:rPr>
        <w:t xml:space="preserve"> Concerning corporate tax, the Commission is working on a general approach to tax avoidance.</w:t>
      </w:r>
    </w:p>
    <w:p w:rsidR="00B70A3C" w:rsidRDefault="00242C75">
      <w:pPr>
        <w:spacing w:after="120"/>
        <w:rPr>
          <w:rFonts w:ascii="Times New Roman" w:hAnsi="Times New Roman" w:cs="Times New Roman"/>
          <w:noProof/>
          <w:sz w:val="24"/>
          <w:szCs w:val="24"/>
        </w:rPr>
      </w:pPr>
      <w:r>
        <w:rPr>
          <w:rFonts w:ascii="Times New Roman" w:hAnsi="Times New Roman" w:cs="Times New Roman"/>
          <w:noProof/>
          <w:sz w:val="24"/>
          <w:szCs w:val="24"/>
        </w:rPr>
        <w:t>At the same time, the collaborative economy has created new opportunities to help tax authorities and taxpayers with their tax obligations. This is, in particular, thanks to the increased traceability allowed by the intermediation of online platforms. It is already an ongoing practice in some Member States to have agreements with platforms for the collection of taxes. For example, in the accommodation sector, platforms facilitate the payment of tourist taxes on behalf of service providers. There are also cases where tax authorities use the traceability allowed by online platforms to collect taxes from the individual providers.</w:t>
      </w:r>
    </w:p>
    <w:p w:rsidR="00B70A3C" w:rsidRDefault="00242C75">
      <w:pPr>
        <w:spacing w:after="240"/>
        <w:rPr>
          <w:rFonts w:ascii="Times New Roman" w:hAnsi="Times New Roman" w:cs="Times New Roman"/>
          <w:noProof/>
          <w:sz w:val="24"/>
          <w:szCs w:val="24"/>
        </w:rPr>
      </w:pPr>
      <w:r>
        <w:rPr>
          <w:rFonts w:ascii="Times New Roman" w:hAnsi="Times New Roman" w:cs="Times New Roman"/>
          <w:noProof/>
          <w:sz w:val="24"/>
          <w:szCs w:val="24"/>
        </w:rPr>
        <w:t>An example of good cooperation between tax authorities and collaborative businesses comes from Estonia. In cooperation with ride-sharing platforms, the aim is to simplify the tax declaration process for drivers. Transactions between the driver and the customer are registered by the collaborative platform, which then only sends the data that is relevant for taxation purposes to the authorities, who will then pre-fill taxpayer tax forms. The main idea is to help taxpayers fulfil their tax obligations effectively and with minimum effort.</w:t>
      </w:r>
    </w:p>
    <w:p w:rsidR="00B70A3C" w:rsidRDefault="00242C75">
      <w:pPr>
        <w:spacing w:after="120"/>
        <w:rPr>
          <w:rFonts w:ascii="Times New Roman" w:hAnsi="Times New Roman" w:cs="Times New Roman"/>
          <w:i/>
          <w:noProof/>
          <w:sz w:val="24"/>
          <w:szCs w:val="24"/>
        </w:rPr>
      </w:pPr>
      <w:r>
        <w:rPr>
          <w:rFonts w:ascii="Times New Roman" w:hAnsi="Times New Roman" w:cs="Times New Roman"/>
          <w:i/>
          <w:noProof/>
          <w:sz w:val="24"/>
          <w:szCs w:val="24"/>
        </w:rPr>
        <w:t>Reducing administrative burden</w:t>
      </w:r>
    </w:p>
    <w:p w:rsidR="00B70A3C" w:rsidRDefault="00242C75">
      <w:pPr>
        <w:spacing w:after="120"/>
        <w:rPr>
          <w:rFonts w:ascii="Times New Roman" w:hAnsi="Times New Roman" w:cs="Times New Roman"/>
          <w:noProof/>
          <w:sz w:val="24"/>
          <w:szCs w:val="24"/>
        </w:rPr>
      </w:pPr>
      <w:r>
        <w:rPr>
          <w:rFonts w:ascii="Times New Roman" w:hAnsi="Times New Roman" w:cs="Times New Roman"/>
          <w:noProof/>
          <w:sz w:val="24"/>
          <w:szCs w:val="24"/>
        </w:rPr>
        <w:t>Economic growth is best supported by measures that aim to reduce the administrative burden  on individuals and businesses without discriminating between business models. To this end, an efficient exchange of tax-related information amongst platforms, authorities and service providerscan help reducing costs. The creation of one-stop shops and the development of online feedback mechanisms can also create new possibilities for partnerships and compliance monitoring.</w:t>
      </w:r>
    </w:p>
    <w:p w:rsidR="00B70A3C" w:rsidRDefault="00242C75">
      <w:pPr>
        <w:spacing w:after="120"/>
        <w:rPr>
          <w:rFonts w:ascii="Times New Roman" w:hAnsi="Times New Roman" w:cs="Times New Roman"/>
          <w:noProof/>
          <w:sz w:val="24"/>
          <w:szCs w:val="24"/>
        </w:rPr>
      </w:pPr>
      <w:r>
        <w:rPr>
          <w:rFonts w:ascii="Times New Roman" w:hAnsi="Times New Roman" w:cs="Times New Roman"/>
          <w:noProof/>
          <w:sz w:val="24"/>
          <w:szCs w:val="24"/>
        </w:rPr>
        <w:t xml:space="preserve">However, different approaches by national tax authorities toward the treatment of platforms can </w:t>
      </w:r>
      <w:r>
        <w:rPr>
          <w:rFonts w:ascii="Times New Roman" w:hAnsi="Times New Roman"/>
          <w:noProof/>
          <w:sz w:val="24"/>
          <w:szCs w:val="24"/>
        </w:rPr>
        <w:t xml:space="preserve">increase the administrative burden on collaborative activities. These may include different views on the business scope of platforms with respect to the services they provide; the criteria used to link their activities to a tax jurisdiction, the employment relationship between services providers and platforms, as well as general compliance requirements and auditing procedures. </w:t>
      </w:r>
    </w:p>
    <w:p w:rsidR="00B70A3C" w:rsidRDefault="00242C75">
      <w:pPr>
        <w:spacing w:after="240"/>
        <w:rPr>
          <w:rFonts w:ascii="Times New Roman" w:hAnsi="Times New Roman" w:cs="Times New Roman"/>
          <w:noProof/>
          <w:sz w:val="24"/>
          <w:szCs w:val="24"/>
        </w:rPr>
      </w:pPr>
      <w:r>
        <w:rPr>
          <w:rFonts w:ascii="Times New Roman" w:hAnsi="Times New Roman" w:cs="Times New Roman"/>
          <w:noProof/>
          <w:sz w:val="24"/>
          <w:szCs w:val="24"/>
        </w:rPr>
        <w:t>The development of commonly agreed standards to tackle these issues in a coherent manner, taking into account the elements clarified in the previous sections of this Communication, as well as moving more administration online, could help in this respect.</w:t>
      </w:r>
    </w:p>
    <w:p w:rsidR="00B70A3C" w:rsidRDefault="00242C75">
      <w:pPr>
        <w:spacing w:after="120"/>
        <w:rPr>
          <w:rFonts w:ascii="Times New Roman" w:hAnsi="Times New Roman" w:cs="Times New Roman"/>
          <w:i/>
          <w:noProof/>
          <w:sz w:val="24"/>
          <w:szCs w:val="24"/>
        </w:rPr>
      </w:pPr>
      <w:r>
        <w:rPr>
          <w:rFonts w:ascii="Times New Roman" w:hAnsi="Times New Roman" w:cs="Times New Roman"/>
          <w:i/>
          <w:noProof/>
          <w:sz w:val="24"/>
          <w:szCs w:val="24"/>
        </w:rPr>
        <w:t>Value added tax</w:t>
      </w:r>
    </w:p>
    <w:p w:rsidR="00B70A3C" w:rsidRDefault="00242C75">
      <w:pPr>
        <w:spacing w:after="120"/>
        <w:rPr>
          <w:rFonts w:ascii="Times New Roman" w:hAnsi="Times New Roman" w:cs="Times New Roman"/>
          <w:noProof/>
          <w:sz w:val="24"/>
          <w:szCs w:val="24"/>
        </w:rPr>
      </w:pPr>
      <w:r>
        <w:rPr>
          <w:rFonts w:ascii="Times New Roman" w:hAnsi="Times New Roman" w:cs="Times New Roman"/>
          <w:noProof/>
          <w:sz w:val="24"/>
          <w:szCs w:val="24"/>
        </w:rPr>
        <w:t xml:space="preserve">Supplies of goods and services provided by collaborative platforms and through the platforms by their users are in principle VAT taxable transactions. </w:t>
      </w:r>
      <w:r>
        <w:rPr>
          <w:rFonts w:ascii="Times New Roman" w:hAnsi="Times New Roman" w:cs="Times New Roman"/>
          <w:noProof/>
          <w:sz w:val="24"/>
          <w:szCs w:val="24"/>
          <w:lang w:val="en"/>
        </w:rPr>
        <w:t>Problems may arise in respect of the qualification of participants as taxable persons, particularly regarding the assessment of economic activities carried on, or the existence of a direct link between the supplies and the remuneration in kind (for instance</w:t>
      </w:r>
      <w:r>
        <w:rPr>
          <w:rFonts w:ascii="Times New Roman" w:hAnsi="Times New Roman" w:cs="Times New Roman"/>
          <w:noProof/>
          <w:sz w:val="24"/>
          <w:szCs w:val="24"/>
        </w:rPr>
        <w:t xml:space="preserve"> in case of ‘bank’ type arrangements where participants contribute goods or services to a common pool in exchange for the right to benefit from that pool). </w:t>
      </w:r>
    </w:p>
    <w:p w:rsidR="00B70A3C" w:rsidRDefault="00242C75">
      <w:pPr>
        <w:spacing w:after="240"/>
        <w:rPr>
          <w:rFonts w:ascii="Times New Roman" w:hAnsi="Times New Roman" w:cs="Times New Roman"/>
          <w:noProof/>
          <w:sz w:val="24"/>
          <w:szCs w:val="24"/>
        </w:rPr>
      </w:pPr>
      <w:r>
        <w:rPr>
          <w:rFonts w:ascii="Times New Roman" w:hAnsi="Times New Roman" w:cs="Times New Roman"/>
          <w:noProof/>
          <w:sz w:val="24"/>
          <w:szCs w:val="24"/>
        </w:rPr>
        <w:lastRenderedPageBreak/>
        <w:t>The Commission is preparing several initiatives to enhance the capacity of tax administrations within the framework of the Action Plan on VAT.</w:t>
      </w:r>
      <w:r>
        <w:rPr>
          <w:rStyle w:val="FootnoteReference"/>
          <w:rFonts w:ascii="Times New Roman" w:hAnsi="Times New Roman" w:cs="Times New Roman"/>
          <w:noProof/>
          <w:sz w:val="24"/>
          <w:szCs w:val="24"/>
        </w:rPr>
        <w:footnoteReference w:id="56"/>
      </w:r>
      <w:r>
        <w:rPr>
          <w:rFonts w:ascii="Times New Roman" w:hAnsi="Times New Roman" w:cs="Times New Roman"/>
          <w:noProof/>
          <w:sz w:val="24"/>
          <w:szCs w:val="24"/>
        </w:rPr>
        <w:t xml:space="preserve"> This includes extending to the supply of goods the VAT one-stop shop for electronic services, starting a pilot project to improve cooperation between tax administrations, and publishing a guide for cooperation between tax authorities and businesses in e-commerce.</w:t>
      </w:r>
    </w:p>
    <w:tbl>
      <w:tblPr>
        <w:tblStyle w:val="TableGrid"/>
        <w:tblW w:w="0" w:type="auto"/>
        <w:tblLook w:val="04A0" w:firstRow="1" w:lastRow="0" w:firstColumn="1" w:lastColumn="0" w:noHBand="0" w:noVBand="1"/>
      </w:tblPr>
      <w:tblGrid>
        <w:gridCol w:w="9288"/>
      </w:tblGrid>
      <w:tr w:rsidR="00B70A3C">
        <w:tc>
          <w:tcPr>
            <w:tcW w:w="9288" w:type="dxa"/>
          </w:tcPr>
          <w:p w:rsidR="00B70A3C" w:rsidRDefault="00242C75">
            <w:pPr>
              <w:spacing w:after="120"/>
              <w:rPr>
                <w:rFonts w:ascii="Times New Roman" w:hAnsi="Times New Roman" w:cs="Times New Roman"/>
                <w:i/>
                <w:noProof/>
                <w:sz w:val="24"/>
                <w:szCs w:val="24"/>
              </w:rPr>
            </w:pPr>
            <w:r>
              <w:rPr>
                <w:rFonts w:ascii="Times New Roman" w:hAnsi="Times New Roman" w:cs="Times New Roman"/>
                <w:i/>
                <w:noProof/>
                <w:sz w:val="24"/>
                <w:szCs w:val="24"/>
              </w:rPr>
              <w:t>Member States are encouraged to facilitate and improve tax collection by using the possibilities provided by collaborative platforms, as these already record economic activity.</w:t>
            </w:r>
          </w:p>
          <w:p w:rsidR="00B70A3C" w:rsidRDefault="00242C75">
            <w:pPr>
              <w:spacing w:after="120"/>
              <w:rPr>
                <w:rFonts w:ascii="Times New Roman" w:hAnsi="Times New Roman" w:cs="Times New Roman"/>
                <w:i/>
                <w:noProof/>
                <w:sz w:val="24"/>
                <w:szCs w:val="24"/>
              </w:rPr>
            </w:pPr>
            <w:r>
              <w:rPr>
                <w:rFonts w:ascii="Times New Roman" w:hAnsi="Times New Roman" w:cs="Times New Roman"/>
                <w:i/>
                <w:noProof/>
                <w:sz w:val="24"/>
                <w:szCs w:val="24"/>
              </w:rPr>
              <w:t>Collaborative platforms should take a proactive stance in cooperating with national tax authorities to establish the parameters for an exchange of information about tax obligations, while ensuring compliance with legislation on the protection of personal data and without prejudice to the intermediary liability regime of the e-Commerce Directive.</w:t>
            </w:r>
          </w:p>
          <w:p w:rsidR="00B70A3C" w:rsidRDefault="00242C75">
            <w:pPr>
              <w:spacing w:after="120"/>
              <w:rPr>
                <w:rFonts w:ascii="Times New Roman" w:hAnsi="Times New Roman" w:cs="Times New Roman"/>
                <w:i/>
                <w:noProof/>
                <w:sz w:val="24"/>
                <w:szCs w:val="24"/>
              </w:rPr>
            </w:pPr>
            <w:r>
              <w:rPr>
                <w:rFonts w:ascii="Times New Roman" w:hAnsi="Times New Roman" w:cs="Times New Roman"/>
                <w:i/>
                <w:noProof/>
                <w:sz w:val="24"/>
                <w:szCs w:val="24"/>
              </w:rPr>
              <w:t>Member States are invited to assess their tax rules to create a level playing field for businesses providing the same services. Member States should also continue their simplification efforts, increasing transparency and issuing online guidance on the application of tax rules to collaborative business models.</w:t>
            </w:r>
          </w:p>
        </w:tc>
      </w:tr>
    </w:tbl>
    <w:p w:rsidR="00B70A3C" w:rsidRDefault="00242C75">
      <w:pPr>
        <w:pStyle w:val="Heading3"/>
        <w:tabs>
          <w:tab w:val="clear" w:pos="850"/>
        </w:tabs>
        <w:spacing w:after="120"/>
        <w:rPr>
          <w:b/>
          <w:i/>
          <w:noProof/>
          <w:lang w:val="en-GB"/>
        </w:rPr>
      </w:pPr>
      <w:r>
        <w:rPr>
          <w:b/>
          <w:i/>
          <w:noProof/>
          <w:lang w:val="en-GB"/>
        </w:rPr>
        <w:t>3. Monitoring</w:t>
      </w:r>
    </w:p>
    <w:p w:rsidR="00B70A3C" w:rsidRDefault="00242C75">
      <w:pPr>
        <w:spacing w:after="120"/>
        <w:rPr>
          <w:rFonts w:ascii="Times New Roman" w:hAnsi="Times New Roman" w:cs="Times New Roman"/>
          <w:noProof/>
          <w:sz w:val="24"/>
          <w:szCs w:val="24"/>
          <w:lang w:eastAsia="de-DE"/>
        </w:rPr>
      </w:pPr>
      <w:r>
        <w:rPr>
          <w:rFonts w:ascii="Times New Roman" w:hAnsi="Times New Roman" w:cs="Times New Roman"/>
          <w:noProof/>
          <w:sz w:val="24"/>
          <w:szCs w:val="24"/>
          <w:lang w:eastAsia="de-DE"/>
        </w:rPr>
        <w:t xml:space="preserve">The collaborative economy spans across several sectors in a rapidly changing landscape. Given this dynamic and evolving nature, the Commission intends to establish a monitoring framework covering both the evolving regulatory environment and economic and business developments. The monitoring will aim to follow </w:t>
      </w:r>
      <w:r>
        <w:rPr>
          <w:rFonts w:ascii="Times New Roman" w:hAnsi="Times New Roman" w:cs="Times New Roman"/>
          <w:noProof/>
          <w:sz w:val="24"/>
          <w:szCs w:val="24"/>
        </w:rPr>
        <w:t xml:space="preserve">trends on prices and quality of services, and identify possible obstacles and problems encountered, </w:t>
      </w:r>
      <w:r>
        <w:rPr>
          <w:rFonts w:ascii="Times New Roman" w:hAnsi="Times New Roman" w:cs="Times New Roman"/>
          <w:noProof/>
          <w:sz w:val="24"/>
          <w:szCs w:val="24"/>
          <w:lang w:eastAsia="de-DE"/>
        </w:rPr>
        <w:t>in particular when they arise from divergent national regulations or regulatory gaps.</w:t>
      </w:r>
    </w:p>
    <w:p w:rsidR="00B70A3C" w:rsidRDefault="00242C75">
      <w:pPr>
        <w:spacing w:after="120"/>
        <w:rPr>
          <w:rFonts w:ascii="Times New Roman" w:hAnsi="Times New Roman" w:cs="Times New Roman"/>
          <w:noProof/>
          <w:sz w:val="24"/>
          <w:szCs w:val="24"/>
          <w:lang w:eastAsia="de-DE"/>
        </w:rPr>
      </w:pPr>
      <w:r>
        <w:rPr>
          <w:rFonts w:ascii="Times New Roman" w:hAnsi="Times New Roman" w:cs="Times New Roman"/>
          <w:noProof/>
          <w:sz w:val="24"/>
          <w:szCs w:val="24"/>
          <w:lang w:eastAsia="de-DE"/>
        </w:rPr>
        <w:t>The monitoring tools will include:</w:t>
      </w:r>
    </w:p>
    <w:p w:rsidR="00B70A3C" w:rsidRDefault="00242C75">
      <w:pPr>
        <w:pStyle w:val="ListParagraph"/>
        <w:numPr>
          <w:ilvl w:val="0"/>
          <w:numId w:val="26"/>
        </w:numPr>
        <w:spacing w:before="120" w:after="240"/>
        <w:rPr>
          <w:rFonts w:ascii="Times New Roman" w:hAnsi="Times New Roman" w:cs="Times New Roman"/>
          <w:noProof/>
          <w:sz w:val="24"/>
          <w:szCs w:val="24"/>
        </w:rPr>
      </w:pPr>
      <w:r>
        <w:rPr>
          <w:rFonts w:ascii="Times New Roman" w:hAnsi="Times New Roman" w:cs="Times New Roman"/>
          <w:noProof/>
          <w:sz w:val="24"/>
          <w:szCs w:val="24"/>
        </w:rPr>
        <w:t>Periodic surveys of consumers and businesses on the use of the collaborative economy</w:t>
      </w:r>
      <w:r>
        <w:rPr>
          <w:rFonts w:ascii="Times New Roman" w:hAnsi="Times New Roman" w:cs="Times New Roman"/>
          <w:noProof/>
          <w:sz w:val="24"/>
          <w:szCs w:val="24"/>
          <w:lang w:eastAsia="de-DE"/>
        </w:rPr>
        <w:t>.</w:t>
      </w:r>
      <w:r>
        <w:rPr>
          <w:rStyle w:val="FootnoteReference"/>
          <w:rFonts w:ascii="Times New Roman" w:hAnsi="Times New Roman" w:cs="Times New Roman"/>
          <w:noProof/>
          <w:sz w:val="24"/>
          <w:szCs w:val="24"/>
          <w:lang w:eastAsia="de-DE"/>
        </w:rPr>
        <w:footnoteReference w:id="57"/>
      </w:r>
    </w:p>
    <w:p w:rsidR="00B70A3C" w:rsidRDefault="00242C75">
      <w:pPr>
        <w:pStyle w:val="ListParagraph"/>
        <w:numPr>
          <w:ilvl w:val="0"/>
          <w:numId w:val="26"/>
        </w:numPr>
        <w:spacing w:before="120" w:after="240"/>
        <w:rPr>
          <w:rFonts w:ascii="Times New Roman" w:hAnsi="Times New Roman" w:cs="Times New Roman"/>
          <w:noProof/>
          <w:sz w:val="24"/>
          <w:szCs w:val="24"/>
        </w:rPr>
      </w:pPr>
      <w:r>
        <w:rPr>
          <w:rFonts w:ascii="Times New Roman" w:hAnsi="Times New Roman" w:cs="Times New Roman"/>
          <w:noProof/>
          <w:sz w:val="24"/>
          <w:szCs w:val="24"/>
        </w:rPr>
        <w:t>Ongoing mapping of regulatory developments in Member States.</w:t>
      </w:r>
    </w:p>
    <w:p w:rsidR="00B70A3C" w:rsidRDefault="00242C75">
      <w:pPr>
        <w:pStyle w:val="ListParagraph"/>
        <w:numPr>
          <w:ilvl w:val="0"/>
          <w:numId w:val="26"/>
        </w:numPr>
        <w:spacing w:before="120" w:after="120"/>
        <w:rPr>
          <w:rFonts w:ascii="Times New Roman" w:hAnsi="Times New Roman" w:cs="Times New Roman"/>
          <w:noProof/>
          <w:sz w:val="24"/>
          <w:szCs w:val="24"/>
        </w:rPr>
      </w:pPr>
      <w:r>
        <w:rPr>
          <w:rFonts w:ascii="Times New Roman" w:hAnsi="Times New Roman" w:cs="Times New Roman"/>
          <w:noProof/>
          <w:sz w:val="24"/>
          <w:szCs w:val="24"/>
        </w:rPr>
        <w:t>Stakeholder dialogue in the framework of the Single Market Forum, with  twice yearly forums  to assess sector development on the ground and to identify good practices.</w:t>
      </w:r>
    </w:p>
    <w:p w:rsidR="00B70A3C" w:rsidRDefault="00242C75">
      <w:pPr>
        <w:pStyle w:val="ListParagraph"/>
        <w:numPr>
          <w:ilvl w:val="0"/>
          <w:numId w:val="26"/>
        </w:numPr>
        <w:spacing w:before="120" w:after="120"/>
        <w:rPr>
          <w:rFonts w:ascii="Times New Roman" w:hAnsi="Times New Roman" w:cs="Times New Roman"/>
          <w:noProof/>
          <w:sz w:val="24"/>
          <w:szCs w:val="24"/>
        </w:rPr>
      </w:pPr>
      <w:r>
        <w:rPr>
          <w:rFonts w:ascii="Times New Roman" w:hAnsi="Times New Roman" w:cs="Times New Roman"/>
          <w:noProof/>
          <w:sz w:val="24"/>
          <w:szCs w:val="24"/>
        </w:rPr>
        <w:t>The results of the monitoring of the collaborative economy will be summarised in the Single Market Scoreboard.</w:t>
      </w:r>
    </w:p>
    <w:p w:rsidR="00B70A3C" w:rsidRDefault="00242C75">
      <w:pPr>
        <w:spacing w:after="120"/>
        <w:rPr>
          <w:rFonts w:ascii="Times New Roman" w:hAnsi="Times New Roman" w:cs="Times New Roman"/>
          <w:noProof/>
          <w:sz w:val="24"/>
          <w:szCs w:val="24"/>
          <w:lang w:eastAsia="de-DE"/>
        </w:rPr>
      </w:pPr>
      <w:r>
        <w:rPr>
          <w:rFonts w:ascii="Times New Roman" w:hAnsi="Times New Roman" w:cs="Times New Roman"/>
          <w:noProof/>
          <w:sz w:val="24"/>
          <w:szCs w:val="24"/>
          <w:lang w:eastAsia="de-DE"/>
        </w:rPr>
        <w:t>The monitoring activity</w:t>
      </w:r>
      <w:r>
        <w:rPr>
          <w:rStyle w:val="FootnoteReference"/>
          <w:rFonts w:ascii="Times New Roman" w:hAnsi="Times New Roman" w:cs="Times New Roman"/>
          <w:noProof/>
          <w:sz w:val="24"/>
          <w:szCs w:val="24"/>
          <w:lang w:eastAsia="de-DE"/>
        </w:rPr>
        <w:footnoteReference w:id="58"/>
      </w:r>
      <w:r>
        <w:rPr>
          <w:rFonts w:ascii="Times New Roman" w:hAnsi="Times New Roman" w:cs="Times New Roman"/>
          <w:noProof/>
          <w:sz w:val="24"/>
          <w:szCs w:val="24"/>
          <w:lang w:eastAsia="de-DE"/>
        </w:rPr>
        <w:t xml:space="preserve"> will also contribute to the Commission’s  ongoing work</w:t>
      </w:r>
      <w:r>
        <w:rPr>
          <w:rStyle w:val="FootnoteReference"/>
          <w:rFonts w:ascii="Times New Roman" w:hAnsi="Times New Roman" w:cs="Times New Roman"/>
          <w:noProof/>
          <w:sz w:val="24"/>
          <w:szCs w:val="24"/>
          <w:lang w:eastAsia="de-DE"/>
        </w:rPr>
        <w:footnoteReference w:id="59"/>
      </w:r>
      <w:r>
        <w:rPr>
          <w:rFonts w:ascii="Times New Roman" w:hAnsi="Times New Roman" w:cs="Times New Roman"/>
          <w:noProof/>
          <w:sz w:val="24"/>
          <w:szCs w:val="24"/>
          <w:lang w:eastAsia="de-DE"/>
        </w:rPr>
        <w:t xml:space="preserve"> on the single market in view of facilitating innovation and entrepreneurship. Given the dynamic character of collaborative economy business models and the rapid development of data-driven digital technologies, further policy issues may emerge from ongoing or new data collection and research, and may need to be addressed.</w:t>
      </w:r>
      <w:r>
        <w:rPr>
          <w:rFonts w:ascii="Times New Roman" w:hAnsi="Times New Roman" w:cs="Times New Roman"/>
          <w:i/>
          <w:noProof/>
          <w:sz w:val="24"/>
          <w:szCs w:val="24"/>
          <w:lang w:eastAsia="de-DE"/>
        </w:rPr>
        <w:t xml:space="preserve"> </w:t>
      </w:r>
      <w:r>
        <w:rPr>
          <w:rFonts w:ascii="Times New Roman" w:hAnsi="Times New Roman" w:cs="Times New Roman"/>
          <w:noProof/>
          <w:sz w:val="24"/>
          <w:szCs w:val="24"/>
          <w:lang w:eastAsia="de-DE"/>
        </w:rPr>
        <w:t>Collaborative platforms should cooperate closely with the authorities, including the Commission, to facilitate access to data and statistical information in compliance with data protection law.</w:t>
      </w:r>
    </w:p>
    <w:p w:rsidR="00B70A3C" w:rsidRDefault="00242C75">
      <w:pPr>
        <w:spacing w:after="120"/>
        <w:rPr>
          <w:rFonts w:ascii="Times New Roman" w:hAnsi="Times New Roman" w:cs="Times New Roman"/>
          <w:noProof/>
          <w:sz w:val="24"/>
          <w:szCs w:val="24"/>
          <w:lang w:eastAsia="de-DE"/>
        </w:rPr>
      </w:pPr>
      <w:r>
        <w:rPr>
          <w:rFonts w:ascii="Times New Roman" w:hAnsi="Times New Roman" w:cs="Times New Roman"/>
          <w:noProof/>
          <w:sz w:val="24"/>
          <w:szCs w:val="24"/>
          <w:lang w:eastAsia="de-DE"/>
        </w:rPr>
        <w:lastRenderedPageBreak/>
        <w:t>The monitoring activity and its tools are, in any case, without prejudice to Commission's enforcement of existing EU legislation which will continue in line with the principles expressed in this Communication.</w:t>
      </w:r>
    </w:p>
    <w:p w:rsidR="00B70A3C" w:rsidRDefault="00242C75">
      <w:pPr>
        <w:pStyle w:val="Heading3"/>
        <w:tabs>
          <w:tab w:val="clear" w:pos="850"/>
        </w:tabs>
        <w:spacing w:after="120"/>
        <w:rPr>
          <w:b/>
          <w:i/>
          <w:noProof/>
          <w:lang w:val="en-GB"/>
        </w:rPr>
      </w:pPr>
      <w:r>
        <w:rPr>
          <w:b/>
          <w:i/>
          <w:noProof/>
          <w:lang w:val="en-GB"/>
        </w:rPr>
        <w:t>4. Conclusion</w:t>
      </w:r>
    </w:p>
    <w:p w:rsidR="00B70A3C" w:rsidRDefault="00242C75">
      <w:pPr>
        <w:spacing w:after="120"/>
        <w:rPr>
          <w:rFonts w:ascii="Times New Roman" w:hAnsi="Times New Roman" w:cs="Times New Roman"/>
          <w:noProof/>
          <w:sz w:val="24"/>
          <w:szCs w:val="24"/>
          <w:lang w:eastAsia="de-DE"/>
        </w:rPr>
      </w:pPr>
      <w:r>
        <w:rPr>
          <w:rFonts w:ascii="Times New Roman" w:hAnsi="Times New Roman" w:cs="Times New Roman"/>
          <w:noProof/>
          <w:sz w:val="24"/>
          <w:szCs w:val="24"/>
          <w:lang w:eastAsia="de-DE"/>
        </w:rPr>
        <w:t>In view of the significant benefits that new collaborative economy business models can bring, Europe should be open to embracing these new opportunities. The EU should proactively support the innovation, competitiveness and growth opportunities offered by modernisation of the economy. At the same time, it is important to ensure fair working conditions and adequate and sustainable consumer and social protection. For this to happen, citizens and businesses should be aware of the rules and obligations applying to them, as clarified in this Communication. Member States are encouraged to clarify their national situation in a similar way. The Commission stands ready to work with Member States and relevant authorities to support them in this process.</w:t>
      </w:r>
    </w:p>
    <w:p w:rsidR="00B70A3C" w:rsidRDefault="00242C75">
      <w:pPr>
        <w:spacing w:after="120"/>
        <w:rPr>
          <w:rFonts w:ascii="Times New Roman" w:hAnsi="Times New Roman" w:cs="Times New Roman"/>
          <w:noProof/>
          <w:sz w:val="24"/>
          <w:szCs w:val="24"/>
          <w:lang w:eastAsia="de-DE"/>
        </w:rPr>
      </w:pPr>
      <w:r>
        <w:rPr>
          <w:rFonts w:ascii="Times New Roman" w:hAnsi="Times New Roman" w:cs="Times New Roman"/>
          <w:noProof/>
          <w:sz w:val="24"/>
          <w:szCs w:val="24"/>
          <w:lang w:eastAsia="de-DE"/>
        </w:rPr>
        <w:t>The guidance provided in this Communication aims at supporting consumers, businesses and public authorities to engage confidently in the collaborative economy. It will also support Member States to consistently apply EU law across the single market. The Commission will continuously review developments in the European collaborative economy, collect statistical data and evidence and work with Member States and stakeholders also to exchange best practices. The Commission looks forward to engaging in a dialogue with the European Parliament, the Council and Member States to ensure the best possible environment for citizens and businesses in the collaborative economy.</w:t>
      </w:r>
    </w:p>
    <w:p w:rsidR="00B70A3C" w:rsidRDefault="00B70A3C">
      <w:pPr>
        <w:spacing w:after="120"/>
        <w:rPr>
          <w:rFonts w:ascii="Times New Roman" w:hAnsi="Times New Roman" w:cs="Times New Roman"/>
          <w:noProof/>
          <w:sz w:val="24"/>
          <w:szCs w:val="24"/>
          <w:lang w:eastAsia="de-DE"/>
        </w:rPr>
      </w:pPr>
    </w:p>
    <w:sectPr w:rsidR="00B70A3C">
      <w:headerReference w:type="even" r:id="rId16"/>
      <w:headerReference w:type="default" r:id="rId17"/>
      <w:footerReference w:type="even" r:id="rId18"/>
      <w:footerReference w:type="default" r:id="rId19"/>
      <w:headerReference w:type="first" r:id="rId20"/>
      <w:footerReference w:type="first" r:id="rId21"/>
      <w:pgSz w:w="11906" w:h="16838"/>
      <w:pgMar w:top="1276" w:right="1417" w:bottom="1417" w:left="1417" w:header="708" w:footer="573"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0A3C" w:rsidRDefault="00242C75">
      <w:r>
        <w:separator/>
      </w:r>
    </w:p>
  </w:endnote>
  <w:endnote w:type="continuationSeparator" w:id="0">
    <w:p w:rsidR="00B70A3C" w:rsidRDefault="00242C75">
      <w:r>
        <w:continuationSeparator/>
      </w:r>
    </w:p>
  </w:endnote>
  <w:endnote w:type="continuationNotice" w:id="1">
    <w:p w:rsidR="00B70A3C" w:rsidRDefault="00B70A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yriad Pro">
    <w:altName w:val="Times New Roman"/>
    <w:charset w:val="00"/>
    <w:family w:val="auto"/>
    <w:pitch w:val="default"/>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C75" w:rsidRPr="00242C75" w:rsidRDefault="00242C75" w:rsidP="00242C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C75" w:rsidRPr="00242C75" w:rsidRDefault="00242C75" w:rsidP="00242C75">
    <w:pPr>
      <w:pStyle w:val="FooterCoverPage"/>
      <w:rPr>
        <w:rFonts w:ascii="Arial" w:hAnsi="Arial" w:cs="Arial"/>
        <w:b/>
        <w:sz w:val="48"/>
      </w:rPr>
    </w:pPr>
    <w:r w:rsidRPr="00242C75">
      <w:rPr>
        <w:rFonts w:ascii="Arial" w:hAnsi="Arial" w:cs="Arial"/>
        <w:b/>
        <w:sz w:val="48"/>
      </w:rPr>
      <w:t>EN</w:t>
    </w:r>
    <w:r w:rsidRPr="00242C75">
      <w:rPr>
        <w:rFonts w:ascii="Arial" w:hAnsi="Arial" w:cs="Arial"/>
        <w:b/>
        <w:sz w:val="48"/>
      </w:rPr>
      <w:tab/>
    </w:r>
    <w:r w:rsidRPr="00242C75">
      <w:rPr>
        <w:rFonts w:ascii="Arial" w:hAnsi="Arial" w:cs="Arial"/>
        <w:b/>
        <w:sz w:val="48"/>
      </w:rPr>
      <w:tab/>
    </w:r>
    <w:r w:rsidR="00C52BE2">
      <w:fldChar w:fldCharType="begin"/>
    </w:r>
    <w:r w:rsidR="00C52BE2">
      <w:instrText xml:space="preserve"> DOCVARIABLE "LW_Confidence" \* MERGEFORMAT </w:instrText>
    </w:r>
    <w:r w:rsidR="00C52BE2">
      <w:fldChar w:fldCharType="separate"/>
    </w:r>
    <w:r w:rsidR="00C52BE2">
      <w:t xml:space="preserve"> </w:t>
    </w:r>
    <w:r w:rsidR="00C52BE2">
      <w:fldChar w:fldCharType="end"/>
    </w:r>
    <w:r w:rsidRPr="00242C75">
      <w:tab/>
    </w:r>
    <w:proofErr w:type="spellStart"/>
    <w:r w:rsidRPr="00242C75">
      <w:rPr>
        <w:rFonts w:ascii="Arial" w:hAnsi="Arial" w:cs="Arial"/>
        <w:b/>
        <w:sz w:val="48"/>
      </w:rPr>
      <w:t>EN</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C75" w:rsidRPr="00242C75" w:rsidRDefault="00242C75" w:rsidP="00242C75">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A3C" w:rsidRDefault="00B70A3C">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2004523"/>
      <w:docPartObj>
        <w:docPartGallery w:val="Page Numbers (Bottom of Page)"/>
        <w:docPartUnique/>
      </w:docPartObj>
    </w:sdtPr>
    <w:sdtEndPr/>
    <w:sdtContent>
      <w:p w:rsidR="00B70A3C" w:rsidRDefault="00242C75">
        <w:pPr>
          <w:pStyle w:val="Footer"/>
          <w:jc w:val="center"/>
        </w:pPr>
        <w:r>
          <w:fldChar w:fldCharType="begin"/>
        </w:r>
        <w:r>
          <w:instrText xml:space="preserve"> PAGE   \* MERGEFORMAT </w:instrText>
        </w:r>
        <w:r>
          <w:fldChar w:fldCharType="separate"/>
        </w:r>
        <w:r w:rsidR="00C52BE2">
          <w:rPr>
            <w:noProof/>
          </w:rPr>
          <w:t>16</w:t>
        </w:r>
        <w:r>
          <w:fldChar w:fldCharType="end"/>
        </w:r>
      </w:p>
    </w:sdtContent>
  </w:sdt>
  <w:p w:rsidR="00B70A3C" w:rsidRDefault="00B70A3C">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A3C" w:rsidRDefault="00B70A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0A3C" w:rsidRDefault="00242C75">
      <w:r>
        <w:separator/>
      </w:r>
    </w:p>
  </w:footnote>
  <w:footnote w:type="continuationSeparator" w:id="0">
    <w:p w:rsidR="00B70A3C" w:rsidRDefault="00242C75">
      <w:r>
        <w:continuationSeparator/>
      </w:r>
    </w:p>
  </w:footnote>
  <w:footnote w:type="continuationNotice" w:id="1">
    <w:p w:rsidR="00B70A3C" w:rsidRDefault="00B70A3C"/>
  </w:footnote>
  <w:footnote w:id="2">
    <w:p w:rsidR="00B70A3C" w:rsidRDefault="00242C75">
      <w:pPr>
        <w:pStyle w:val="FootnoteText"/>
        <w:spacing w:after="0"/>
        <w:rPr>
          <w:rFonts w:ascii="Times New Roman" w:hAnsi="Times New Roman" w:cs="Times New Roman"/>
          <w:sz w:val="18"/>
          <w:szCs w:val="18"/>
        </w:rPr>
      </w:pPr>
      <w:r>
        <w:rPr>
          <w:rStyle w:val="FootnoteReference"/>
        </w:rPr>
        <w:footnoteRef/>
      </w:r>
      <w:r>
        <w:t xml:space="preserve"> </w:t>
      </w:r>
      <w:r>
        <w:rPr>
          <w:rFonts w:ascii="Times New Roman" w:hAnsi="Times New Roman" w:cs="Times New Roman"/>
          <w:sz w:val="18"/>
          <w:szCs w:val="18"/>
        </w:rPr>
        <w:tab/>
        <w:t>It is estimated that collaborative platforms operating in five key sectors</w:t>
      </w:r>
      <w:r>
        <w:t xml:space="preserve"> </w:t>
      </w:r>
      <w:r>
        <w:rPr>
          <w:rFonts w:ascii="Times New Roman" w:hAnsi="Times New Roman" w:cs="Times New Roman"/>
          <w:sz w:val="18"/>
          <w:szCs w:val="18"/>
        </w:rPr>
        <w:t>of the collaborative economy generated revenues of EUR 3.6 </w:t>
      </w:r>
      <w:proofErr w:type="spellStart"/>
      <w:r>
        <w:rPr>
          <w:rFonts w:ascii="Times New Roman" w:hAnsi="Times New Roman" w:cs="Times New Roman"/>
          <w:sz w:val="18"/>
          <w:szCs w:val="18"/>
        </w:rPr>
        <w:t>bn</w:t>
      </w:r>
      <w:proofErr w:type="spellEnd"/>
      <w:r>
        <w:rPr>
          <w:rFonts w:ascii="Times New Roman" w:hAnsi="Times New Roman" w:cs="Times New Roman"/>
          <w:sz w:val="18"/>
          <w:szCs w:val="18"/>
        </w:rPr>
        <w:t xml:space="preserve"> in 2015 in the EU: accommodation (short-term letting); passenger transport; household services; professional and technical services, and collaborative finance. All figures are based on estimates of PwC Consulting as part of a study contracted by the European Commission.</w:t>
      </w:r>
    </w:p>
  </w:footnote>
  <w:footnote w:id="3">
    <w:p w:rsidR="00B70A3C" w:rsidRDefault="00242C75">
      <w:pPr>
        <w:pStyle w:val="FootnoteText"/>
        <w:spacing w:after="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s="Times New Roman"/>
          <w:sz w:val="18"/>
          <w:szCs w:val="18"/>
        </w:rPr>
        <w:tab/>
        <w:t>EPRS: The cost of non-Europe in the Sharing Economy. January 2016.</w:t>
      </w:r>
    </w:p>
  </w:footnote>
  <w:footnote w:id="4">
    <w:p w:rsidR="00B70A3C" w:rsidRDefault="00242C75">
      <w:pPr>
        <w:pStyle w:val="FootnoteText"/>
        <w:spacing w:after="0"/>
        <w:rPr>
          <w:rFonts w:ascii="Times New Roman" w:hAnsi="Times New Roman" w:cs="Times New Roman"/>
          <w:sz w:val="18"/>
          <w:szCs w:val="18"/>
        </w:rPr>
      </w:pPr>
      <w:r>
        <w:rPr>
          <w:rStyle w:val="FootnoteReference"/>
        </w:rPr>
        <w:footnoteRef/>
      </w:r>
      <w:r>
        <w:t xml:space="preserve"> </w:t>
      </w:r>
      <w:r>
        <w:tab/>
      </w:r>
      <w:r>
        <w:rPr>
          <w:rFonts w:ascii="Times New Roman" w:hAnsi="Times New Roman" w:cs="Times New Roman"/>
          <w:sz w:val="18"/>
          <w:szCs w:val="18"/>
        </w:rPr>
        <w:t>A Eurobarometer opinion poll found that 52 % of EU citizens are aware of the services offered by the collaborative economy and 17 % have used such services at least once. A presentation of the results of the Eurobarometer poll and the public consultation carried out from September 2015 to January 2016 can be found in the accompanying Staff Working Document.</w:t>
      </w:r>
    </w:p>
  </w:footnote>
  <w:footnote w:id="5">
    <w:p w:rsidR="00B70A3C" w:rsidRDefault="00242C75">
      <w:pPr>
        <w:pStyle w:val="FootnoteText"/>
        <w:spacing w:after="0"/>
        <w:ind w:left="426" w:hanging="426"/>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s="Times New Roman"/>
          <w:sz w:val="18"/>
          <w:szCs w:val="18"/>
        </w:rPr>
        <w:tab/>
        <w:t>Issues related to crowdfunding activities (addressed by the Commission’s Communication COM/2014/0172)</w:t>
      </w:r>
      <w:r>
        <w:rPr>
          <w:rFonts w:ascii="Times New Roman" w:hAnsi="Times New Roman" w:cs="Times New Roman"/>
          <w:sz w:val="18"/>
          <w:szCs w:val="18"/>
          <w:vertAlign w:val="superscript"/>
        </w:rPr>
        <w:t xml:space="preserve"> </w:t>
      </w:r>
      <w:r>
        <w:rPr>
          <w:rFonts w:ascii="Times New Roman" w:hAnsi="Times New Roman" w:cs="Times New Roman"/>
          <w:sz w:val="18"/>
          <w:szCs w:val="18"/>
        </w:rPr>
        <w:t>and services provided by learning platforms are not covered by this Communication.</w:t>
      </w:r>
    </w:p>
  </w:footnote>
  <w:footnote w:id="6">
    <w:p w:rsidR="00B70A3C" w:rsidRDefault="00242C75">
      <w:pPr>
        <w:pStyle w:val="FootnoteText"/>
        <w:spacing w:after="0"/>
        <w:rPr>
          <w:rFonts w:ascii="Times New Roman" w:hAnsi="Times New Roman"/>
          <w:sz w:val="18"/>
          <w:szCs w:val="18"/>
        </w:rPr>
      </w:pPr>
      <w:r>
        <w:rPr>
          <w:rStyle w:val="FootnoteReference"/>
          <w:rFonts w:ascii="Times New Roman" w:hAnsi="Times New Roman"/>
          <w:sz w:val="18"/>
          <w:szCs w:val="18"/>
        </w:rPr>
        <w:footnoteRef/>
      </w:r>
      <w:r>
        <w:rPr>
          <w:rFonts w:ascii="Times New Roman" w:hAnsi="Times New Roman"/>
          <w:sz w:val="18"/>
          <w:szCs w:val="18"/>
        </w:rPr>
        <w:t xml:space="preserve"> </w:t>
      </w:r>
      <w:r>
        <w:rPr>
          <w:rFonts w:ascii="Times New Roman" w:hAnsi="Times New Roman"/>
          <w:sz w:val="18"/>
          <w:szCs w:val="18"/>
        </w:rPr>
        <w:tab/>
      </w:r>
      <w:r>
        <w:rPr>
          <w:rFonts w:ascii="Times New Roman" w:hAnsi="Times New Roman" w:cs="Times New Roman"/>
          <w:sz w:val="18"/>
          <w:szCs w:val="18"/>
        </w:rPr>
        <w:t>COM(2015) 550.</w:t>
      </w:r>
    </w:p>
  </w:footnote>
  <w:footnote w:id="7">
    <w:p w:rsidR="00B70A3C" w:rsidRDefault="00242C75">
      <w:pPr>
        <w:pStyle w:val="FootnoteText"/>
        <w:spacing w:after="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s="Times New Roman"/>
          <w:sz w:val="18"/>
          <w:szCs w:val="18"/>
        </w:rPr>
        <w:tab/>
        <w:t xml:space="preserve">The guidance provided in this Communication focuses on economic activities. Collaborative economy services can be offered for free, on a cost-sharing basis or against remuneration. For many Member States, pure cost-sharing activities or transactions making services available as part of an exchange, do not involve remuneration. Only remunerated activities constitute an economic activity under EU law. See Case C-281/06 </w:t>
      </w:r>
      <w:proofErr w:type="spellStart"/>
      <w:r>
        <w:rPr>
          <w:rFonts w:ascii="Times New Roman" w:hAnsi="Times New Roman" w:cs="Times New Roman"/>
          <w:sz w:val="18"/>
          <w:szCs w:val="18"/>
        </w:rPr>
        <w:t>Jundt</w:t>
      </w:r>
      <w:proofErr w:type="spellEnd"/>
      <w:r>
        <w:rPr>
          <w:rFonts w:ascii="Times New Roman" w:hAnsi="Times New Roman" w:cs="Times New Roman"/>
          <w:sz w:val="18"/>
          <w:szCs w:val="18"/>
        </w:rPr>
        <w:t xml:space="preserve"> [2007] ECR I- I-12231 §32, 33. Importantly, even if the transaction between a service provider and a user does not constitute an economic activity, this may still be the case for their respective relationship with the collaborative economy platform. Each relationship (platform-user; platform-service provider; service provider-user) must be assessed separately.</w:t>
      </w:r>
    </w:p>
  </w:footnote>
  <w:footnote w:id="8">
    <w:p w:rsidR="00B70A3C" w:rsidRDefault="00242C75">
      <w:pPr>
        <w:pStyle w:val="FootnoteText"/>
        <w:spacing w:after="0"/>
      </w:pPr>
      <w:r>
        <w:rPr>
          <w:rStyle w:val="FootnoteReference"/>
        </w:rPr>
        <w:footnoteRef/>
      </w:r>
      <w:r>
        <w:t xml:space="preserve"> </w:t>
      </w:r>
      <w:r>
        <w:tab/>
      </w:r>
      <w:r>
        <w:rPr>
          <w:rFonts w:ascii="Times New Roman" w:hAnsi="Times New Roman" w:cs="Times New Roman"/>
          <w:sz w:val="18"/>
          <w:szCs w:val="18"/>
        </w:rPr>
        <w:t>The term collaborative economy is often interchangeably used with the term ‘sharing economy’. Collaborative economy is a rapid evolving phenomenon and its definition may evolve accordingly.</w:t>
      </w:r>
    </w:p>
  </w:footnote>
  <w:footnote w:id="9">
    <w:p w:rsidR="00B70A3C" w:rsidRDefault="00242C75">
      <w:pPr>
        <w:pStyle w:val="FootnoteText"/>
        <w:spacing w:after="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s="Times New Roman"/>
          <w:sz w:val="18"/>
          <w:szCs w:val="18"/>
        </w:rPr>
        <w:tab/>
        <w:t>Collaborative economy services may involve some transfer of ownership of intellectual property.</w:t>
      </w:r>
    </w:p>
  </w:footnote>
  <w:footnote w:id="10">
    <w:p w:rsidR="00B70A3C" w:rsidRDefault="00242C75">
      <w:pPr>
        <w:pStyle w:val="FootnoteText"/>
        <w:spacing w:after="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s="Times New Roman"/>
          <w:sz w:val="18"/>
          <w:szCs w:val="18"/>
        </w:rPr>
        <w:tab/>
        <w:t>See Article 9 and 16 of Directive 2006/123/EC (‘the Services Directive’) and Articles 49 and 56 of the Treaty on the Functioning of the European Union (TFEU).</w:t>
      </w:r>
    </w:p>
  </w:footnote>
  <w:footnote w:id="11">
    <w:p w:rsidR="00B70A3C" w:rsidRDefault="00242C75">
      <w:pPr>
        <w:pStyle w:val="FootnoteText"/>
        <w:spacing w:after="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s="Times New Roman"/>
          <w:sz w:val="18"/>
          <w:szCs w:val="18"/>
        </w:rPr>
        <w:tab/>
        <w:t>For a list of overriding reasons relating to the public interest under the Services Directive see its Article 4 (8).</w:t>
      </w:r>
    </w:p>
  </w:footnote>
  <w:footnote w:id="12">
    <w:p w:rsidR="00B70A3C" w:rsidRDefault="00242C75">
      <w:pPr>
        <w:pStyle w:val="FootnoteText"/>
        <w:spacing w:after="0"/>
        <w:rPr>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s="Times New Roman"/>
          <w:sz w:val="18"/>
          <w:szCs w:val="18"/>
        </w:rPr>
        <w:tab/>
        <w:t>See Recital 39 and Article 4 (6) of the Services Directive on the concept of ‘authorisation’.</w:t>
      </w:r>
    </w:p>
  </w:footnote>
  <w:footnote w:id="13">
    <w:p w:rsidR="00B70A3C" w:rsidRDefault="00242C75">
      <w:pPr>
        <w:pStyle w:val="FootnoteText"/>
        <w:spacing w:after="0"/>
      </w:pPr>
      <w:r>
        <w:rPr>
          <w:rFonts w:ascii="Times New Roman" w:hAnsi="Times New Roman" w:cs="Times New Roman"/>
          <w:sz w:val="18"/>
          <w:szCs w:val="18"/>
          <w:vertAlign w:val="superscript"/>
        </w:rPr>
        <w:footnoteRef/>
      </w:r>
      <w:r>
        <w:t xml:space="preserve"> </w:t>
      </w:r>
      <w:r>
        <w:tab/>
      </w:r>
      <w:r>
        <w:rPr>
          <w:rFonts w:ascii="Times New Roman" w:hAnsi="Times New Roman" w:cs="Times New Roman"/>
          <w:sz w:val="18"/>
          <w:szCs w:val="18"/>
        </w:rPr>
        <w:t>See Article 59 of the Professional Qualifications Directive 2005/36/EC. The proportionality and the necessity of national regulations on regulated professions will be further discussed in two forthcoming Commission initiatives (guidance on reforms needs on regulated professions and the proportionality test for regulated professions).</w:t>
      </w:r>
    </w:p>
  </w:footnote>
  <w:footnote w:id="14">
    <w:p w:rsidR="00B70A3C" w:rsidRDefault="00242C75">
      <w:pPr>
        <w:pStyle w:val="FootnoteText"/>
        <w:spacing w:after="0"/>
        <w:rPr>
          <w:sz w:val="18"/>
          <w:szCs w:val="18"/>
        </w:rPr>
      </w:pPr>
      <w:r>
        <w:rPr>
          <w:rFonts w:ascii="Times New Roman" w:hAnsi="Times New Roman" w:cs="Times New Roman"/>
          <w:sz w:val="18"/>
          <w:szCs w:val="18"/>
          <w:vertAlign w:val="superscript"/>
        </w:rPr>
        <w:footnoteRef/>
      </w:r>
      <w:r>
        <w:rPr>
          <w:rFonts w:ascii="Times New Roman" w:hAnsi="Times New Roman" w:cs="Times New Roman"/>
          <w:sz w:val="18"/>
          <w:szCs w:val="18"/>
        </w:rPr>
        <w:t xml:space="preserve"> </w:t>
      </w:r>
      <w:r>
        <w:rPr>
          <w:rFonts w:ascii="Times New Roman" w:hAnsi="Times New Roman" w:cs="Times New Roman"/>
          <w:sz w:val="18"/>
          <w:szCs w:val="18"/>
        </w:rPr>
        <w:tab/>
        <w:t>COM(2015) 690 final, of 26.11.2015, Communication on the Annual Growth Survey 2016: Strengthening the recovery and fostering convergence</w:t>
      </w:r>
    </w:p>
  </w:footnote>
  <w:footnote w:id="15">
    <w:p w:rsidR="00B70A3C" w:rsidRDefault="00242C75">
      <w:pPr>
        <w:pStyle w:val="FootnoteText"/>
        <w:spacing w:after="0"/>
        <w:rPr>
          <w:rFonts w:ascii="Times New Roman" w:hAnsi="Times New Roman" w:cs="Times New Roman"/>
          <w:sz w:val="18"/>
          <w:szCs w:val="18"/>
        </w:rPr>
      </w:pPr>
      <w:r>
        <w:rPr>
          <w:rFonts w:ascii="Times New Roman" w:hAnsi="Times New Roman" w:cs="Times New Roman"/>
          <w:sz w:val="18"/>
          <w:szCs w:val="18"/>
          <w:vertAlign w:val="superscript"/>
        </w:rPr>
        <w:footnoteRef/>
      </w:r>
      <w:r>
        <w:rPr>
          <w:rFonts w:ascii="Times New Roman" w:hAnsi="Times New Roman" w:cs="Times New Roman"/>
          <w:sz w:val="18"/>
          <w:szCs w:val="18"/>
          <w:vertAlign w:val="superscript"/>
        </w:rPr>
        <w:t xml:space="preserve"> </w:t>
      </w:r>
      <w:r>
        <w:tab/>
      </w:r>
      <w:r>
        <w:rPr>
          <w:rFonts w:ascii="Times New Roman" w:hAnsi="Times New Roman" w:cs="Times New Roman"/>
          <w:sz w:val="18"/>
          <w:szCs w:val="18"/>
        </w:rPr>
        <w:t>See Articles 10 and 11 of the Services Directive.</w:t>
      </w:r>
    </w:p>
  </w:footnote>
  <w:footnote w:id="16">
    <w:p w:rsidR="00B70A3C" w:rsidRDefault="00242C75">
      <w:pPr>
        <w:pStyle w:val="FootnoteText"/>
        <w:spacing w:after="0"/>
        <w:rPr>
          <w:rFonts w:ascii="Times New Roman" w:hAnsi="Times New Roman" w:cs="Times New Roman"/>
          <w:sz w:val="18"/>
          <w:szCs w:val="18"/>
        </w:rPr>
      </w:pPr>
      <w:r>
        <w:rPr>
          <w:rFonts w:ascii="Times New Roman" w:hAnsi="Times New Roman" w:cs="Times New Roman"/>
          <w:sz w:val="18"/>
          <w:szCs w:val="18"/>
          <w:vertAlign w:val="superscript"/>
        </w:rPr>
        <w:footnoteRef/>
      </w:r>
      <w:r>
        <w:rPr>
          <w:rFonts w:ascii="Times New Roman" w:hAnsi="Times New Roman" w:cs="Times New Roman"/>
          <w:sz w:val="18"/>
          <w:szCs w:val="18"/>
        </w:rPr>
        <w:t xml:space="preserve"> </w:t>
      </w:r>
      <w:r>
        <w:rPr>
          <w:rFonts w:ascii="Times New Roman" w:hAnsi="Times New Roman" w:cs="Times New Roman"/>
          <w:sz w:val="18"/>
          <w:szCs w:val="18"/>
        </w:rPr>
        <w:tab/>
        <w:t>See Article 13 of the Services Directive.</w:t>
      </w:r>
    </w:p>
  </w:footnote>
  <w:footnote w:id="17">
    <w:p w:rsidR="00B70A3C" w:rsidRDefault="00242C75">
      <w:pPr>
        <w:pStyle w:val="FootnoteText"/>
        <w:spacing w:after="0"/>
        <w:rPr>
          <w:rFonts w:ascii="Times New Roman" w:hAnsi="Times New Roman" w:cs="Times New Roman"/>
          <w:sz w:val="18"/>
          <w:szCs w:val="18"/>
        </w:rPr>
      </w:pPr>
      <w:r>
        <w:rPr>
          <w:rFonts w:ascii="Times New Roman" w:hAnsi="Times New Roman" w:cs="Times New Roman"/>
          <w:sz w:val="18"/>
          <w:szCs w:val="18"/>
          <w:vertAlign w:val="superscript"/>
        </w:rPr>
        <w:footnoteRef/>
      </w:r>
      <w:r>
        <w:rPr>
          <w:rFonts w:ascii="Times New Roman" w:hAnsi="Times New Roman" w:cs="Times New Roman"/>
          <w:sz w:val="18"/>
          <w:szCs w:val="18"/>
          <w:vertAlign w:val="superscript"/>
        </w:rPr>
        <w:t xml:space="preserve"> </w:t>
      </w:r>
      <w:r>
        <w:rPr>
          <w:rFonts w:ascii="Times New Roman" w:hAnsi="Times New Roman" w:cs="Times New Roman"/>
          <w:sz w:val="18"/>
          <w:szCs w:val="18"/>
        </w:rPr>
        <w:tab/>
        <w:t xml:space="preserve">COM(2016) 179 final of 19.4.2016, Communication on EU </w:t>
      </w:r>
      <w:proofErr w:type="spellStart"/>
      <w:r>
        <w:rPr>
          <w:rFonts w:ascii="Times New Roman" w:hAnsi="Times New Roman" w:cs="Times New Roman"/>
          <w:sz w:val="18"/>
          <w:szCs w:val="18"/>
        </w:rPr>
        <w:t>eGovernment</w:t>
      </w:r>
      <w:proofErr w:type="spellEnd"/>
      <w:r>
        <w:rPr>
          <w:rFonts w:ascii="Times New Roman" w:hAnsi="Times New Roman" w:cs="Times New Roman"/>
          <w:sz w:val="18"/>
          <w:szCs w:val="18"/>
        </w:rPr>
        <w:t xml:space="preserve"> Action plan 2016-2020 – Accelerating the digital transformation of government</w:t>
      </w:r>
    </w:p>
  </w:footnote>
  <w:footnote w:id="18">
    <w:p w:rsidR="00B70A3C" w:rsidRDefault="00242C75">
      <w:pPr>
        <w:pStyle w:val="FootnoteText"/>
        <w:spacing w:after="0"/>
        <w:rPr>
          <w:rFonts w:ascii="Times New Roman" w:hAnsi="Times New Roman" w:cs="Times New Roman"/>
          <w:sz w:val="18"/>
          <w:szCs w:val="18"/>
        </w:rPr>
      </w:pPr>
      <w:r>
        <w:rPr>
          <w:rFonts w:ascii="Times New Roman" w:hAnsi="Times New Roman" w:cs="Times New Roman"/>
          <w:sz w:val="18"/>
          <w:szCs w:val="18"/>
          <w:vertAlign w:val="superscript"/>
        </w:rPr>
        <w:footnoteRef/>
      </w:r>
      <w:r>
        <w:rPr>
          <w:rFonts w:ascii="Times New Roman" w:hAnsi="Times New Roman" w:cs="Times New Roman"/>
          <w:sz w:val="18"/>
          <w:szCs w:val="18"/>
        </w:rPr>
        <w:t xml:space="preserve"> </w:t>
      </w:r>
      <w:r>
        <w:rPr>
          <w:rFonts w:ascii="Times New Roman" w:hAnsi="Times New Roman" w:cs="Times New Roman"/>
          <w:sz w:val="18"/>
          <w:szCs w:val="18"/>
        </w:rPr>
        <w:tab/>
        <w:t>The Services Directive for example defines service providers as any natural or legal person who offers any self-employed economic activity, normally provided for remuneration (see Article 4 (2)). This means that any economic activity could be captured by the rules of this Directive regardless of the frequency it is offered and without requiring that the provider necessarily acts as ‘professional’. In addition, EU consumer acquis defines 'trader' as any person acting for the purposes relating to his trade, business, craft or profession (see section 2.3).</w:t>
      </w:r>
    </w:p>
  </w:footnote>
  <w:footnote w:id="19">
    <w:p w:rsidR="00B70A3C" w:rsidRDefault="00242C75">
      <w:pPr>
        <w:pStyle w:val="FootnoteText"/>
        <w:spacing w:after="0"/>
        <w:rPr>
          <w:rFonts w:ascii="Times New Roman" w:hAnsi="Times New Roman" w:cs="Times New Roman"/>
          <w:sz w:val="18"/>
          <w:szCs w:val="18"/>
        </w:rPr>
      </w:pPr>
      <w:r>
        <w:rPr>
          <w:rStyle w:val="FootnoteReference"/>
          <w:sz w:val="18"/>
          <w:szCs w:val="18"/>
        </w:rPr>
        <w:footnoteRef/>
      </w:r>
      <w:r>
        <w:rPr>
          <w:sz w:val="18"/>
          <w:szCs w:val="18"/>
        </w:rPr>
        <w:t xml:space="preserve"> </w:t>
      </w:r>
      <w:r>
        <w:rPr>
          <w:sz w:val="18"/>
          <w:szCs w:val="18"/>
        </w:rPr>
        <w:tab/>
      </w:r>
      <w:r>
        <w:rPr>
          <w:rFonts w:ascii="Times New Roman" w:hAnsi="Times New Roman" w:cs="Times New Roman"/>
          <w:sz w:val="18"/>
          <w:szCs w:val="18"/>
        </w:rPr>
        <w:t>See Article 2(a) of Directive 2000/31/EC ('e-Commerce Directive') and Article 1(1)(b) of Directive 2015/1535. See also Annex I to that latter Directive for an indicate list of services not covered by this definition.</w:t>
      </w:r>
    </w:p>
  </w:footnote>
  <w:footnote w:id="20">
    <w:p w:rsidR="00B70A3C" w:rsidRDefault="00242C75">
      <w:pPr>
        <w:pStyle w:val="FootnoteText"/>
        <w:spacing w:after="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s="Times New Roman"/>
          <w:sz w:val="18"/>
          <w:szCs w:val="18"/>
        </w:rPr>
        <w:tab/>
        <w:t>See Article 4 of the e-Commerce Directive.</w:t>
      </w:r>
    </w:p>
  </w:footnote>
  <w:footnote w:id="21">
    <w:p w:rsidR="00B70A3C" w:rsidRDefault="00242C75">
      <w:pPr>
        <w:pStyle w:val="FootnoteText"/>
        <w:spacing w:after="0"/>
        <w:rPr>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s="Times New Roman"/>
          <w:sz w:val="18"/>
          <w:szCs w:val="18"/>
        </w:rPr>
        <w:tab/>
        <w:t>See Articles 2 and 3 of the e-Commerce Directive. The country of origin principle for the freedom to provide information society services cross-border can only be derogated from when there is a threat or a serious and grave risk to undermine the following four objectives: public policy, protection of public health, public security, including the safeguarding of national security and defence and protection of consumers. In that case the national measures in question must still be proportionate and certain procedural conditions (including notification to the Commission) must also be respected.</w:t>
      </w:r>
    </w:p>
  </w:footnote>
  <w:footnote w:id="22">
    <w:p w:rsidR="00B70A3C" w:rsidRDefault="00242C75">
      <w:pPr>
        <w:pStyle w:val="FootnoteText"/>
        <w:spacing w:after="0"/>
      </w:pPr>
      <w:r>
        <w:rPr>
          <w:rStyle w:val="FootnoteReference"/>
        </w:rPr>
        <w:footnoteRef/>
      </w:r>
      <w:r>
        <w:t xml:space="preserve"> </w:t>
      </w:r>
      <w:r>
        <w:tab/>
      </w:r>
      <w:r>
        <w:rPr>
          <w:rFonts w:ascii="Times New Roman" w:hAnsi="Times New Roman" w:cs="Times New Roman"/>
          <w:sz w:val="18"/>
          <w:szCs w:val="18"/>
        </w:rPr>
        <w:t>i.e. that they are non-discriminatory, necessary to attain a clearly identified public interest objective and proportionate to achieving this interest (i.e. imposing no more requirements than strictly needed)</w:t>
      </w:r>
    </w:p>
  </w:footnote>
  <w:footnote w:id="23">
    <w:p w:rsidR="00B70A3C" w:rsidRDefault="00242C75">
      <w:pPr>
        <w:pStyle w:val="FootnoteText"/>
        <w:spacing w:after="0"/>
        <w:rPr>
          <w:rFonts w:ascii="Times New Roman" w:hAnsi="Times New Roman" w:cs="Times New Roman"/>
          <w:sz w:val="18"/>
          <w:szCs w:val="18"/>
        </w:rPr>
      </w:pPr>
      <w:r>
        <w:rPr>
          <w:rStyle w:val="FootnoteReference"/>
        </w:rPr>
        <w:footnoteRef/>
      </w:r>
      <w:r>
        <w:t xml:space="preserve"> </w:t>
      </w:r>
      <w:r>
        <w:tab/>
      </w:r>
      <w:r>
        <w:rPr>
          <w:rFonts w:ascii="Times New Roman" w:hAnsi="Times New Roman" w:cs="Times New Roman"/>
          <w:sz w:val="18"/>
          <w:szCs w:val="18"/>
        </w:rPr>
        <w:t>The actual rating/review is undertaken by the user, not the collaborative platform.</w:t>
      </w:r>
    </w:p>
  </w:footnote>
  <w:footnote w:id="24">
    <w:p w:rsidR="00B70A3C" w:rsidRDefault="00242C75">
      <w:pPr>
        <w:pStyle w:val="FootnoteText"/>
        <w:spacing w:after="0"/>
      </w:pPr>
      <w:r>
        <w:rPr>
          <w:rStyle w:val="FootnoteReference"/>
          <w:rFonts w:ascii="Times New Roman" w:hAnsi="Times New Roman" w:cs="Times New Roman"/>
          <w:sz w:val="18"/>
          <w:szCs w:val="18"/>
        </w:rPr>
        <w:footnoteRef/>
      </w:r>
      <w:r>
        <w:rPr>
          <w:rStyle w:val="FootnoteReference"/>
          <w:rFonts w:ascii="Times New Roman" w:hAnsi="Times New Roman" w:cs="Times New Roman"/>
          <w:sz w:val="18"/>
          <w:szCs w:val="18"/>
        </w:rPr>
        <w:t xml:space="preserve"> </w:t>
      </w:r>
      <w:r>
        <w:tab/>
      </w:r>
      <w:r>
        <w:rPr>
          <w:rFonts w:ascii="Times New Roman" w:hAnsi="Times New Roman" w:cs="Times New Roman"/>
          <w:sz w:val="18"/>
          <w:szCs w:val="18"/>
        </w:rPr>
        <w:t>Article 14 of the e-Commerce Directive.</w:t>
      </w:r>
    </w:p>
  </w:footnote>
  <w:footnote w:id="25">
    <w:p w:rsidR="00B70A3C" w:rsidRDefault="00242C75">
      <w:pPr>
        <w:pStyle w:val="FootnoteText"/>
        <w:spacing w:after="0"/>
        <w:rPr>
          <w:rFonts w:ascii="Times New Roman" w:hAnsi="Times New Roman" w:cs="Times New Roman"/>
          <w:sz w:val="18"/>
          <w:szCs w:val="18"/>
        </w:rPr>
      </w:pPr>
      <w:r>
        <w:rPr>
          <w:rStyle w:val="FootnoteReference"/>
          <w:rFonts w:ascii="Times New Roman" w:hAnsi="Times New Roman" w:cs="Times New Roman"/>
          <w:sz w:val="18"/>
          <w:szCs w:val="18"/>
        </w:rPr>
        <w:footnoteRef/>
      </w:r>
      <w:r>
        <w:rPr>
          <w:rStyle w:val="FootnoteReference"/>
        </w:rPr>
        <w:t xml:space="preserve"> </w:t>
      </w:r>
      <w:r>
        <w:rPr>
          <w:rFonts w:ascii="Times New Roman" w:hAnsi="Times New Roman" w:cs="Times New Roman"/>
          <w:sz w:val="18"/>
          <w:szCs w:val="18"/>
        </w:rPr>
        <w:tab/>
        <w:t>In the context of the collaborative economy hosting can broadly speaking be understood as the activity of dealing with the storage of customer data and providing the venue where users meet providers of the underlying services. The exemptions under Articles 12 and 13 of the e-Commerce Directive would usually not apply in this regard, as collaborative platforms normally do not provide ‘mere conduit’ or ‘caching’ services within the meaning of those provisions.</w:t>
      </w:r>
    </w:p>
  </w:footnote>
  <w:footnote w:id="26">
    <w:p w:rsidR="00B70A3C" w:rsidRDefault="00242C75">
      <w:pPr>
        <w:pStyle w:val="FootnoteText"/>
        <w:spacing w:after="0"/>
        <w:rPr>
          <w:rFonts w:ascii="Times New Roman" w:hAnsi="Times New Roman" w:cs="Times New Roman"/>
          <w:sz w:val="18"/>
          <w:szCs w:val="18"/>
        </w:rPr>
      </w:pPr>
      <w:r>
        <w:rPr>
          <w:rStyle w:val="FootnoteReference"/>
          <w:rFonts w:ascii="Times New Roman" w:hAnsi="Times New Roman" w:cs="Times New Roman"/>
          <w:sz w:val="18"/>
          <w:szCs w:val="18"/>
        </w:rPr>
        <w:footnoteRef/>
      </w:r>
      <w:r>
        <w:rPr>
          <w:rStyle w:val="FootnoteReference"/>
        </w:rPr>
        <w:t xml:space="preserve"> </w:t>
      </w:r>
      <w:r>
        <w:rPr>
          <w:rFonts w:ascii="Times New Roman" w:hAnsi="Times New Roman" w:cs="Times New Roman"/>
          <w:sz w:val="18"/>
          <w:szCs w:val="18"/>
        </w:rPr>
        <w:tab/>
        <w:t xml:space="preserve">As per section 4 of the e-Commerce Directive. In joined cases C-236/08 to C-238/08 Google France/Louis Vuitton, the CJEU underlined the key criterion when an online platform is deemed an ‘intermediary service provider,’ referring to recital 42 </w:t>
      </w:r>
      <w:r>
        <w:rPr>
          <w:rFonts w:ascii="Times New Roman" w:hAnsi="Times New Roman" w:cs="Times New Roman"/>
          <w:bCs/>
          <w:sz w:val="18"/>
          <w:szCs w:val="18"/>
        </w:rPr>
        <w:t>to Directive 2000/31/EC. According to this recital, information society services are meant to provide the technical process of operating and giving access to a communication network over which information made available by third parties is transmitted or temporarily stored, for the sole purpose of making the transmission more efficient; this activity is of a mere technical, automatic and passive nature.</w:t>
      </w:r>
    </w:p>
  </w:footnote>
  <w:footnote w:id="27">
    <w:p w:rsidR="00B70A3C" w:rsidRDefault="00242C75">
      <w:pPr>
        <w:pStyle w:val="FootnoteText"/>
        <w:spacing w:after="0"/>
      </w:pPr>
      <w:r>
        <w:rPr>
          <w:rStyle w:val="FootnoteReference"/>
          <w:rFonts w:ascii="Times New Roman" w:hAnsi="Times New Roman" w:cs="Times New Roman"/>
          <w:sz w:val="18"/>
          <w:szCs w:val="18"/>
        </w:rPr>
        <w:footnoteRef/>
      </w:r>
      <w:r>
        <w:t xml:space="preserve"> </w:t>
      </w:r>
      <w:r>
        <w:tab/>
      </w:r>
      <w:r>
        <w:rPr>
          <w:rFonts w:ascii="Times New Roman" w:hAnsi="Times New Roman" w:cs="Times New Roman"/>
          <w:sz w:val="18"/>
          <w:szCs w:val="18"/>
        </w:rPr>
        <w:t>Case C</w:t>
      </w:r>
      <w:r>
        <w:rPr>
          <w:rFonts w:ascii="Times New Roman" w:hAnsi="Times New Roman" w:cs="Times New Roman"/>
          <w:sz w:val="18"/>
          <w:szCs w:val="18"/>
        </w:rPr>
        <w:noBreakHyphen/>
        <w:t xml:space="preserve">324/09 </w:t>
      </w:r>
      <w:proofErr w:type="spellStart"/>
      <w:r>
        <w:rPr>
          <w:rFonts w:ascii="Times New Roman" w:hAnsi="Times New Roman" w:cs="Times New Roman"/>
          <w:sz w:val="18"/>
          <w:szCs w:val="18"/>
        </w:rPr>
        <w:t>L’Oréal</w:t>
      </w:r>
      <w:proofErr w:type="spellEnd"/>
      <w:r>
        <w:rPr>
          <w:rFonts w:ascii="Times New Roman" w:hAnsi="Times New Roman" w:cs="Times New Roman"/>
          <w:sz w:val="18"/>
          <w:szCs w:val="18"/>
        </w:rPr>
        <w:t>/eBay. This is without prejudice for courts and national administrative authorities to require the collaborative platform to terminate or prevent an infringement</w:t>
      </w:r>
      <w:r>
        <w:t xml:space="preserve">. </w:t>
      </w:r>
      <w:r>
        <w:rPr>
          <w:rFonts w:ascii="Times New Roman" w:hAnsi="Times New Roman" w:cs="Times New Roman"/>
          <w:sz w:val="18"/>
          <w:szCs w:val="18"/>
        </w:rPr>
        <w:t>See Article 14(3) e-Commerce Directive. A comprehensive background on the intermediary liability regime is contained in the Commission's Staff Working Document "</w:t>
      </w:r>
      <w:r>
        <w:rPr>
          <w:rFonts w:ascii="Times New Roman" w:hAnsi="Times New Roman" w:cs="Times New Roman"/>
          <w:bCs/>
          <w:sz w:val="18"/>
          <w:szCs w:val="18"/>
        </w:rPr>
        <w:t>Online services, including e-commerce, in the Single Market</w:t>
      </w:r>
      <w:r>
        <w:rPr>
          <w:rFonts w:ascii="Times New Roman" w:hAnsi="Times New Roman" w:cs="Times New Roman"/>
          <w:b/>
          <w:bCs/>
          <w:sz w:val="18"/>
          <w:szCs w:val="18"/>
        </w:rPr>
        <w:t xml:space="preserve">", </w:t>
      </w:r>
      <w:r>
        <w:rPr>
          <w:rFonts w:ascii="Times New Roman" w:hAnsi="Times New Roman" w:cs="Times New Roman"/>
          <w:bCs/>
          <w:sz w:val="18"/>
          <w:szCs w:val="18"/>
        </w:rPr>
        <w:t>SEC(2011) 1641 final</w:t>
      </w:r>
      <w:r>
        <w:rPr>
          <w:rFonts w:ascii="Times New Roman" w:hAnsi="Times New Roman" w:cs="Times New Roman"/>
          <w:b/>
          <w:bCs/>
          <w:sz w:val="18"/>
          <w:szCs w:val="18"/>
        </w:rPr>
        <w:t>.</w:t>
      </w:r>
    </w:p>
  </w:footnote>
  <w:footnote w:id="28">
    <w:p w:rsidR="00B70A3C" w:rsidRDefault="00242C75">
      <w:pPr>
        <w:pStyle w:val="FootnoteText"/>
        <w:spacing w:after="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s="Times New Roman"/>
          <w:sz w:val="18"/>
          <w:szCs w:val="18"/>
        </w:rPr>
        <w:tab/>
        <w:t>As set out in Article 15 (1) of the e-Commerce Directive.</w:t>
      </w:r>
    </w:p>
  </w:footnote>
  <w:footnote w:id="29">
    <w:p w:rsidR="00B70A3C" w:rsidRDefault="00242C75">
      <w:pPr>
        <w:pStyle w:val="FootnoteText"/>
        <w:spacing w:after="0"/>
      </w:pPr>
      <w:r>
        <w:rPr>
          <w:rStyle w:val="FootnoteReference"/>
          <w:rFonts w:ascii="Times New Roman" w:hAnsi="Times New Roman" w:cs="Times New Roman"/>
          <w:sz w:val="18"/>
          <w:szCs w:val="18"/>
        </w:rPr>
        <w:footnoteRef/>
      </w:r>
      <w:r>
        <w:rPr>
          <w:rStyle w:val="FootnoteReference"/>
          <w:rFonts w:ascii="Times New Roman" w:hAnsi="Times New Roman" w:cs="Times New Roman"/>
          <w:sz w:val="18"/>
          <w:szCs w:val="18"/>
        </w:rPr>
        <w:t xml:space="preserve"> </w:t>
      </w:r>
      <w:r>
        <w:tab/>
      </w:r>
      <w:r>
        <w:rPr>
          <w:rFonts w:ascii="Times New Roman" w:hAnsi="Times New Roman" w:cs="Times New Roman"/>
          <w:sz w:val="18"/>
          <w:szCs w:val="18"/>
        </w:rPr>
        <w:t xml:space="preserve">COM(2016) 288/2 of 25 May 2015, Communication on online Platforms and the Digital Single Market Opportunities and Challenges for Europe </w:t>
      </w:r>
    </w:p>
  </w:footnote>
  <w:footnote w:id="30">
    <w:p w:rsidR="00B70A3C" w:rsidRDefault="00242C75">
      <w:pPr>
        <w:pStyle w:val="FootnoteText"/>
        <w:spacing w:after="0"/>
        <w:rPr>
          <w:rFonts w:ascii="Times New Roman" w:hAnsi="Times New Roman" w:cs="Times New Roman"/>
          <w:bCs/>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s="Times New Roman"/>
          <w:sz w:val="18"/>
          <w:szCs w:val="18"/>
        </w:rPr>
        <w:tab/>
        <w:t>In that respect, some courts exclude liability protection if the hosting-related aspects of a service are not the most important aspects of the service. See to this extent</w:t>
      </w:r>
      <w:r>
        <w:rPr>
          <w:rFonts w:ascii="Times New Roman" w:hAnsi="Times New Roman" w:cs="Times New Roman"/>
          <w:bCs/>
          <w:sz w:val="18"/>
          <w:szCs w:val="18"/>
        </w:rPr>
        <w:t xml:space="preserve"> the decision of the Court of Paris in Louis Vuitton </w:t>
      </w:r>
      <w:proofErr w:type="spellStart"/>
      <w:r>
        <w:rPr>
          <w:rFonts w:ascii="Times New Roman" w:hAnsi="Times New Roman" w:cs="Times New Roman"/>
          <w:bCs/>
          <w:sz w:val="18"/>
          <w:szCs w:val="18"/>
        </w:rPr>
        <w:t>Malletier</w:t>
      </w:r>
      <w:proofErr w:type="spellEnd"/>
      <w:r>
        <w:rPr>
          <w:rFonts w:ascii="Times New Roman" w:hAnsi="Times New Roman" w:cs="Times New Roman"/>
          <w:bCs/>
          <w:sz w:val="18"/>
          <w:szCs w:val="18"/>
        </w:rPr>
        <w:t xml:space="preserve"> / Christian Dior Couture and </w:t>
      </w:r>
      <w:proofErr w:type="spellStart"/>
      <w:r>
        <w:rPr>
          <w:rFonts w:ascii="Times New Roman" w:hAnsi="Times New Roman" w:cs="Times New Roman"/>
          <w:bCs/>
          <w:sz w:val="18"/>
          <w:szCs w:val="18"/>
        </w:rPr>
        <w:t>Parfums</w:t>
      </w:r>
      <w:proofErr w:type="spellEnd"/>
      <w:r>
        <w:rPr>
          <w:rFonts w:ascii="Times New Roman" w:hAnsi="Times New Roman" w:cs="Times New Roman"/>
          <w:bCs/>
          <w:sz w:val="18"/>
          <w:szCs w:val="18"/>
        </w:rPr>
        <w:t xml:space="preserve"> Christian Dior, </w:t>
      </w:r>
      <w:proofErr w:type="spellStart"/>
      <w:r>
        <w:rPr>
          <w:rFonts w:ascii="Times New Roman" w:hAnsi="Times New Roman" w:cs="Times New Roman"/>
          <w:bCs/>
          <w:sz w:val="18"/>
          <w:szCs w:val="18"/>
        </w:rPr>
        <w:t>Kenzo</w:t>
      </w:r>
      <w:proofErr w:type="spellEnd"/>
      <w:r>
        <w:rPr>
          <w:rFonts w:ascii="Times New Roman" w:hAnsi="Times New Roman" w:cs="Times New Roman"/>
          <w:bCs/>
          <w:sz w:val="18"/>
          <w:szCs w:val="18"/>
        </w:rPr>
        <w:t xml:space="preserve">, Givenchy et </w:t>
      </w:r>
      <w:proofErr w:type="spellStart"/>
      <w:r>
        <w:rPr>
          <w:rFonts w:ascii="Times New Roman" w:hAnsi="Times New Roman" w:cs="Times New Roman"/>
          <w:bCs/>
          <w:sz w:val="18"/>
          <w:szCs w:val="18"/>
        </w:rPr>
        <w:t>Guerlain</w:t>
      </w:r>
      <w:proofErr w:type="spellEnd"/>
      <w:r>
        <w:rPr>
          <w:rFonts w:ascii="Times New Roman" w:hAnsi="Times New Roman" w:cs="Times New Roman"/>
          <w:bCs/>
          <w:sz w:val="18"/>
          <w:szCs w:val="18"/>
        </w:rPr>
        <w:t xml:space="preserve"> v. eBay all issued by the Commercial Court of Paris, First Chamber, on 30 June 2008. An opposite view was taken by a Greek court in the Greek case No 44/2008 of </w:t>
      </w:r>
      <w:proofErr w:type="spellStart"/>
      <w:r>
        <w:rPr>
          <w:rFonts w:ascii="Times New Roman" w:hAnsi="Times New Roman" w:cs="Times New Roman"/>
          <w:bCs/>
          <w:sz w:val="18"/>
          <w:szCs w:val="18"/>
        </w:rPr>
        <w:t>Rodopi</w:t>
      </w:r>
      <w:proofErr w:type="spellEnd"/>
      <w:r>
        <w:rPr>
          <w:rFonts w:ascii="Times New Roman" w:hAnsi="Times New Roman" w:cs="Times New Roman"/>
          <w:bCs/>
          <w:sz w:val="18"/>
          <w:szCs w:val="18"/>
        </w:rPr>
        <w:t xml:space="preserve"> Court of First Instance, published in (2009) </w:t>
      </w:r>
      <w:proofErr w:type="spellStart"/>
      <w:r>
        <w:rPr>
          <w:rFonts w:ascii="Times New Roman" w:hAnsi="Times New Roman" w:cs="Times New Roman"/>
          <w:bCs/>
          <w:sz w:val="18"/>
          <w:szCs w:val="18"/>
        </w:rPr>
        <w:t>Armenopoulos</w:t>
      </w:r>
      <w:proofErr w:type="spellEnd"/>
      <w:r>
        <w:rPr>
          <w:rFonts w:ascii="Times New Roman" w:hAnsi="Times New Roman" w:cs="Times New Roman"/>
          <w:bCs/>
          <w:sz w:val="18"/>
          <w:szCs w:val="18"/>
        </w:rPr>
        <w:t>, 406.</w:t>
      </w:r>
    </w:p>
  </w:footnote>
  <w:footnote w:id="31">
    <w:p w:rsidR="00B70A3C" w:rsidRDefault="00242C75">
      <w:pPr>
        <w:pStyle w:val="FootnoteText"/>
        <w:spacing w:after="0"/>
        <w:rPr>
          <w:rFonts w:ascii="Times New Roman" w:hAnsi="Times New Roman" w:cs="Times New Roman"/>
          <w:i/>
          <w:sz w:val="18"/>
          <w:szCs w:val="18"/>
          <w:lang w:val="fr-BE"/>
        </w:rPr>
      </w:pPr>
      <w:r>
        <w:rPr>
          <w:rFonts w:ascii="Times New Roman" w:hAnsi="Times New Roman" w:cs="Times New Roman"/>
          <w:bCs/>
          <w:sz w:val="18"/>
          <w:szCs w:val="18"/>
          <w:vertAlign w:val="superscript"/>
        </w:rPr>
        <w:footnoteRef/>
      </w:r>
      <w:r>
        <w:rPr>
          <w:rFonts w:ascii="Times New Roman" w:hAnsi="Times New Roman" w:cs="Times New Roman"/>
          <w:bCs/>
          <w:sz w:val="18"/>
          <w:szCs w:val="18"/>
          <w:vertAlign w:val="superscript"/>
          <w:lang w:val="fr-BE"/>
        </w:rPr>
        <w:t xml:space="preserve"> </w:t>
      </w:r>
      <w:r>
        <w:rPr>
          <w:rFonts w:ascii="Times New Roman" w:hAnsi="Times New Roman" w:cs="Times New Roman"/>
          <w:bCs/>
          <w:sz w:val="18"/>
          <w:szCs w:val="18"/>
          <w:vertAlign w:val="superscript"/>
          <w:lang w:val="fr-BE"/>
        </w:rPr>
        <w:tab/>
      </w:r>
      <w:r>
        <w:rPr>
          <w:rFonts w:ascii="Times New Roman" w:hAnsi="Times New Roman" w:cs="Times New Roman"/>
          <w:bCs/>
          <w:sz w:val="18"/>
          <w:szCs w:val="18"/>
          <w:lang w:val="fr-BE"/>
        </w:rPr>
        <w:t>Article 2(b) Directive 2005/29/EC ('</w:t>
      </w:r>
      <w:proofErr w:type="spellStart"/>
      <w:r>
        <w:rPr>
          <w:rFonts w:ascii="Times New Roman" w:hAnsi="Times New Roman" w:cs="Times New Roman"/>
          <w:bCs/>
          <w:sz w:val="18"/>
          <w:szCs w:val="18"/>
          <w:lang w:val="fr-BE"/>
        </w:rPr>
        <w:t>Unfair</w:t>
      </w:r>
      <w:proofErr w:type="spellEnd"/>
      <w:r>
        <w:rPr>
          <w:rFonts w:ascii="Times New Roman" w:hAnsi="Times New Roman" w:cs="Times New Roman"/>
          <w:bCs/>
          <w:sz w:val="18"/>
          <w:szCs w:val="18"/>
          <w:lang w:val="fr-BE"/>
        </w:rPr>
        <w:t xml:space="preserve"> Commercial Practices Directive').</w:t>
      </w:r>
    </w:p>
  </w:footnote>
  <w:footnote w:id="32">
    <w:p w:rsidR="00B70A3C" w:rsidRDefault="00242C75">
      <w:pPr>
        <w:pStyle w:val="FootnoteText"/>
        <w:spacing w:after="0"/>
        <w:rPr>
          <w:sz w:val="18"/>
          <w:szCs w:val="18"/>
          <w:lang w:val="fr-BE"/>
        </w:rPr>
      </w:pPr>
      <w:r>
        <w:rPr>
          <w:rStyle w:val="FootnoteReference"/>
          <w:sz w:val="18"/>
          <w:szCs w:val="18"/>
        </w:rPr>
        <w:footnoteRef/>
      </w:r>
      <w:r>
        <w:rPr>
          <w:sz w:val="18"/>
          <w:szCs w:val="18"/>
          <w:lang w:val="fr-BE"/>
        </w:rPr>
        <w:t xml:space="preserve"> </w:t>
      </w:r>
      <w:r>
        <w:rPr>
          <w:sz w:val="18"/>
          <w:szCs w:val="18"/>
          <w:lang w:val="fr-BE"/>
        </w:rPr>
        <w:tab/>
      </w:r>
      <w:r>
        <w:rPr>
          <w:rFonts w:ascii="Times New Roman" w:hAnsi="Times New Roman" w:cs="Times New Roman"/>
          <w:bCs/>
          <w:sz w:val="18"/>
          <w:szCs w:val="18"/>
          <w:lang w:val="fr-BE"/>
        </w:rPr>
        <w:t xml:space="preserve">Article 2(a) </w:t>
      </w:r>
      <w:proofErr w:type="spellStart"/>
      <w:r>
        <w:rPr>
          <w:rFonts w:ascii="Times New Roman" w:hAnsi="Times New Roman" w:cs="Times New Roman"/>
          <w:bCs/>
          <w:sz w:val="18"/>
          <w:szCs w:val="18"/>
          <w:lang w:val="fr-BE"/>
        </w:rPr>
        <w:t>Unfair</w:t>
      </w:r>
      <w:proofErr w:type="spellEnd"/>
      <w:r>
        <w:rPr>
          <w:rFonts w:ascii="Times New Roman" w:hAnsi="Times New Roman" w:cs="Times New Roman"/>
          <w:bCs/>
          <w:sz w:val="18"/>
          <w:szCs w:val="18"/>
          <w:lang w:val="fr-BE"/>
        </w:rPr>
        <w:t xml:space="preserve"> Commercial Practices Directive.</w:t>
      </w:r>
    </w:p>
  </w:footnote>
  <w:footnote w:id="33">
    <w:p w:rsidR="00B70A3C" w:rsidRDefault="00242C75">
      <w:pPr>
        <w:pStyle w:val="FootnoteText"/>
        <w:spacing w:after="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s="Times New Roman"/>
          <w:sz w:val="18"/>
          <w:szCs w:val="18"/>
        </w:rPr>
        <w:tab/>
      </w:r>
      <w:r>
        <w:rPr>
          <w:rFonts w:ascii="Times New Roman" w:hAnsi="Times New Roman" w:cs="Times New Roman"/>
          <w:bCs/>
          <w:sz w:val="18"/>
          <w:szCs w:val="18"/>
        </w:rPr>
        <w:t>For business to consumer transactions in the collaborative economy, the Unfair Commercial Practices Directive, Directive 2011/83/EU ('Consumer Rights Directive') and Directive 93/13/EEC on Unfair Terms in Consumer Contracts would apply. For business to business transactions, Directive 2006/114/EC on Misleading and Comparative Advertising would apply.</w:t>
      </w:r>
    </w:p>
  </w:footnote>
  <w:footnote w:id="34">
    <w:p w:rsidR="00B70A3C" w:rsidRDefault="00242C75">
      <w:pPr>
        <w:pStyle w:val="FootnoteText"/>
        <w:spacing w:after="0"/>
        <w:rPr>
          <w:rFonts w:ascii="Times New Roman" w:hAnsi="Times New Roman" w:cs="Times New Roman"/>
          <w:sz w:val="18"/>
          <w:szCs w:val="18"/>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18"/>
          <w:szCs w:val="18"/>
        </w:rPr>
        <w:t>An ongoing Commission study on consumer issues in the collaborative economy will map relevant national legislation in the 28 Member States.</w:t>
      </w:r>
    </w:p>
  </w:footnote>
  <w:footnote w:id="35">
    <w:p w:rsidR="00B70A3C" w:rsidRDefault="00242C75">
      <w:pPr>
        <w:pStyle w:val="FootnoteText"/>
        <w:spacing w:after="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s="Times New Roman"/>
          <w:sz w:val="18"/>
          <w:szCs w:val="18"/>
        </w:rPr>
        <w:tab/>
        <w:t>SWD(2016) 163 final, of 25 May 2016, Guidance on the implementation/application of Directive 2005/29/EC on unfair commercial practices</w:t>
      </w:r>
    </w:p>
  </w:footnote>
  <w:footnote w:id="36">
    <w:p w:rsidR="00B70A3C" w:rsidRDefault="00242C75">
      <w:pPr>
        <w:pStyle w:val="FootnoteText"/>
        <w:spacing w:after="0"/>
      </w:pPr>
      <w:r>
        <w:rPr>
          <w:rStyle w:val="FootnoteReference"/>
          <w:rFonts w:ascii="Times New Roman" w:hAnsi="Times New Roman" w:cs="Times New Roman"/>
          <w:sz w:val="18"/>
          <w:szCs w:val="18"/>
        </w:rPr>
        <w:footnoteRef/>
      </w:r>
      <w:r>
        <w:rPr>
          <w:rStyle w:val="FootnoteReference"/>
          <w:rFonts w:ascii="Times New Roman" w:hAnsi="Times New Roman" w:cs="Times New Roman"/>
          <w:sz w:val="18"/>
          <w:szCs w:val="18"/>
        </w:rPr>
        <w:t xml:space="preserve"> </w:t>
      </w:r>
      <w:r>
        <w:tab/>
      </w:r>
      <w:r>
        <w:rPr>
          <w:rFonts w:ascii="Times New Roman" w:hAnsi="Times New Roman" w:cs="Times New Roman"/>
          <w:sz w:val="18"/>
          <w:szCs w:val="18"/>
        </w:rPr>
        <w:t>For example, pursuant to Article 6 of the Consumer Rights Directive, Article 22 of the Services Directive and Article 5 of the e-Commerce Directive.</w:t>
      </w:r>
    </w:p>
  </w:footnote>
  <w:footnote w:id="37">
    <w:p w:rsidR="00B70A3C" w:rsidRDefault="00242C75">
      <w:pPr>
        <w:pStyle w:val="FootnoteText"/>
        <w:spacing w:after="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ab/>
        <w:t>For example, pursuant to Article 5 of the e-Commerce Directive.</w:t>
      </w:r>
    </w:p>
  </w:footnote>
  <w:footnote w:id="38">
    <w:p w:rsidR="00B70A3C" w:rsidRDefault="00242C75">
      <w:pPr>
        <w:pStyle w:val="FootnoteText"/>
        <w:spacing w:after="0"/>
      </w:pPr>
      <w:r>
        <w:rPr>
          <w:rStyle w:val="FootnoteReference"/>
          <w:rFonts w:ascii="Times New Roman" w:hAnsi="Times New Roman" w:cs="Times New Roman"/>
          <w:sz w:val="18"/>
          <w:szCs w:val="18"/>
        </w:rPr>
        <w:footnoteRef/>
      </w:r>
      <w:r>
        <w:t xml:space="preserve"> </w:t>
      </w:r>
      <w:r>
        <w:tab/>
      </w:r>
      <w:r>
        <w:rPr>
          <w:rFonts w:ascii="Times New Roman" w:hAnsi="Times New Roman" w:cs="Times New Roman"/>
          <w:sz w:val="18"/>
          <w:szCs w:val="18"/>
        </w:rPr>
        <w:t>Data protection rules, currently contained in Directive 95/46/EC, have been reviewed recently. The new General Data Protection Regulation (EU) 2016/679, OJ L 119, 4.5.2016, p. 1, shall apply from 25 May 2018.</w:t>
      </w:r>
    </w:p>
  </w:footnote>
  <w:footnote w:id="39">
    <w:p w:rsidR="00B70A3C" w:rsidRDefault="00242C75">
      <w:pPr>
        <w:pStyle w:val="FootnoteText"/>
        <w:spacing w:after="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s="Times New Roman"/>
          <w:sz w:val="18"/>
          <w:szCs w:val="18"/>
        </w:rPr>
        <w:tab/>
        <w:t>Based on statistics from Eurostat.</w:t>
      </w:r>
    </w:p>
  </w:footnote>
  <w:footnote w:id="40">
    <w:p w:rsidR="00B70A3C" w:rsidRDefault="00242C75">
      <w:pPr>
        <w:pStyle w:val="FootnoteText"/>
        <w:spacing w:after="0"/>
        <w:rPr>
          <w:rFonts w:ascii="Times New Roman" w:hAnsi="Times New Roman" w:cs="Times New Roman"/>
          <w:sz w:val="18"/>
          <w:szCs w:val="18"/>
        </w:rPr>
      </w:pPr>
      <w:r>
        <w:rPr>
          <w:rStyle w:val="FootnoteReference"/>
          <w:rFonts w:ascii="Times New Roman" w:hAnsi="Times New Roman" w:cs="Times New Roman"/>
          <w:sz w:val="18"/>
          <w:szCs w:val="18"/>
        </w:rPr>
        <w:footnoteRef/>
      </w:r>
      <w:r>
        <w:rPr>
          <w:rStyle w:val="FootnoteReference"/>
          <w:rFonts w:ascii="Times New Roman" w:hAnsi="Times New Roman" w:cs="Times New Roman"/>
          <w:sz w:val="18"/>
          <w:szCs w:val="18"/>
        </w:rPr>
        <w:t xml:space="preserve"> </w:t>
      </w:r>
      <w:r>
        <w:tab/>
      </w:r>
      <w:r>
        <w:rPr>
          <w:rFonts w:ascii="Times New Roman" w:hAnsi="Times New Roman" w:cs="Times New Roman"/>
          <w:sz w:val="18"/>
          <w:szCs w:val="18"/>
        </w:rPr>
        <w:t xml:space="preserve">COM(2016) 127 final. The </w:t>
      </w:r>
      <w:hyperlink r:id="rId1" w:history="1">
        <w:r>
          <w:rPr>
            <w:rStyle w:val="Hyperlink"/>
            <w:rFonts w:ascii="Times New Roman" w:hAnsi="Times New Roman" w:cs="Times New Roman"/>
            <w:sz w:val="18"/>
            <w:szCs w:val="18"/>
          </w:rPr>
          <w:t>public consultation on the European pillar of social rights</w:t>
        </w:r>
      </w:hyperlink>
      <w:r>
        <w:rPr>
          <w:rFonts w:ascii="Times New Roman" w:hAnsi="Times New Roman" w:cs="Times New Roman"/>
          <w:sz w:val="18"/>
          <w:szCs w:val="18"/>
        </w:rPr>
        <w:t xml:space="preserve"> was launched on 8 March 2016 and will run until 31 December 2016. </w:t>
      </w:r>
    </w:p>
  </w:footnote>
  <w:footnote w:id="41">
    <w:p w:rsidR="00B70A3C" w:rsidRDefault="00242C75">
      <w:pPr>
        <w:pStyle w:val="FootnoteText"/>
        <w:spacing w:after="0"/>
      </w:pPr>
      <w:r>
        <w:rPr>
          <w:rStyle w:val="FootnoteReference"/>
          <w:rFonts w:ascii="Times New Roman" w:hAnsi="Times New Roman" w:cs="Times New Roman"/>
          <w:sz w:val="18"/>
          <w:szCs w:val="18"/>
        </w:rPr>
        <w:footnoteRef/>
      </w:r>
      <w:r>
        <w:rPr>
          <w:rStyle w:val="FootnoteReference"/>
          <w:rFonts w:ascii="Times New Roman" w:hAnsi="Times New Roman" w:cs="Times New Roman"/>
          <w:sz w:val="18"/>
          <w:szCs w:val="18"/>
        </w:rPr>
        <w:t xml:space="preserve"> </w:t>
      </w:r>
      <w:r>
        <w:tab/>
      </w:r>
      <w:r>
        <w:rPr>
          <w:rFonts w:ascii="Times New Roman" w:hAnsi="Times New Roman" w:cs="Times New Roman"/>
          <w:sz w:val="18"/>
          <w:szCs w:val="18"/>
        </w:rPr>
        <w:t xml:space="preserve">In accordance with its competences as set in Article 153 of the Treaty on the Functioning of the Union </w:t>
      </w:r>
    </w:p>
  </w:footnote>
  <w:footnote w:id="42">
    <w:p w:rsidR="00B70A3C" w:rsidRDefault="00242C75">
      <w:pPr>
        <w:pStyle w:val="FootnoteText"/>
        <w:spacing w:after="0"/>
      </w:pPr>
      <w:r>
        <w:rPr>
          <w:rStyle w:val="FootnoteReference"/>
          <w:rFonts w:ascii="Times New Roman" w:hAnsi="Times New Roman" w:cs="Times New Roman"/>
          <w:sz w:val="18"/>
          <w:szCs w:val="18"/>
        </w:rPr>
        <w:footnoteRef/>
      </w:r>
      <w:r>
        <w:rPr>
          <w:rStyle w:val="FootnoteReference"/>
          <w:rFonts w:ascii="Times New Roman" w:hAnsi="Times New Roman" w:cs="Times New Roman"/>
          <w:sz w:val="18"/>
          <w:szCs w:val="18"/>
        </w:rPr>
        <w:t xml:space="preserve"> </w:t>
      </w:r>
      <w:r>
        <w:tab/>
      </w:r>
      <w:r>
        <w:rPr>
          <w:rFonts w:ascii="Times New Roman" w:hAnsi="Times New Roman" w:cs="Times New Roman"/>
          <w:sz w:val="18"/>
          <w:szCs w:val="18"/>
        </w:rPr>
        <w:t>EU labour law includes Directives regulating workers’ rights and obligations. They refer to limits to working time including the right to paid annual leave, to daily and weekly rest and protection in case of night work, as well as information on individual employment conditions, rights for posted workers, prohibition of discrimination against workers in non-standard forms of employment (e.g. part time, fixed term or workers employed under temporary agencies), protection in case of insolvency of employers, protection against discrimination on protected grounds as gender, ethnicity, sexual orientation. They also include protection in case of collective redundancies or in case of transfer of undertakings or in case of cross-border mergers. It provides for the involvement of workers — information and consultation, and board-level worker participation in some circumstances. In the area of health and safety at work, general principles concern the prevention of occupational risks and the protection of the safety and health of workers at the workplace.</w:t>
      </w:r>
    </w:p>
  </w:footnote>
  <w:footnote w:id="43">
    <w:p w:rsidR="00B70A3C" w:rsidRDefault="00242C75">
      <w:pPr>
        <w:pStyle w:val="FootnoteText"/>
        <w:spacing w:after="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tab/>
      </w:r>
      <w:r>
        <w:rPr>
          <w:rFonts w:ascii="Times New Roman" w:hAnsi="Times New Roman" w:cs="Times New Roman"/>
          <w:sz w:val="18"/>
          <w:szCs w:val="18"/>
        </w:rPr>
        <w:t>For the purpose of applying national labour law, Member States remain free to extend the EU concept of worker to situations that do not fall under the EU definition. If the assessment of the existence of an employment relationship is linked to the applicability of some specific instruments of EU law (Working Time Directive 2003/88/EC) and Collective Redundancies Directive 98/59/EC), then national definitions of workers are not relevant. In addition, the definitions given by national laws are always subject to the assessment by national or European courts.</w:t>
      </w:r>
    </w:p>
  </w:footnote>
  <w:footnote w:id="44">
    <w:p w:rsidR="00B70A3C" w:rsidRDefault="00242C75">
      <w:pPr>
        <w:pStyle w:val="FootnoteText"/>
        <w:spacing w:after="0"/>
        <w:rPr>
          <w:rFonts w:ascii="Times New Roman" w:hAnsi="Times New Roman"/>
          <w:sz w:val="18"/>
        </w:rPr>
      </w:pPr>
      <w:r>
        <w:rPr>
          <w:rStyle w:val="FootnoteReference"/>
          <w:rFonts w:ascii="Times New Roman" w:hAnsi="Times New Roman" w:cs="Times New Roman"/>
          <w:sz w:val="18"/>
          <w:szCs w:val="18"/>
        </w:rPr>
        <w:footnoteRef/>
      </w:r>
      <w:r>
        <w:rPr>
          <w:rStyle w:val="FootnoteReference"/>
        </w:rPr>
        <w:t xml:space="preserve"> </w:t>
      </w:r>
      <w:r>
        <w:rPr>
          <w:rFonts w:ascii="Times New Roman" w:hAnsi="Times New Roman" w:cs="Times New Roman"/>
          <w:sz w:val="18"/>
          <w:szCs w:val="18"/>
        </w:rPr>
        <w:tab/>
        <w:t xml:space="preserve">COM(2010) 373 Reaffirming the free movement of workers: rights and major developments. Point I.1.1 </w:t>
      </w:r>
      <w:hyperlink r:id="rId2" w:history="1">
        <w:r>
          <w:rPr>
            <w:rStyle w:val="Hyperlink"/>
            <w:rFonts w:ascii="Times New Roman" w:hAnsi="Times New Roman" w:cs="Times New Roman"/>
            <w:sz w:val="18"/>
            <w:szCs w:val="18"/>
          </w:rPr>
          <w:t>http://eur-lex.europa.eu/legal-content/EN/TXT/?qid=1453133735571&amp;uri=CELEX%3A52010DC0373</w:t>
        </w:r>
      </w:hyperlink>
      <w:r>
        <w:rPr>
          <w:rFonts w:ascii="Times New Roman" w:hAnsi="Times New Roman" w:cs="Times New Roman"/>
          <w:sz w:val="18"/>
          <w:szCs w:val="18"/>
        </w:rPr>
        <w:t>.</w:t>
      </w:r>
    </w:p>
  </w:footnote>
  <w:footnote w:id="45">
    <w:p w:rsidR="00B70A3C" w:rsidRDefault="00242C75">
      <w:pPr>
        <w:pStyle w:val="FootnoteText"/>
        <w:spacing w:after="0"/>
      </w:pPr>
      <w:r>
        <w:rPr>
          <w:rStyle w:val="FootnoteReference"/>
          <w:rFonts w:ascii="Times New Roman" w:hAnsi="Times New Roman" w:cs="Times New Roman"/>
          <w:sz w:val="18"/>
          <w:szCs w:val="18"/>
        </w:rPr>
        <w:footnoteRef/>
      </w:r>
      <w:r>
        <w:rPr>
          <w:rStyle w:val="FootnoteReference"/>
          <w:rFonts w:ascii="Times New Roman" w:hAnsi="Times New Roman" w:cs="Times New Roman"/>
          <w:sz w:val="18"/>
          <w:szCs w:val="18"/>
        </w:rPr>
        <w:t xml:space="preserve"> </w:t>
      </w:r>
      <w:r>
        <w:tab/>
      </w:r>
      <w:r>
        <w:rPr>
          <w:rFonts w:ascii="Times New Roman" w:hAnsi="Times New Roman" w:cs="Times New Roman"/>
          <w:sz w:val="18"/>
          <w:szCs w:val="18"/>
        </w:rPr>
        <w:t>Directives on working time (Isère (C-428/09)), on collective redundancies (</w:t>
      </w:r>
      <w:proofErr w:type="spellStart"/>
      <w:r>
        <w:rPr>
          <w:rFonts w:ascii="Times New Roman" w:hAnsi="Times New Roman" w:cs="Times New Roman"/>
          <w:sz w:val="18"/>
          <w:szCs w:val="18"/>
        </w:rPr>
        <w:t>Balkaya</w:t>
      </w:r>
      <w:proofErr w:type="spellEnd"/>
      <w:r>
        <w:rPr>
          <w:rFonts w:ascii="Times New Roman" w:hAnsi="Times New Roman" w:cs="Times New Roman"/>
          <w:sz w:val="18"/>
          <w:szCs w:val="18"/>
        </w:rPr>
        <w:t xml:space="preserve"> (C-229/14)) and employment equality ('O' (</w:t>
      </w:r>
      <w:r>
        <w:rPr>
          <w:rFonts w:ascii="Times New Roman" w:hAnsi="Times New Roman" w:cs="Times New Roman"/>
          <w:bCs/>
          <w:sz w:val="18"/>
          <w:szCs w:val="18"/>
        </w:rPr>
        <w:t xml:space="preserve">C-432/14)). </w:t>
      </w:r>
      <w:r>
        <w:rPr>
          <w:rFonts w:ascii="Times New Roman" w:hAnsi="Times New Roman" w:cs="Times New Roman"/>
          <w:sz w:val="18"/>
          <w:szCs w:val="18"/>
        </w:rPr>
        <w:t xml:space="preserve">Other labour law Directives expressly refer to the Member States understanding of who is a worker, as long as these respect </w:t>
      </w:r>
      <w:r>
        <w:rPr>
          <w:rFonts w:ascii="Times New Roman" w:hAnsi="Times New Roman" w:cs="Times New Roman"/>
          <w:bCs/>
          <w:sz w:val="18"/>
          <w:szCs w:val="18"/>
        </w:rPr>
        <w:t>the effectiveness of EU law</w:t>
      </w:r>
      <w:r>
        <w:rPr>
          <w:rFonts w:ascii="Times New Roman" w:eastAsia="Times New Roman" w:hAnsi="Times New Roman" w:cs="Times New Roman"/>
          <w:sz w:val="18"/>
          <w:szCs w:val="18"/>
        </w:rPr>
        <w:t xml:space="preserve">, with reference to </w:t>
      </w:r>
      <w:r>
        <w:rPr>
          <w:rFonts w:ascii="Times New Roman" w:hAnsi="Times New Roman" w:cs="Times New Roman"/>
          <w:bCs/>
          <w:sz w:val="18"/>
          <w:szCs w:val="18"/>
        </w:rPr>
        <w:t>O’Brien case (C-393/10).</w:t>
      </w:r>
    </w:p>
  </w:footnote>
  <w:footnote w:id="46">
    <w:p w:rsidR="00B70A3C" w:rsidRDefault="00242C75">
      <w:pPr>
        <w:pStyle w:val="FootnoteText"/>
        <w:spacing w:after="0"/>
      </w:pPr>
      <w:r>
        <w:rPr>
          <w:rStyle w:val="FootnoteReference"/>
          <w:rFonts w:ascii="Times New Roman" w:hAnsi="Times New Roman" w:cs="Times New Roman"/>
          <w:sz w:val="18"/>
          <w:szCs w:val="18"/>
        </w:rPr>
        <w:footnoteRef/>
      </w:r>
      <w:r>
        <w:rPr>
          <w:rStyle w:val="FootnoteReference"/>
          <w:rFonts w:ascii="Times New Roman" w:hAnsi="Times New Roman" w:cs="Times New Roman"/>
          <w:sz w:val="18"/>
          <w:szCs w:val="18"/>
        </w:rPr>
        <w:t xml:space="preserve"> </w:t>
      </w:r>
      <w:r>
        <w:t xml:space="preserve"> </w:t>
      </w:r>
      <w:r>
        <w:tab/>
      </w:r>
      <w:r>
        <w:rPr>
          <w:rFonts w:ascii="Times New Roman" w:hAnsi="Times New Roman" w:cs="Times New Roman"/>
          <w:sz w:val="18"/>
          <w:szCs w:val="18"/>
        </w:rPr>
        <w:t>See also COM(2010) 373 final, pages 4-6.</w:t>
      </w:r>
    </w:p>
  </w:footnote>
  <w:footnote w:id="47">
    <w:p w:rsidR="00B70A3C" w:rsidRDefault="00242C75">
      <w:pPr>
        <w:pStyle w:val="FootnoteText"/>
        <w:spacing w:after="0"/>
      </w:pPr>
      <w:r>
        <w:rPr>
          <w:rStyle w:val="FootnoteReference"/>
          <w:rFonts w:ascii="Times New Roman" w:hAnsi="Times New Roman" w:cs="Times New Roman"/>
          <w:sz w:val="18"/>
          <w:szCs w:val="18"/>
        </w:rPr>
        <w:footnoteRef/>
      </w:r>
      <w:r>
        <w:rPr>
          <w:rStyle w:val="FootnoteReference"/>
          <w:rFonts w:ascii="Times New Roman" w:hAnsi="Times New Roman" w:cs="Times New Roman"/>
          <w:sz w:val="18"/>
          <w:szCs w:val="18"/>
        </w:rPr>
        <w:t xml:space="preserve"> </w:t>
      </w:r>
      <w:r>
        <w:tab/>
      </w:r>
      <w:proofErr w:type="spellStart"/>
      <w:r>
        <w:rPr>
          <w:rFonts w:ascii="Times New Roman" w:hAnsi="Times New Roman" w:cs="Times New Roman"/>
          <w:sz w:val="18"/>
          <w:szCs w:val="18"/>
        </w:rPr>
        <w:t>Jany</w:t>
      </w:r>
      <w:proofErr w:type="spellEnd"/>
      <w:r>
        <w:rPr>
          <w:rFonts w:ascii="Times New Roman" w:hAnsi="Times New Roman" w:cs="Times New Roman"/>
          <w:sz w:val="18"/>
          <w:szCs w:val="18"/>
        </w:rPr>
        <w:t xml:space="preserve"> and Others v </w:t>
      </w:r>
      <w:proofErr w:type="spellStart"/>
      <w:r>
        <w:rPr>
          <w:rFonts w:ascii="Times New Roman" w:hAnsi="Times New Roman" w:cs="Times New Roman"/>
          <w:sz w:val="18"/>
          <w:szCs w:val="18"/>
        </w:rPr>
        <w:t>Staatssecretaris</w:t>
      </w:r>
      <w:proofErr w:type="spellEnd"/>
      <w:r>
        <w:rPr>
          <w:rFonts w:ascii="Times New Roman" w:hAnsi="Times New Roman" w:cs="Times New Roman"/>
          <w:sz w:val="18"/>
          <w:szCs w:val="18"/>
        </w:rPr>
        <w:t xml:space="preserve"> van </w:t>
      </w:r>
      <w:proofErr w:type="spellStart"/>
      <w:r>
        <w:rPr>
          <w:rFonts w:ascii="Times New Roman" w:hAnsi="Times New Roman" w:cs="Times New Roman"/>
          <w:sz w:val="18"/>
          <w:szCs w:val="18"/>
        </w:rPr>
        <w:t>Justitie</w:t>
      </w:r>
      <w:proofErr w:type="spellEnd"/>
      <w:r>
        <w:rPr>
          <w:rFonts w:ascii="Times New Roman" w:hAnsi="Times New Roman" w:cs="Times New Roman"/>
          <w:sz w:val="18"/>
          <w:szCs w:val="18"/>
        </w:rPr>
        <w:t xml:space="preserve"> (C-268/99).</w:t>
      </w:r>
    </w:p>
  </w:footnote>
  <w:footnote w:id="48">
    <w:p w:rsidR="00B70A3C" w:rsidRDefault="00242C75">
      <w:pPr>
        <w:pStyle w:val="FootnoteText"/>
        <w:spacing w:after="0"/>
      </w:pPr>
      <w:r>
        <w:rPr>
          <w:rStyle w:val="FootnoteReference"/>
          <w:rFonts w:ascii="Times New Roman" w:hAnsi="Times New Roman" w:cs="Times New Roman"/>
          <w:sz w:val="18"/>
          <w:szCs w:val="18"/>
        </w:rPr>
        <w:footnoteRef/>
      </w:r>
      <w:r>
        <w:t xml:space="preserve"> </w:t>
      </w:r>
      <w:r>
        <w:tab/>
      </w:r>
      <w:r>
        <w:rPr>
          <w:i/>
        </w:rPr>
        <w:t>'</w:t>
      </w:r>
      <w:r>
        <w:rPr>
          <w:rFonts w:ascii="Times New Roman" w:hAnsi="Times New Roman"/>
          <w:i/>
          <w:sz w:val="18"/>
        </w:rPr>
        <w:t xml:space="preserve">The rise of the 'just-in-time workforce': on-demand work, </w:t>
      </w:r>
      <w:proofErr w:type="spellStart"/>
      <w:r>
        <w:rPr>
          <w:rFonts w:ascii="Times New Roman" w:hAnsi="Times New Roman"/>
          <w:i/>
          <w:sz w:val="18"/>
        </w:rPr>
        <w:t>crowdwork</w:t>
      </w:r>
      <w:proofErr w:type="spellEnd"/>
      <w:r>
        <w:rPr>
          <w:rFonts w:ascii="Times New Roman" w:hAnsi="Times New Roman"/>
          <w:i/>
          <w:sz w:val="18"/>
        </w:rPr>
        <w:t xml:space="preserve"> and labour protection in the 'gig economy'</w:t>
      </w:r>
      <w:r>
        <w:rPr>
          <w:rFonts w:ascii="Times New Roman" w:hAnsi="Times New Roman"/>
          <w:sz w:val="18"/>
        </w:rPr>
        <w:t xml:space="preserve">, </w:t>
      </w:r>
      <w:r>
        <w:rPr>
          <w:rFonts w:ascii="Times New Roman" w:hAnsi="Times New Roman" w:cs="Times New Roman"/>
          <w:sz w:val="18"/>
          <w:szCs w:val="18"/>
        </w:rPr>
        <w:t>Valerio De Stefano, ILO Conditions of Work and Employment Series No. 71 , 2016, p. 17</w:t>
      </w:r>
    </w:p>
  </w:footnote>
  <w:footnote w:id="49">
    <w:p w:rsidR="00B70A3C" w:rsidRDefault="00242C75">
      <w:pPr>
        <w:pStyle w:val="FootnoteText"/>
        <w:spacing w:after="0"/>
      </w:pPr>
      <w:r>
        <w:rPr>
          <w:rStyle w:val="FootnoteReference"/>
          <w:rFonts w:ascii="Times New Roman" w:hAnsi="Times New Roman" w:cs="Times New Roman"/>
          <w:sz w:val="18"/>
          <w:szCs w:val="18"/>
        </w:rPr>
        <w:footnoteRef/>
      </w:r>
      <w:r>
        <w:rPr>
          <w:rStyle w:val="FootnoteReference"/>
          <w:rFonts w:ascii="Times New Roman" w:hAnsi="Times New Roman" w:cs="Times New Roman"/>
          <w:sz w:val="18"/>
          <w:szCs w:val="18"/>
        </w:rPr>
        <w:t xml:space="preserve"> </w:t>
      </w:r>
      <w:r>
        <w:tab/>
      </w:r>
      <w:proofErr w:type="spellStart"/>
      <w:r>
        <w:rPr>
          <w:rFonts w:ascii="Times New Roman" w:hAnsi="Times New Roman" w:cs="Times New Roman"/>
          <w:sz w:val="18"/>
          <w:szCs w:val="18"/>
        </w:rPr>
        <w:t>Danosa</w:t>
      </w:r>
      <w:proofErr w:type="spellEnd"/>
      <w:r>
        <w:rPr>
          <w:rFonts w:ascii="Times New Roman" w:hAnsi="Times New Roman" w:cs="Times New Roman"/>
          <w:sz w:val="18"/>
          <w:szCs w:val="18"/>
        </w:rPr>
        <w:t xml:space="preserve"> (C-232/09); see also De Stefano, ibid, page 16</w:t>
      </w:r>
    </w:p>
  </w:footnote>
  <w:footnote w:id="50">
    <w:p w:rsidR="00B70A3C" w:rsidRDefault="00242C75">
      <w:pPr>
        <w:pStyle w:val="FootnoteText"/>
        <w:spacing w:after="0"/>
      </w:pPr>
      <w:r>
        <w:rPr>
          <w:rStyle w:val="FootnoteReference"/>
          <w:rFonts w:ascii="Times New Roman" w:hAnsi="Times New Roman" w:cs="Times New Roman"/>
          <w:sz w:val="18"/>
          <w:szCs w:val="18"/>
        </w:rPr>
        <w:footnoteRef/>
      </w:r>
      <w:r>
        <w:rPr>
          <w:rStyle w:val="FootnoteReference"/>
          <w:rFonts w:ascii="Times New Roman" w:hAnsi="Times New Roman" w:cs="Times New Roman"/>
          <w:sz w:val="18"/>
          <w:szCs w:val="18"/>
        </w:rPr>
        <w:t xml:space="preserve"> </w:t>
      </w:r>
      <w:r>
        <w:rPr>
          <w:rStyle w:val="FootnoteReference"/>
          <w:rFonts w:ascii="Times New Roman" w:hAnsi="Times New Roman" w:cs="Times New Roman"/>
          <w:sz w:val="18"/>
          <w:szCs w:val="18"/>
        </w:rPr>
        <w:tab/>
      </w:r>
      <w:r>
        <w:rPr>
          <w:rFonts w:ascii="Times New Roman" w:hAnsi="Times New Roman"/>
          <w:sz w:val="18"/>
        </w:rPr>
        <w:t>For more details on the actual assessment of 'genuineness of work' by CJEU, as well as in the Member States (e.g. using earning or hour-based thresholds) in the context of free movement of workers,</w:t>
      </w:r>
      <w:r>
        <w:rPr>
          <w:rStyle w:val="Caractresdenotedebasdepage"/>
        </w:rPr>
        <w:t xml:space="preserve"> </w:t>
      </w:r>
      <w:r>
        <w:rPr>
          <w:rFonts w:ascii="Times New Roman" w:hAnsi="Times New Roman"/>
          <w:sz w:val="18"/>
        </w:rPr>
        <w:t>see '</w:t>
      </w:r>
      <w:r>
        <w:rPr>
          <w:rFonts w:ascii="Times New Roman" w:hAnsi="Times New Roman"/>
          <w:i/>
          <w:sz w:val="18"/>
        </w:rPr>
        <w:t>Comparative Report 2015 - The concept of worker under Article 45 TFEU and certain non-standard forms of employment'</w:t>
      </w:r>
      <w:r>
        <w:rPr>
          <w:sz w:val="18"/>
        </w:rPr>
        <w:t>,</w:t>
      </w:r>
      <w:r>
        <w:rPr>
          <w:rFonts w:ascii="Times New Roman" w:hAnsi="Times New Roman"/>
          <w:sz w:val="18"/>
        </w:rPr>
        <w:t xml:space="preserve">, </w:t>
      </w:r>
      <w:proofErr w:type="spellStart"/>
      <w:r>
        <w:rPr>
          <w:rFonts w:ascii="Times New Roman" w:hAnsi="Times New Roman"/>
          <w:sz w:val="18"/>
        </w:rPr>
        <w:t>FreSsco</w:t>
      </w:r>
      <w:proofErr w:type="spellEnd"/>
      <w:r>
        <w:rPr>
          <w:rFonts w:ascii="Times New Roman" w:hAnsi="Times New Roman"/>
          <w:sz w:val="18"/>
        </w:rPr>
        <w:t xml:space="preserve"> network for the European Commission</w:t>
      </w:r>
    </w:p>
  </w:footnote>
  <w:footnote w:id="51">
    <w:p w:rsidR="00B70A3C" w:rsidRDefault="00242C75">
      <w:pPr>
        <w:pStyle w:val="FootnoteText"/>
        <w:spacing w:after="0"/>
        <w:rPr>
          <w:lang w:val="de-DE"/>
        </w:rPr>
      </w:pPr>
      <w:r>
        <w:rPr>
          <w:rStyle w:val="FootnoteReference"/>
          <w:rFonts w:ascii="Times New Roman" w:hAnsi="Times New Roman" w:cs="Times New Roman"/>
          <w:sz w:val="18"/>
          <w:szCs w:val="18"/>
        </w:rPr>
        <w:footnoteRef/>
      </w:r>
      <w:r>
        <w:rPr>
          <w:rStyle w:val="FootnoteReference"/>
          <w:rFonts w:ascii="Times New Roman" w:hAnsi="Times New Roman" w:cs="Times New Roman"/>
          <w:sz w:val="18"/>
          <w:szCs w:val="18"/>
          <w:lang w:val="de-DE"/>
        </w:rPr>
        <w:t xml:space="preserve"> </w:t>
      </w:r>
      <w:r>
        <w:rPr>
          <w:rFonts w:ascii="Times New Roman" w:hAnsi="Times New Roman" w:cs="Times New Roman"/>
          <w:sz w:val="18"/>
          <w:szCs w:val="18"/>
          <w:lang w:val="de-DE"/>
        </w:rPr>
        <w:tab/>
      </w:r>
      <w:proofErr w:type="spellStart"/>
      <w:r>
        <w:rPr>
          <w:rFonts w:ascii="Times New Roman" w:hAnsi="Times New Roman"/>
          <w:sz w:val="18"/>
          <w:lang w:val="de-DE"/>
        </w:rPr>
        <w:t>Ninni-Orasche</w:t>
      </w:r>
      <w:proofErr w:type="spellEnd"/>
      <w:r>
        <w:rPr>
          <w:rFonts w:ascii="Times New Roman" w:hAnsi="Times New Roman"/>
          <w:sz w:val="18"/>
          <w:lang w:val="de-DE"/>
        </w:rPr>
        <w:t xml:space="preserve"> (C-413/01)</w:t>
      </w:r>
    </w:p>
  </w:footnote>
  <w:footnote w:id="52">
    <w:p w:rsidR="00B70A3C" w:rsidRDefault="00242C75">
      <w:pPr>
        <w:pStyle w:val="FootnoteText"/>
        <w:spacing w:after="0"/>
        <w:rPr>
          <w:lang w:val="de-DE"/>
        </w:rPr>
      </w:pPr>
      <w:r>
        <w:rPr>
          <w:rStyle w:val="FootnoteReference"/>
          <w:rFonts w:ascii="Times New Roman" w:hAnsi="Times New Roman" w:cs="Times New Roman"/>
          <w:sz w:val="18"/>
          <w:szCs w:val="18"/>
        </w:rPr>
        <w:footnoteRef/>
      </w:r>
      <w:r>
        <w:rPr>
          <w:rStyle w:val="FootnoteReference"/>
          <w:rFonts w:ascii="Times New Roman" w:hAnsi="Times New Roman" w:cs="Times New Roman"/>
          <w:sz w:val="18"/>
          <w:szCs w:val="18"/>
          <w:lang w:val="de-DE"/>
        </w:rPr>
        <w:t xml:space="preserve"> </w:t>
      </w:r>
      <w:r>
        <w:rPr>
          <w:rFonts w:ascii="Times New Roman" w:hAnsi="Times New Roman" w:cs="Times New Roman"/>
          <w:sz w:val="18"/>
          <w:szCs w:val="18"/>
          <w:lang w:val="de-DE"/>
        </w:rPr>
        <w:tab/>
      </w:r>
      <w:r>
        <w:rPr>
          <w:rFonts w:ascii="Times New Roman" w:hAnsi="Times New Roman"/>
          <w:sz w:val="18"/>
          <w:lang w:val="de-DE"/>
        </w:rPr>
        <w:t>Kempf (C-</w:t>
      </w:r>
      <w:r>
        <w:rPr>
          <w:rFonts w:ascii="Times New Roman" w:hAnsi="Times New Roman" w:cs="Times New Roman"/>
          <w:sz w:val="18"/>
          <w:lang w:val="de-DE"/>
        </w:rPr>
        <w:t xml:space="preserve"> 139/85)</w:t>
      </w:r>
    </w:p>
  </w:footnote>
  <w:footnote w:id="53">
    <w:p w:rsidR="00B70A3C" w:rsidRDefault="00242C75">
      <w:pPr>
        <w:pStyle w:val="FootnoteText"/>
        <w:spacing w:after="0"/>
        <w:rPr>
          <w:lang w:val="de-DE"/>
        </w:rPr>
      </w:pPr>
      <w:r>
        <w:rPr>
          <w:rStyle w:val="FootnoteReference"/>
          <w:rFonts w:ascii="Times New Roman" w:hAnsi="Times New Roman" w:cs="Times New Roman"/>
          <w:sz w:val="18"/>
          <w:szCs w:val="18"/>
        </w:rPr>
        <w:footnoteRef/>
      </w:r>
      <w:r>
        <w:rPr>
          <w:rFonts w:ascii="Times New Roman" w:hAnsi="Times New Roman" w:cs="Times New Roman"/>
          <w:sz w:val="18"/>
          <w:szCs w:val="18"/>
          <w:lang w:val="de-DE"/>
        </w:rPr>
        <w:t xml:space="preserve"> </w:t>
      </w:r>
      <w:r>
        <w:rPr>
          <w:lang w:val="de-DE"/>
        </w:rPr>
        <w:tab/>
      </w:r>
      <w:proofErr w:type="spellStart"/>
      <w:r>
        <w:rPr>
          <w:rFonts w:ascii="Times New Roman" w:hAnsi="Times New Roman" w:cs="Times New Roman"/>
          <w:sz w:val="18"/>
          <w:szCs w:val="18"/>
          <w:lang w:val="de-DE"/>
        </w:rPr>
        <w:t>Raulin</w:t>
      </w:r>
      <w:proofErr w:type="spellEnd"/>
      <w:r>
        <w:rPr>
          <w:rFonts w:ascii="Times New Roman" w:hAnsi="Times New Roman" w:cs="Times New Roman"/>
          <w:sz w:val="18"/>
          <w:szCs w:val="18"/>
          <w:lang w:val="de-DE"/>
        </w:rPr>
        <w:t xml:space="preserve"> (C-357/89)</w:t>
      </w:r>
    </w:p>
  </w:footnote>
  <w:footnote w:id="54">
    <w:p w:rsidR="00B70A3C" w:rsidRDefault="00242C75">
      <w:pPr>
        <w:pStyle w:val="FootnoteText"/>
        <w:spacing w:after="0"/>
      </w:pPr>
      <w:r>
        <w:rPr>
          <w:rStyle w:val="FootnoteReference"/>
          <w:rFonts w:ascii="Times New Roman" w:hAnsi="Times New Roman" w:cs="Times New Roman"/>
          <w:sz w:val="18"/>
          <w:szCs w:val="18"/>
        </w:rPr>
        <w:footnoteRef/>
      </w:r>
      <w:r>
        <w:rPr>
          <w:rStyle w:val="FootnoteReference"/>
        </w:rPr>
        <w:t xml:space="preserve"> </w:t>
      </w:r>
      <w:r>
        <w:rPr>
          <w:rFonts w:ascii="Times New Roman" w:hAnsi="Times New Roman" w:cs="Times New Roman"/>
          <w:sz w:val="18"/>
          <w:szCs w:val="18"/>
        </w:rPr>
        <w:tab/>
      </w:r>
      <w:proofErr w:type="spellStart"/>
      <w:r>
        <w:rPr>
          <w:rFonts w:ascii="Times New Roman" w:hAnsi="Times New Roman" w:cs="Times New Roman"/>
          <w:sz w:val="18"/>
          <w:szCs w:val="18"/>
        </w:rPr>
        <w:t>Bettray</w:t>
      </w:r>
      <w:proofErr w:type="spellEnd"/>
      <w:r>
        <w:rPr>
          <w:rFonts w:ascii="Times New Roman" w:hAnsi="Times New Roman" w:cs="Times New Roman"/>
          <w:sz w:val="18"/>
          <w:szCs w:val="18"/>
        </w:rPr>
        <w:t xml:space="preserve"> (C-344/87)</w:t>
      </w:r>
    </w:p>
  </w:footnote>
  <w:footnote w:id="55">
    <w:p w:rsidR="00B70A3C" w:rsidRDefault="00242C75">
      <w:pPr>
        <w:pStyle w:val="FootnoteText"/>
        <w:spacing w:after="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s="Times New Roman"/>
          <w:sz w:val="18"/>
          <w:szCs w:val="18"/>
        </w:rPr>
        <w:tab/>
        <w:t>An overview of initiatives can be found in the Staff Working Document accompanying this Communication.</w:t>
      </w:r>
    </w:p>
  </w:footnote>
  <w:footnote w:id="56">
    <w:p w:rsidR="00B70A3C" w:rsidRDefault="00242C75">
      <w:pPr>
        <w:pStyle w:val="Default"/>
        <w:jc w:val="left"/>
      </w:pPr>
      <w:r>
        <w:rPr>
          <w:rStyle w:val="FootnoteReference"/>
          <w:sz w:val="18"/>
          <w:szCs w:val="18"/>
        </w:rPr>
        <w:footnoteRef/>
      </w:r>
      <w:r>
        <w:t xml:space="preserve">    </w:t>
      </w:r>
      <w:r>
        <w:rPr>
          <w:color w:val="auto"/>
          <w:sz w:val="18"/>
          <w:szCs w:val="18"/>
        </w:rPr>
        <w:t>COM(2016) 148 final, of 7.04.2016, Communication on an action plan on VAT; Towards a single EU VAT area - Time to decide</w:t>
      </w:r>
    </w:p>
  </w:footnote>
  <w:footnote w:id="57">
    <w:p w:rsidR="00B70A3C" w:rsidRDefault="00242C75">
      <w:pPr>
        <w:pStyle w:val="FootnoteText"/>
        <w:spacing w:after="0"/>
        <w:rPr>
          <w:rFonts w:ascii="Times New Roman" w:hAnsi="Times New Roman" w:cs="Times New Roman"/>
          <w:sz w:val="18"/>
          <w:szCs w:val="18"/>
        </w:rPr>
      </w:pPr>
      <w:r>
        <w:rPr>
          <w:rStyle w:val="FootnoteReference"/>
          <w:rFonts w:ascii="Times New Roman" w:hAnsi="Times New Roman" w:cs="Times New Roman"/>
          <w:color w:val="000000"/>
          <w:sz w:val="18"/>
          <w:szCs w:val="18"/>
        </w:rPr>
        <w:footnoteRef/>
      </w:r>
      <w:r>
        <w:rPr>
          <w:rStyle w:val="FootnoteReference"/>
        </w:rPr>
        <w:t xml:space="preserve"> </w:t>
      </w:r>
      <w:r>
        <w:rPr>
          <w:rFonts w:ascii="Times New Roman" w:hAnsi="Times New Roman" w:cs="Times New Roman"/>
          <w:sz w:val="18"/>
          <w:szCs w:val="18"/>
          <w:vertAlign w:val="superscript"/>
        </w:rPr>
        <w:tab/>
      </w:r>
      <w:r>
        <w:rPr>
          <w:rFonts w:ascii="Times New Roman" w:hAnsi="Times New Roman" w:cs="Times New Roman"/>
          <w:sz w:val="18"/>
          <w:szCs w:val="18"/>
        </w:rPr>
        <w:t>In addition, information will be drawn from official statistics and third party reports.</w:t>
      </w:r>
    </w:p>
  </w:footnote>
  <w:footnote w:id="58">
    <w:p w:rsidR="00B70A3C" w:rsidRDefault="00242C75">
      <w:pPr>
        <w:pStyle w:val="FootnoteText"/>
        <w:spacing w:after="0"/>
        <w:rPr>
          <w:rFonts w:ascii="Times New Roman" w:hAnsi="Times New Roman" w:cs="Times New Roman"/>
          <w:sz w:val="18"/>
          <w:szCs w:val="18"/>
        </w:rPr>
      </w:pPr>
      <w:r>
        <w:rPr>
          <w:rStyle w:val="FootnoteReference"/>
        </w:rPr>
        <w:footnoteRef/>
      </w:r>
      <w:r>
        <w:rPr>
          <w:rStyle w:val="FootnoteReference"/>
        </w:rPr>
        <w:t xml:space="preserve"> </w:t>
      </w:r>
      <w:r>
        <w:rPr>
          <w:rFonts w:ascii="Times New Roman" w:hAnsi="Times New Roman" w:cs="Times New Roman"/>
          <w:sz w:val="18"/>
          <w:szCs w:val="18"/>
        </w:rPr>
        <w:t xml:space="preserve">  </w:t>
      </w:r>
      <w:r>
        <w:rPr>
          <w:rFonts w:ascii="Times New Roman" w:hAnsi="Times New Roman" w:cs="Times New Roman"/>
          <w:sz w:val="18"/>
          <w:szCs w:val="18"/>
        </w:rPr>
        <w:tab/>
        <w:t>The core elements will be complemented with data and insights from third party reports, possible data analytics and web scraping, and official statistics to the extent information is available..</w:t>
      </w:r>
    </w:p>
  </w:footnote>
  <w:footnote w:id="59">
    <w:p w:rsidR="00B70A3C" w:rsidRDefault="00242C75">
      <w:pPr>
        <w:pStyle w:val="FootnoteText"/>
        <w:spacing w:after="0"/>
      </w:pPr>
      <w:r>
        <w:rPr>
          <w:rStyle w:val="FootnoteReference"/>
        </w:rPr>
        <w:footnoteRef/>
      </w:r>
      <w:r>
        <w:rPr>
          <w:rFonts w:ascii="Times New Roman" w:hAnsi="Times New Roman" w:cs="Times New Roman"/>
          <w:sz w:val="18"/>
          <w:szCs w:val="18"/>
          <w:vertAlign w:val="superscript"/>
        </w:rPr>
        <w:t xml:space="preserve"> </w:t>
      </w:r>
      <w:r>
        <w:rPr>
          <w:rFonts w:ascii="Times New Roman" w:hAnsi="Times New Roman" w:cs="Times New Roman"/>
          <w:sz w:val="18"/>
          <w:szCs w:val="18"/>
        </w:rPr>
        <w:t xml:space="preserve">  </w:t>
      </w:r>
      <w:r>
        <w:rPr>
          <w:rFonts w:ascii="Times New Roman" w:hAnsi="Times New Roman" w:cs="Times New Roman"/>
          <w:sz w:val="18"/>
          <w:szCs w:val="18"/>
        </w:rPr>
        <w:tab/>
        <w:t>Existing or future REFIT exercises may also identify areas where further intervention is needed.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C75" w:rsidRPr="00242C75" w:rsidRDefault="00242C75" w:rsidP="00242C7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C75" w:rsidRPr="00242C75" w:rsidRDefault="00242C75" w:rsidP="00242C75">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C75" w:rsidRPr="00242C75" w:rsidRDefault="00242C75" w:rsidP="00242C75">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A3C" w:rsidRDefault="00B70A3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A3C" w:rsidRDefault="00B70A3C">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A3C" w:rsidRDefault="00B70A3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74986"/>
    <w:multiLevelType w:val="hybridMultilevel"/>
    <w:tmpl w:val="E1840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7379BF"/>
    <w:multiLevelType w:val="hybridMultilevel"/>
    <w:tmpl w:val="B694E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4E4265E"/>
    <w:multiLevelType w:val="hybridMultilevel"/>
    <w:tmpl w:val="54CA54A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nsid w:val="158E0E18"/>
    <w:multiLevelType w:val="hybridMultilevel"/>
    <w:tmpl w:val="B9E4F31C"/>
    <w:lvl w:ilvl="0" w:tplc="E2AEECCA">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183F5BB5"/>
    <w:multiLevelType w:val="hybridMultilevel"/>
    <w:tmpl w:val="DE3A1B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5">
    <w:nsid w:val="19C95FB0"/>
    <w:multiLevelType w:val="hybridMultilevel"/>
    <w:tmpl w:val="5EB0EC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C952C11"/>
    <w:multiLevelType w:val="hybridMultilevel"/>
    <w:tmpl w:val="368881E8"/>
    <w:lvl w:ilvl="0" w:tplc="1248C432">
      <w:numFmt w:val="bullet"/>
      <w:lvlText w:val="•"/>
      <w:lvlJc w:val="left"/>
      <w:pPr>
        <w:ind w:left="1080" w:hanging="72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8A50921"/>
    <w:multiLevelType w:val="hybridMultilevel"/>
    <w:tmpl w:val="E8A82B8E"/>
    <w:lvl w:ilvl="0" w:tplc="0809000F">
      <w:start w:val="1"/>
      <w:numFmt w:val="decimal"/>
      <w:lvlText w:val="%1."/>
      <w:lvlJc w:val="left"/>
      <w:pPr>
        <w:ind w:left="1080" w:hanging="72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ACB79F2"/>
    <w:multiLevelType w:val="hybridMultilevel"/>
    <w:tmpl w:val="28906E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E604900"/>
    <w:multiLevelType w:val="hybridMultilevel"/>
    <w:tmpl w:val="8D185562"/>
    <w:lvl w:ilvl="0" w:tplc="9E3E2E88">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320C31B5"/>
    <w:multiLevelType w:val="hybridMultilevel"/>
    <w:tmpl w:val="05284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59303E0"/>
    <w:multiLevelType w:val="hybridMultilevel"/>
    <w:tmpl w:val="9F18C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8067AA7"/>
    <w:multiLevelType w:val="hybridMultilevel"/>
    <w:tmpl w:val="4B185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B3766CC"/>
    <w:multiLevelType w:val="hybridMultilevel"/>
    <w:tmpl w:val="4E0ECC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BDE0414"/>
    <w:multiLevelType w:val="hybridMultilevel"/>
    <w:tmpl w:val="547A32C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FDF0C3C"/>
    <w:multiLevelType w:val="hybridMultilevel"/>
    <w:tmpl w:val="FDDA243E"/>
    <w:lvl w:ilvl="0" w:tplc="AF7CB5CC">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nsid w:val="451F08D4"/>
    <w:multiLevelType w:val="hybridMultilevel"/>
    <w:tmpl w:val="D8FCD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65608DD"/>
    <w:multiLevelType w:val="hybridMultilevel"/>
    <w:tmpl w:val="625E3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9836550"/>
    <w:multiLevelType w:val="hybridMultilevel"/>
    <w:tmpl w:val="53009480"/>
    <w:lvl w:ilvl="0" w:tplc="08090001">
      <w:start w:val="1"/>
      <w:numFmt w:val="bullet"/>
      <w:lvlText w:val=""/>
      <w:lvlJc w:val="left"/>
      <w:pPr>
        <w:ind w:left="2814" w:hanging="360"/>
      </w:pPr>
      <w:rPr>
        <w:rFonts w:ascii="Symbol" w:hAnsi="Symbol" w:hint="default"/>
      </w:rPr>
    </w:lvl>
    <w:lvl w:ilvl="1" w:tplc="08090003" w:tentative="1">
      <w:start w:val="1"/>
      <w:numFmt w:val="bullet"/>
      <w:lvlText w:val="o"/>
      <w:lvlJc w:val="left"/>
      <w:pPr>
        <w:ind w:left="3534" w:hanging="360"/>
      </w:pPr>
      <w:rPr>
        <w:rFonts w:ascii="Courier New" w:hAnsi="Courier New" w:cs="Courier New" w:hint="default"/>
      </w:rPr>
    </w:lvl>
    <w:lvl w:ilvl="2" w:tplc="08090005" w:tentative="1">
      <w:start w:val="1"/>
      <w:numFmt w:val="bullet"/>
      <w:lvlText w:val=""/>
      <w:lvlJc w:val="left"/>
      <w:pPr>
        <w:ind w:left="4254" w:hanging="360"/>
      </w:pPr>
      <w:rPr>
        <w:rFonts w:ascii="Wingdings" w:hAnsi="Wingdings" w:hint="default"/>
      </w:rPr>
    </w:lvl>
    <w:lvl w:ilvl="3" w:tplc="08090001" w:tentative="1">
      <w:start w:val="1"/>
      <w:numFmt w:val="bullet"/>
      <w:lvlText w:val=""/>
      <w:lvlJc w:val="left"/>
      <w:pPr>
        <w:ind w:left="4974" w:hanging="360"/>
      </w:pPr>
      <w:rPr>
        <w:rFonts w:ascii="Symbol" w:hAnsi="Symbol" w:hint="default"/>
      </w:rPr>
    </w:lvl>
    <w:lvl w:ilvl="4" w:tplc="08090003" w:tentative="1">
      <w:start w:val="1"/>
      <w:numFmt w:val="bullet"/>
      <w:lvlText w:val="o"/>
      <w:lvlJc w:val="left"/>
      <w:pPr>
        <w:ind w:left="5694" w:hanging="360"/>
      </w:pPr>
      <w:rPr>
        <w:rFonts w:ascii="Courier New" w:hAnsi="Courier New" w:cs="Courier New" w:hint="default"/>
      </w:rPr>
    </w:lvl>
    <w:lvl w:ilvl="5" w:tplc="08090005" w:tentative="1">
      <w:start w:val="1"/>
      <w:numFmt w:val="bullet"/>
      <w:lvlText w:val=""/>
      <w:lvlJc w:val="left"/>
      <w:pPr>
        <w:ind w:left="6414" w:hanging="360"/>
      </w:pPr>
      <w:rPr>
        <w:rFonts w:ascii="Wingdings" w:hAnsi="Wingdings" w:hint="default"/>
      </w:rPr>
    </w:lvl>
    <w:lvl w:ilvl="6" w:tplc="08090001" w:tentative="1">
      <w:start w:val="1"/>
      <w:numFmt w:val="bullet"/>
      <w:lvlText w:val=""/>
      <w:lvlJc w:val="left"/>
      <w:pPr>
        <w:ind w:left="7134" w:hanging="360"/>
      </w:pPr>
      <w:rPr>
        <w:rFonts w:ascii="Symbol" w:hAnsi="Symbol" w:hint="default"/>
      </w:rPr>
    </w:lvl>
    <w:lvl w:ilvl="7" w:tplc="08090003" w:tentative="1">
      <w:start w:val="1"/>
      <w:numFmt w:val="bullet"/>
      <w:lvlText w:val="o"/>
      <w:lvlJc w:val="left"/>
      <w:pPr>
        <w:ind w:left="7854" w:hanging="360"/>
      </w:pPr>
      <w:rPr>
        <w:rFonts w:ascii="Courier New" w:hAnsi="Courier New" w:cs="Courier New" w:hint="default"/>
      </w:rPr>
    </w:lvl>
    <w:lvl w:ilvl="8" w:tplc="08090005" w:tentative="1">
      <w:start w:val="1"/>
      <w:numFmt w:val="bullet"/>
      <w:lvlText w:val=""/>
      <w:lvlJc w:val="left"/>
      <w:pPr>
        <w:ind w:left="8574" w:hanging="360"/>
      </w:pPr>
      <w:rPr>
        <w:rFonts w:ascii="Wingdings" w:hAnsi="Wingdings" w:hint="default"/>
      </w:rPr>
    </w:lvl>
  </w:abstractNum>
  <w:abstractNum w:abstractNumId="19">
    <w:nsid w:val="4D115577"/>
    <w:multiLevelType w:val="hybridMultilevel"/>
    <w:tmpl w:val="0590B2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0FB6128"/>
    <w:multiLevelType w:val="hybridMultilevel"/>
    <w:tmpl w:val="27E6F58E"/>
    <w:lvl w:ilvl="0" w:tplc="122443E4">
      <w:numFmt w:val="bullet"/>
      <w:lvlText w:val="•"/>
      <w:lvlJc w:val="left"/>
      <w:pPr>
        <w:ind w:left="1080" w:hanging="72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99E0F88"/>
    <w:multiLevelType w:val="hybridMultilevel"/>
    <w:tmpl w:val="05BA2E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9BA63EB"/>
    <w:multiLevelType w:val="hybridMultilevel"/>
    <w:tmpl w:val="1CBA6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A7A066D"/>
    <w:multiLevelType w:val="hybridMultilevel"/>
    <w:tmpl w:val="62609546"/>
    <w:lvl w:ilvl="0" w:tplc="08090001">
      <w:start w:val="1"/>
      <w:numFmt w:val="bullet"/>
      <w:lvlText w:val=""/>
      <w:lvlJc w:val="left"/>
      <w:pPr>
        <w:ind w:left="760" w:hanging="360"/>
      </w:pPr>
      <w:rPr>
        <w:rFonts w:ascii="Symbol" w:hAnsi="Symbo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24">
    <w:nsid w:val="6C4D1F8A"/>
    <w:multiLevelType w:val="hybridMultilevel"/>
    <w:tmpl w:val="52CA7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59930F9"/>
    <w:multiLevelType w:val="hybridMultilevel"/>
    <w:tmpl w:val="F27C1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78B6965"/>
    <w:multiLevelType w:val="hybridMultilevel"/>
    <w:tmpl w:val="3C840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D8D570C"/>
    <w:multiLevelType w:val="hybridMultilevel"/>
    <w:tmpl w:val="9EBC16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CDCD5F6">
      <w:numFmt w:val="bullet"/>
      <w:lvlText w:val="-"/>
      <w:lvlJc w:val="left"/>
      <w:pPr>
        <w:ind w:left="2160" w:hanging="360"/>
      </w:pPr>
      <w:rPr>
        <w:rFonts w:ascii="Calibri" w:eastAsiaTheme="minorHAnsi" w:hAnsi="Calibri" w:cstheme="minorBid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8"/>
  </w:num>
  <w:num w:numId="3">
    <w:abstractNumId w:val="12"/>
  </w:num>
  <w:num w:numId="4">
    <w:abstractNumId w:val="18"/>
  </w:num>
  <w:num w:numId="5">
    <w:abstractNumId w:val="1"/>
  </w:num>
  <w:num w:numId="6">
    <w:abstractNumId w:val="22"/>
  </w:num>
  <w:num w:numId="7">
    <w:abstractNumId w:val="2"/>
  </w:num>
  <w:num w:numId="8">
    <w:abstractNumId w:val="4"/>
  </w:num>
  <w:num w:numId="9">
    <w:abstractNumId w:val="23"/>
  </w:num>
  <w:num w:numId="10">
    <w:abstractNumId w:val="10"/>
  </w:num>
  <w:num w:numId="11">
    <w:abstractNumId w:val="19"/>
  </w:num>
  <w:num w:numId="12">
    <w:abstractNumId w:val="26"/>
  </w:num>
  <w:num w:numId="13">
    <w:abstractNumId w:val="14"/>
  </w:num>
  <w:num w:numId="14">
    <w:abstractNumId w:val="12"/>
  </w:num>
  <w:num w:numId="15">
    <w:abstractNumId w:val="13"/>
  </w:num>
  <w:num w:numId="16">
    <w:abstractNumId w:val="11"/>
  </w:num>
  <w:num w:numId="17">
    <w:abstractNumId w:val="27"/>
  </w:num>
  <w:num w:numId="18">
    <w:abstractNumId w:val="5"/>
  </w:num>
  <w:num w:numId="19">
    <w:abstractNumId w:val="16"/>
  </w:num>
  <w:num w:numId="20">
    <w:abstractNumId w:val="25"/>
  </w:num>
  <w:num w:numId="21">
    <w:abstractNumId w:val="0"/>
  </w:num>
  <w:num w:numId="22">
    <w:abstractNumId w:val="24"/>
  </w:num>
  <w:num w:numId="23">
    <w:abstractNumId w:val="6"/>
  </w:num>
  <w:num w:numId="24">
    <w:abstractNumId w:val="20"/>
  </w:num>
  <w:num w:numId="25">
    <w:abstractNumId w:val="9"/>
  </w:num>
  <w:num w:numId="26">
    <w:abstractNumId w:val="7"/>
  </w:num>
  <w:num w:numId="27">
    <w:abstractNumId w:val="15"/>
  </w:num>
  <w:num w:numId="28">
    <w:abstractNumId w:val="17"/>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hideSpellingErrors/>
  <w:hideGrammaticalErrors/>
  <w:proofState w:spelling="clean"/>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EU RESTRICTED"/>
    <w:docVar w:name="LW_CORRIGENDUM" w:val="&lt;UNUSED&gt;"/>
    <w:docVar w:name="LW_COVERPAGE_GUID" w:val="ABC438915C1B4FA3A53A20CFCB462A2A"/>
    <w:docVar w:name="LW_CROSSREFERENCE" w:val="{SWD(2016) 184 final}"/>
    <w:docVar w:name="LW_DocType" w:val="NORMAL"/>
    <w:docVar w:name="LW_EMISSION" w:val="2.6.2016"/>
    <w:docVar w:name="LW_EMISSION_ISODATE" w:val="2016-06-02"/>
    <w:docVar w:name="LW_EMISSION_LOCATION" w:val="BRX"/>
    <w:docVar w:name="LW_EMISSION_PREFIX" w:val="Brussels, "/>
    <w:docVar w:name="LW_EMISSION_SUFFIX" w:val=" "/>
    <w:docVar w:name="LW_ID_DOCTYPE_NONLW" w:val="CP-014"/>
    <w:docVar w:name="LW_LANGUE" w:val="EN"/>
    <w:docVar w:name="LW_MARKING" w:val="&lt;UNUSED&g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6) 356"/>
    <w:docVar w:name="LW_REF.INTERNE" w:val="&lt;UNUSED&gt;"/>
    <w:docVar w:name="LW_SOUS.TITRE.OBJ.CP" w:val="&lt;UNUSED&gt;"/>
    <w:docVar w:name="LW_SUPERTITRE" w:val="&lt;UNUSED&gt;"/>
    <w:docVar w:name="LW_TITRE.OBJ.CP" w:val="A European agenda for the collaborative economy"/>
    <w:docVar w:name="LW_TYPE.DOC.CP" w:val="COMMUNICATION FROM THE COMMISSION TO THE EUROPEAN PARLIAMENT, THE COUNCIL, THE EUROPEAN ECONOMIC AND SOCIAL COMMITTEE AND THE COMMITTEE OF THE REGIONS"/>
    <w:docVar w:name="LW_TYPE.DOC.CP.USERTEXT" w:val="&lt;EMPTY&gt;"/>
    <w:docVar w:name="Stamp" w:val="\\dossiers.dgt.cec.eu.int\dossiers\GROW\GROW-2016-00789\GROW-2016-00789-00-00-EN-REV-00.DOCX"/>
  </w:docVars>
  <w:rsids>
    <w:rsidRoot w:val="00B70A3C"/>
    <w:rsid w:val="00242C75"/>
    <w:rsid w:val="00B70A3C"/>
    <w:rsid w:val="00C52BE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qFormat/>
    <w:pPr>
      <w:keepNext/>
      <w:tabs>
        <w:tab w:val="num" w:pos="850"/>
      </w:tabs>
      <w:spacing w:before="240" w:after="240"/>
      <w:ind w:left="850" w:hanging="850"/>
      <w:outlineLvl w:val="2"/>
    </w:pPr>
    <w:rPr>
      <w:rFonts w:ascii="Times New Roman" w:eastAsia="Calibri" w:hAnsi="Times New Roman" w:cs="Times New Roman"/>
      <w:bCs/>
      <w:snapToGrid w:val="0"/>
      <w:sz w:val="24"/>
      <w:szCs w:val="24"/>
      <w:lang w:val="en-US"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FootnoteTextChar">
    <w:name w:val="Footnote Text Char"/>
    <w:aliases w:val="fn Char,Footnotes Char,Footnote ak Char,Footnote Text Char2 Char Char,Footnote Text Char Char Char1 Char,Footnote Text Char1 Char Char Char Char,Footnote Text Char2 Char Char Char Char Char,footnote text Char,Car3 Char,Footnote Char"/>
    <w:basedOn w:val="DefaultParagraphFont"/>
    <w:uiPriority w:val="99"/>
    <w:locked/>
  </w:style>
  <w:style w:type="paragraph" w:styleId="FootnoteText">
    <w:name w:val="footnote text"/>
    <w:aliases w:val="fn,Footnotes,Footnote ak,Footnote Text Char2 Char,Footnote Text Char Char Char1,Footnote Text Char1 Char Char Char,Footnote Text Char2 Char Char Char Char,Footnote Text Char1 Char1 Char Char Char Char,footnote text,Car3,Footnote,Fußnote,ft"/>
    <w:basedOn w:val="Normal"/>
    <w:uiPriority w:val="99"/>
    <w:unhideWhenUsed/>
    <w:qFormat/>
    <w:pPr>
      <w:spacing w:after="240"/>
      <w:ind w:left="357" w:hanging="357"/>
    </w:pPr>
  </w:style>
  <w:style w:type="character" w:customStyle="1" w:styleId="FootnoteTextChar1">
    <w:name w:val="Footnote Text Char1"/>
    <w:basedOn w:val="DefaultParagraphFont"/>
    <w:uiPriority w:val="99"/>
    <w:semiHidden/>
    <w:rPr>
      <w:sz w:val="20"/>
      <w:szCs w:val="20"/>
    </w:rPr>
  </w:style>
  <w:style w:type="character" w:styleId="FootnoteReference">
    <w:name w:val="footnote reference"/>
    <w:aliases w:val="SUPERS Car Car,Footnote number Car Car,de nota al pie Car Car,Ref Car Car,Footnote symbol Car Car,Char Car Car,Voetnootmarkering Car Car,Char1 Car Car,Nota Car Car,fr Car Car,o Car Car,(NECG) Footnote Reference Car Car, Char Car Car"/>
    <w:basedOn w:val="DefaultParagraphFont"/>
    <w:link w:val="SUPERSCar"/>
    <w:uiPriority w:val="99"/>
    <w:unhideWhenUsed/>
    <w:qFormat/>
    <w:rPr>
      <w:vertAlign w:val="superscript"/>
    </w:rPr>
  </w:style>
  <w:style w:type="paragraph" w:customStyle="1" w:styleId="SUPERSCar">
    <w:name w:val="SUPERS Car"/>
    <w:aliases w:val="Footnote number Car,de nota al pie Car,Ref Car,Footnote symbol Car,Char Car,Voetnootmarkering Car,Char1 Car,Nota Car,fr Car,o Car,(NECG) Footnote Reference Car, Char Car, Char1 Car"/>
    <w:basedOn w:val="Normal"/>
    <w:link w:val="FootnoteReference"/>
    <w:uiPriority w:val="99"/>
    <w:pPr>
      <w:spacing w:after="160" w:line="240" w:lineRule="exact"/>
    </w:pPr>
    <w:rPr>
      <w:vertAlign w:val="superscript"/>
    </w:rPr>
  </w:style>
  <w:style w:type="paragraph" w:customStyle="1" w:styleId="Text2">
    <w:name w:val="Text 2"/>
    <w:basedOn w:val="Normal"/>
    <w:pPr>
      <w:tabs>
        <w:tab w:val="left" w:pos="2160"/>
      </w:tabs>
      <w:spacing w:after="240"/>
      <w:ind w:left="1077"/>
    </w:pPr>
    <w:rPr>
      <w:rFonts w:ascii="Times New Roman" w:eastAsia="Times New Roman" w:hAnsi="Times New Roman" w:cs="Times New Roman"/>
      <w:sz w:val="24"/>
      <w:szCs w:val="20"/>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style>
  <w:style w:type="paragraph" w:styleId="Revision">
    <w:name w:val="Revision"/>
    <w:hidden/>
    <w:uiPriority w:val="99"/>
    <w:semiHidden/>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jc w:val="left"/>
    </w:pPr>
    <w:rPr>
      <w:rFonts w:ascii="Times New Roman" w:hAnsi="Times New Roman" w:cs="Times New Roman"/>
      <w:sz w:val="24"/>
      <w:szCs w:val="28"/>
    </w:rPr>
  </w:style>
  <w:style w:type="character" w:customStyle="1" w:styleId="FooterCoverPageChar">
    <w:name w:val="Footer Cover Page Char"/>
    <w:basedOn w:val="DefaultParagraphFont"/>
    <w:link w:val="FooterCoverPage"/>
    <w:rPr>
      <w:rFonts w:ascii="Times New Roman" w:hAnsi="Times New Roman" w:cs="Times New Roman"/>
      <w:sz w:val="24"/>
      <w:szCs w:val="28"/>
    </w:rPr>
  </w:style>
  <w:style w:type="paragraph" w:customStyle="1" w:styleId="HeaderCoverPage">
    <w:name w:val="Header Cover Page"/>
    <w:basedOn w:val="Normal"/>
    <w:link w:val="HeaderCoverPageChar"/>
    <w:pPr>
      <w:tabs>
        <w:tab w:val="center" w:pos="4535"/>
        <w:tab w:val="right" w:pos="9071"/>
      </w:tabs>
      <w:spacing w:after="120"/>
    </w:pPr>
    <w:rPr>
      <w:rFonts w:ascii="Times New Roman" w:hAnsi="Times New Roman" w:cs="Times New Roman"/>
      <w:sz w:val="24"/>
      <w:szCs w:val="28"/>
    </w:rPr>
  </w:style>
  <w:style w:type="character" w:customStyle="1" w:styleId="HeaderCoverPageChar">
    <w:name w:val="Header Cover Page Char"/>
    <w:basedOn w:val="DefaultParagraphFont"/>
    <w:link w:val="HeaderCoverPage"/>
    <w:rPr>
      <w:rFonts w:ascii="Times New Roman" w:hAnsi="Times New Roman" w:cs="Times New Roman"/>
      <w:sz w:val="24"/>
      <w:szCs w:val="28"/>
    </w:rPr>
  </w:style>
  <w:style w:type="paragraph" w:customStyle="1" w:styleId="Default">
    <w:name w:val="Default"/>
    <w:pPr>
      <w:autoSpaceDE w:val="0"/>
      <w:autoSpaceDN w:val="0"/>
      <w:adjustRightInd w:val="0"/>
    </w:pPr>
    <w:rPr>
      <w:rFonts w:ascii="Times New Roman" w:hAnsi="Times New Roman" w:cs="Times New Roman"/>
      <w:color w:val="000000"/>
      <w:sz w:val="24"/>
      <w:szCs w:val="24"/>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pPr>
      <w:spacing w:after="160" w:line="240" w:lineRule="exact"/>
    </w:pPr>
    <w:rPr>
      <w:vertAlign w:val="superscript"/>
    </w:rPr>
  </w:style>
  <w:style w:type="character" w:customStyle="1" w:styleId="Heading3Char">
    <w:name w:val="Heading 3 Char"/>
    <w:basedOn w:val="DefaultParagraphFont"/>
    <w:link w:val="Heading3"/>
    <w:uiPriority w:val="9"/>
    <w:rPr>
      <w:rFonts w:ascii="Times New Roman" w:eastAsia="Calibri" w:hAnsi="Times New Roman" w:cs="Times New Roman"/>
      <w:bCs/>
      <w:snapToGrid w:val="0"/>
      <w:sz w:val="24"/>
      <w:szCs w:val="24"/>
      <w:lang w:val="en-US" w:eastAsia="de-DE"/>
    </w:rPr>
  </w:style>
  <w:style w:type="paragraph" w:customStyle="1" w:styleId="Text1">
    <w:name w:val="Text 1"/>
    <w:basedOn w:val="Normal"/>
    <w:pPr>
      <w:spacing w:before="120" w:after="120"/>
      <w:ind w:left="850"/>
    </w:pPr>
    <w:rPr>
      <w:rFonts w:ascii="Times New Roman" w:eastAsia="Calibri" w:hAnsi="Times New Roman" w:cs="Times New Roman"/>
      <w:sz w:val="24"/>
    </w:rPr>
  </w:style>
  <w:style w:type="character" w:styleId="Hyperlink">
    <w:name w:val="Hyperlink"/>
    <w:uiPriority w:val="99"/>
    <w:unhideWhenUsed/>
    <w:rPr>
      <w:color w:val="0000FF"/>
      <w:u w:val="single"/>
    </w:r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Caractresdenotedebasdepage">
    <w:name w:val="Caractères de note de bas de pag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qFormat/>
    <w:pPr>
      <w:keepNext/>
      <w:tabs>
        <w:tab w:val="num" w:pos="850"/>
      </w:tabs>
      <w:spacing w:before="240" w:after="240"/>
      <w:ind w:left="850" w:hanging="850"/>
      <w:outlineLvl w:val="2"/>
    </w:pPr>
    <w:rPr>
      <w:rFonts w:ascii="Times New Roman" w:eastAsia="Calibri" w:hAnsi="Times New Roman" w:cs="Times New Roman"/>
      <w:bCs/>
      <w:snapToGrid w:val="0"/>
      <w:sz w:val="24"/>
      <w:szCs w:val="24"/>
      <w:lang w:val="en-US"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FootnoteTextChar">
    <w:name w:val="Footnote Text Char"/>
    <w:aliases w:val="fn Char,Footnotes Char,Footnote ak Char,Footnote Text Char2 Char Char,Footnote Text Char Char Char1 Char,Footnote Text Char1 Char Char Char Char,Footnote Text Char2 Char Char Char Char Char,footnote text Char,Car3 Char,Footnote Char"/>
    <w:basedOn w:val="DefaultParagraphFont"/>
    <w:uiPriority w:val="99"/>
    <w:locked/>
  </w:style>
  <w:style w:type="paragraph" w:styleId="FootnoteText">
    <w:name w:val="footnote text"/>
    <w:aliases w:val="fn,Footnotes,Footnote ak,Footnote Text Char2 Char,Footnote Text Char Char Char1,Footnote Text Char1 Char Char Char,Footnote Text Char2 Char Char Char Char,Footnote Text Char1 Char1 Char Char Char Char,footnote text,Car3,Footnote,Fußnote,ft"/>
    <w:basedOn w:val="Normal"/>
    <w:uiPriority w:val="99"/>
    <w:unhideWhenUsed/>
    <w:qFormat/>
    <w:pPr>
      <w:spacing w:after="240"/>
      <w:ind w:left="357" w:hanging="357"/>
    </w:pPr>
  </w:style>
  <w:style w:type="character" w:customStyle="1" w:styleId="FootnoteTextChar1">
    <w:name w:val="Footnote Text Char1"/>
    <w:basedOn w:val="DefaultParagraphFont"/>
    <w:uiPriority w:val="99"/>
    <w:semiHidden/>
    <w:rPr>
      <w:sz w:val="20"/>
      <w:szCs w:val="20"/>
    </w:rPr>
  </w:style>
  <w:style w:type="character" w:styleId="FootnoteReference">
    <w:name w:val="footnote reference"/>
    <w:aliases w:val="SUPERS Car Car,Footnote number Car Car,de nota al pie Car Car,Ref Car Car,Footnote symbol Car Car,Char Car Car,Voetnootmarkering Car Car,Char1 Car Car,Nota Car Car,fr Car Car,o Car Car,(NECG) Footnote Reference Car Car, Char Car Car"/>
    <w:basedOn w:val="DefaultParagraphFont"/>
    <w:link w:val="SUPERSCar"/>
    <w:uiPriority w:val="99"/>
    <w:unhideWhenUsed/>
    <w:qFormat/>
    <w:rPr>
      <w:vertAlign w:val="superscript"/>
    </w:rPr>
  </w:style>
  <w:style w:type="paragraph" w:customStyle="1" w:styleId="SUPERSCar">
    <w:name w:val="SUPERS Car"/>
    <w:aliases w:val="Footnote number Car,de nota al pie Car,Ref Car,Footnote symbol Car,Char Car,Voetnootmarkering Car,Char1 Car,Nota Car,fr Car,o Car,(NECG) Footnote Reference Car, Char Car, Char1 Car"/>
    <w:basedOn w:val="Normal"/>
    <w:link w:val="FootnoteReference"/>
    <w:uiPriority w:val="99"/>
    <w:pPr>
      <w:spacing w:after="160" w:line="240" w:lineRule="exact"/>
    </w:pPr>
    <w:rPr>
      <w:vertAlign w:val="superscript"/>
    </w:rPr>
  </w:style>
  <w:style w:type="paragraph" w:customStyle="1" w:styleId="Text2">
    <w:name w:val="Text 2"/>
    <w:basedOn w:val="Normal"/>
    <w:pPr>
      <w:tabs>
        <w:tab w:val="left" w:pos="2160"/>
      </w:tabs>
      <w:spacing w:after="240"/>
      <w:ind w:left="1077"/>
    </w:pPr>
    <w:rPr>
      <w:rFonts w:ascii="Times New Roman" w:eastAsia="Times New Roman" w:hAnsi="Times New Roman" w:cs="Times New Roman"/>
      <w:sz w:val="24"/>
      <w:szCs w:val="20"/>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style>
  <w:style w:type="paragraph" w:styleId="Revision">
    <w:name w:val="Revision"/>
    <w:hidden/>
    <w:uiPriority w:val="99"/>
    <w:semiHidden/>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jc w:val="left"/>
    </w:pPr>
    <w:rPr>
      <w:rFonts w:ascii="Times New Roman" w:hAnsi="Times New Roman" w:cs="Times New Roman"/>
      <w:sz w:val="24"/>
      <w:szCs w:val="28"/>
    </w:rPr>
  </w:style>
  <w:style w:type="character" w:customStyle="1" w:styleId="FooterCoverPageChar">
    <w:name w:val="Footer Cover Page Char"/>
    <w:basedOn w:val="DefaultParagraphFont"/>
    <w:link w:val="FooterCoverPage"/>
    <w:rPr>
      <w:rFonts w:ascii="Times New Roman" w:hAnsi="Times New Roman" w:cs="Times New Roman"/>
      <w:sz w:val="24"/>
      <w:szCs w:val="28"/>
    </w:rPr>
  </w:style>
  <w:style w:type="paragraph" w:customStyle="1" w:styleId="HeaderCoverPage">
    <w:name w:val="Header Cover Page"/>
    <w:basedOn w:val="Normal"/>
    <w:link w:val="HeaderCoverPageChar"/>
    <w:pPr>
      <w:tabs>
        <w:tab w:val="center" w:pos="4535"/>
        <w:tab w:val="right" w:pos="9071"/>
      </w:tabs>
      <w:spacing w:after="120"/>
    </w:pPr>
    <w:rPr>
      <w:rFonts w:ascii="Times New Roman" w:hAnsi="Times New Roman" w:cs="Times New Roman"/>
      <w:sz w:val="24"/>
      <w:szCs w:val="28"/>
    </w:rPr>
  </w:style>
  <w:style w:type="character" w:customStyle="1" w:styleId="HeaderCoverPageChar">
    <w:name w:val="Header Cover Page Char"/>
    <w:basedOn w:val="DefaultParagraphFont"/>
    <w:link w:val="HeaderCoverPage"/>
    <w:rPr>
      <w:rFonts w:ascii="Times New Roman" w:hAnsi="Times New Roman" w:cs="Times New Roman"/>
      <w:sz w:val="24"/>
      <w:szCs w:val="28"/>
    </w:rPr>
  </w:style>
  <w:style w:type="paragraph" w:customStyle="1" w:styleId="Default">
    <w:name w:val="Default"/>
    <w:pPr>
      <w:autoSpaceDE w:val="0"/>
      <w:autoSpaceDN w:val="0"/>
      <w:adjustRightInd w:val="0"/>
    </w:pPr>
    <w:rPr>
      <w:rFonts w:ascii="Times New Roman" w:hAnsi="Times New Roman" w:cs="Times New Roman"/>
      <w:color w:val="000000"/>
      <w:sz w:val="24"/>
      <w:szCs w:val="24"/>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pPr>
      <w:spacing w:after="160" w:line="240" w:lineRule="exact"/>
    </w:pPr>
    <w:rPr>
      <w:vertAlign w:val="superscript"/>
    </w:rPr>
  </w:style>
  <w:style w:type="character" w:customStyle="1" w:styleId="Heading3Char">
    <w:name w:val="Heading 3 Char"/>
    <w:basedOn w:val="DefaultParagraphFont"/>
    <w:link w:val="Heading3"/>
    <w:uiPriority w:val="9"/>
    <w:rPr>
      <w:rFonts w:ascii="Times New Roman" w:eastAsia="Calibri" w:hAnsi="Times New Roman" w:cs="Times New Roman"/>
      <w:bCs/>
      <w:snapToGrid w:val="0"/>
      <w:sz w:val="24"/>
      <w:szCs w:val="24"/>
      <w:lang w:val="en-US" w:eastAsia="de-DE"/>
    </w:rPr>
  </w:style>
  <w:style w:type="paragraph" w:customStyle="1" w:styleId="Text1">
    <w:name w:val="Text 1"/>
    <w:basedOn w:val="Normal"/>
    <w:pPr>
      <w:spacing w:before="120" w:after="120"/>
      <w:ind w:left="850"/>
    </w:pPr>
    <w:rPr>
      <w:rFonts w:ascii="Times New Roman" w:eastAsia="Calibri" w:hAnsi="Times New Roman" w:cs="Times New Roman"/>
      <w:sz w:val="24"/>
    </w:rPr>
  </w:style>
  <w:style w:type="character" w:styleId="Hyperlink">
    <w:name w:val="Hyperlink"/>
    <w:uiPriority w:val="99"/>
    <w:unhideWhenUsed/>
    <w:rPr>
      <w:color w:val="0000FF"/>
      <w:u w:val="single"/>
    </w:r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Caractresdenotedebasdepage">
    <w:name w:val="Caractères de note de bas de pag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363274">
      <w:bodyDiv w:val="1"/>
      <w:marLeft w:val="0"/>
      <w:marRight w:val="0"/>
      <w:marTop w:val="0"/>
      <w:marBottom w:val="0"/>
      <w:divBdr>
        <w:top w:val="none" w:sz="0" w:space="0" w:color="auto"/>
        <w:left w:val="none" w:sz="0" w:space="0" w:color="auto"/>
        <w:bottom w:val="none" w:sz="0" w:space="0" w:color="auto"/>
        <w:right w:val="none" w:sz="0" w:space="0" w:color="auto"/>
      </w:divBdr>
    </w:div>
    <w:div w:id="277562819">
      <w:bodyDiv w:val="1"/>
      <w:marLeft w:val="0"/>
      <w:marRight w:val="0"/>
      <w:marTop w:val="0"/>
      <w:marBottom w:val="0"/>
      <w:divBdr>
        <w:top w:val="none" w:sz="0" w:space="0" w:color="auto"/>
        <w:left w:val="none" w:sz="0" w:space="0" w:color="auto"/>
        <w:bottom w:val="none" w:sz="0" w:space="0" w:color="auto"/>
        <w:right w:val="none" w:sz="0" w:space="0" w:color="auto"/>
      </w:divBdr>
    </w:div>
    <w:div w:id="284892045">
      <w:bodyDiv w:val="1"/>
      <w:marLeft w:val="0"/>
      <w:marRight w:val="0"/>
      <w:marTop w:val="0"/>
      <w:marBottom w:val="0"/>
      <w:divBdr>
        <w:top w:val="none" w:sz="0" w:space="0" w:color="auto"/>
        <w:left w:val="none" w:sz="0" w:space="0" w:color="auto"/>
        <w:bottom w:val="none" w:sz="0" w:space="0" w:color="auto"/>
        <w:right w:val="none" w:sz="0" w:space="0" w:color="auto"/>
      </w:divBdr>
    </w:div>
    <w:div w:id="365835151">
      <w:bodyDiv w:val="1"/>
      <w:marLeft w:val="0"/>
      <w:marRight w:val="0"/>
      <w:marTop w:val="0"/>
      <w:marBottom w:val="0"/>
      <w:divBdr>
        <w:top w:val="none" w:sz="0" w:space="0" w:color="auto"/>
        <w:left w:val="none" w:sz="0" w:space="0" w:color="auto"/>
        <w:bottom w:val="none" w:sz="0" w:space="0" w:color="auto"/>
        <w:right w:val="none" w:sz="0" w:space="0" w:color="auto"/>
      </w:divBdr>
    </w:div>
    <w:div w:id="426655612">
      <w:bodyDiv w:val="1"/>
      <w:marLeft w:val="0"/>
      <w:marRight w:val="0"/>
      <w:marTop w:val="0"/>
      <w:marBottom w:val="0"/>
      <w:divBdr>
        <w:top w:val="none" w:sz="0" w:space="0" w:color="auto"/>
        <w:left w:val="none" w:sz="0" w:space="0" w:color="auto"/>
        <w:bottom w:val="none" w:sz="0" w:space="0" w:color="auto"/>
        <w:right w:val="none" w:sz="0" w:space="0" w:color="auto"/>
      </w:divBdr>
    </w:div>
    <w:div w:id="995953848">
      <w:bodyDiv w:val="1"/>
      <w:marLeft w:val="0"/>
      <w:marRight w:val="0"/>
      <w:marTop w:val="0"/>
      <w:marBottom w:val="0"/>
      <w:divBdr>
        <w:top w:val="none" w:sz="0" w:space="0" w:color="auto"/>
        <w:left w:val="none" w:sz="0" w:space="0" w:color="auto"/>
        <w:bottom w:val="none" w:sz="0" w:space="0" w:color="auto"/>
        <w:right w:val="none" w:sz="0" w:space="0" w:color="auto"/>
      </w:divBdr>
    </w:div>
    <w:div w:id="1024483655">
      <w:bodyDiv w:val="1"/>
      <w:marLeft w:val="0"/>
      <w:marRight w:val="0"/>
      <w:marTop w:val="0"/>
      <w:marBottom w:val="0"/>
      <w:divBdr>
        <w:top w:val="none" w:sz="0" w:space="0" w:color="auto"/>
        <w:left w:val="none" w:sz="0" w:space="0" w:color="auto"/>
        <w:bottom w:val="none" w:sz="0" w:space="0" w:color="auto"/>
        <w:right w:val="none" w:sz="0" w:space="0" w:color="auto"/>
      </w:divBdr>
    </w:div>
    <w:div w:id="1197815959">
      <w:bodyDiv w:val="1"/>
      <w:marLeft w:val="0"/>
      <w:marRight w:val="0"/>
      <w:marTop w:val="0"/>
      <w:marBottom w:val="0"/>
      <w:divBdr>
        <w:top w:val="none" w:sz="0" w:space="0" w:color="auto"/>
        <w:left w:val="none" w:sz="0" w:space="0" w:color="auto"/>
        <w:bottom w:val="none" w:sz="0" w:space="0" w:color="auto"/>
        <w:right w:val="none" w:sz="0" w:space="0" w:color="auto"/>
      </w:divBdr>
    </w:div>
    <w:div w:id="1311666726">
      <w:bodyDiv w:val="1"/>
      <w:marLeft w:val="0"/>
      <w:marRight w:val="0"/>
      <w:marTop w:val="0"/>
      <w:marBottom w:val="0"/>
      <w:divBdr>
        <w:top w:val="none" w:sz="0" w:space="0" w:color="auto"/>
        <w:left w:val="none" w:sz="0" w:space="0" w:color="auto"/>
        <w:bottom w:val="none" w:sz="0" w:space="0" w:color="auto"/>
        <w:right w:val="none" w:sz="0" w:space="0" w:color="auto"/>
      </w:divBdr>
    </w:div>
    <w:div w:id="1667242108">
      <w:bodyDiv w:val="1"/>
      <w:marLeft w:val="0"/>
      <w:marRight w:val="0"/>
      <w:marTop w:val="0"/>
      <w:marBottom w:val="0"/>
      <w:divBdr>
        <w:top w:val="none" w:sz="0" w:space="0" w:color="auto"/>
        <w:left w:val="none" w:sz="0" w:space="0" w:color="auto"/>
        <w:bottom w:val="none" w:sz="0" w:space="0" w:color="auto"/>
        <w:right w:val="none" w:sz="0" w:space="0" w:color="auto"/>
      </w:divBdr>
    </w:div>
    <w:div w:id="1757087999">
      <w:bodyDiv w:val="1"/>
      <w:marLeft w:val="0"/>
      <w:marRight w:val="0"/>
      <w:marTop w:val="0"/>
      <w:marBottom w:val="0"/>
      <w:divBdr>
        <w:top w:val="none" w:sz="0" w:space="0" w:color="auto"/>
        <w:left w:val="none" w:sz="0" w:space="0" w:color="auto"/>
        <w:bottom w:val="none" w:sz="0" w:space="0" w:color="auto"/>
        <w:right w:val="none" w:sz="0" w:space="0" w:color="auto"/>
      </w:divBdr>
    </w:div>
    <w:div w:id="1860046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eur-lex.europa.eu/legal-content/EN/TXT/?qid=1453133735571&amp;uri=CELEX%3A52010DC0373" TargetMode="External"/><Relationship Id="rId1" Type="http://schemas.openxmlformats.org/officeDocument/2006/relationships/hyperlink" Target="http://ec.europa.eu/social/main.jsp?langId=en&amp;catId=699&amp;consultId=22&amp;visib=0&amp;furtherConsult=y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AEDC42-5588-4D5B-844A-CF88B3D50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16</Pages>
  <Words>6535</Words>
  <Characters>37817</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44264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KITRIMI Efstathia (SG)</cp:lastModifiedBy>
  <cp:revision>18</cp:revision>
  <cp:lastPrinted>2016-06-02T07:34:00Z</cp:lastPrinted>
  <dcterms:created xsi:type="dcterms:W3CDTF">2016-05-30T15:19:00Z</dcterms:created>
  <dcterms:modified xsi:type="dcterms:W3CDTF">2016-06-02T08:09:00Z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Part">
    <vt:lpwstr>1</vt:lpwstr>
  </property>
  <property fmtid="{D5CDD505-2E9C-101B-9397-08002B2CF9AE}" pid="4" name="Total parts">
    <vt:lpwstr>1</vt:lpwstr>
  </property>
  <property fmtid="{D5CDD505-2E9C-101B-9397-08002B2CF9AE}" pid="5" name="Classification">
    <vt:lpwstr> </vt:lpwstr>
  </property>
</Properties>
</file>