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alt="3FA344A48D584484A9C684DE50FA14F2"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center"/>
        <w:rPr>
          <w:b/>
          <w:noProof/>
        </w:rPr>
      </w:pPr>
      <w:bookmarkStart w:id="1" w:name="_GoBack"/>
      <w:bookmarkEnd w:id="1"/>
      <w:r>
        <w:rPr>
          <w:b/>
          <w:noProof/>
        </w:rPr>
        <w:lastRenderedPageBreak/>
        <w:t>ДОКЛАД НА КОМИСИЯТА ДО ЕВРОПЕЙСКИЯ ПАРЛАМЕНТ И СЪВЕТА</w:t>
      </w:r>
    </w:p>
    <w:p>
      <w:pPr>
        <w:jc w:val="center"/>
        <w:rPr>
          <w:b/>
          <w:noProof/>
        </w:rPr>
      </w:pPr>
      <w:r>
        <w:rPr>
          <w:b/>
          <w:noProof/>
        </w:rPr>
        <w:t>относно изпълнението и резултатите през 2015 г. на програмата „Перикъл 2020“ за защита на еврото срещу фалшифициране</w:t>
      </w:r>
    </w:p>
    <w:p>
      <w:pPr>
        <w:rPr>
          <w:noProof/>
        </w:rPr>
      </w:pPr>
    </w:p>
    <w:p>
      <w:pPr>
        <w:pStyle w:val="ManualNumPar1"/>
        <w:rPr>
          <w:b/>
          <w:noProof/>
        </w:rPr>
      </w:pPr>
      <w:r>
        <w:rPr>
          <w:b/>
          <w:noProof/>
        </w:rPr>
        <w:t>1.</w:t>
      </w:r>
      <w:r>
        <w:rPr>
          <w:noProof/>
        </w:rPr>
        <w:tab/>
      </w:r>
      <w:r>
        <w:rPr>
          <w:b/>
          <w:noProof/>
        </w:rPr>
        <w:t>Общи положения</w:t>
      </w:r>
    </w:p>
    <w:p>
      <w:pPr>
        <w:rPr>
          <w:noProof/>
          <w:spacing w:val="-2"/>
        </w:rPr>
      </w:pPr>
      <w:r>
        <w:rPr>
          <w:noProof/>
          <w:spacing w:val="-2"/>
        </w:rPr>
        <w:t xml:space="preserve">Програмата „Перикъл 2020“е програма за обмен, помощ и обучение за защита на еврото срещу фалшифициране. Тя заменя програмата „Перикъл“, която беше създадена през 2001 г. и обхващаше периода 2002—2013 г. Новата програма беше създадена с </w:t>
      </w:r>
      <w:r>
        <w:rPr>
          <w:rStyle w:val="Strong"/>
          <w:noProof/>
          <w:spacing w:val="-2"/>
        </w:rPr>
        <w:t>Регламент (ЕС) № 331/2014 на Европейския парламент и на Съвета от 11 март 2014 г.</w:t>
      </w:r>
      <w:r>
        <w:rPr>
          <w:rStyle w:val="FootnoteReference"/>
          <w:noProof/>
          <w:spacing w:val="-2"/>
        </w:rPr>
        <w:footnoteReference w:id="1"/>
      </w:r>
      <w:r>
        <w:rPr>
          <w:rStyle w:val="Strong"/>
          <w:noProof/>
          <w:spacing w:val="-2"/>
        </w:rPr>
        <w:t xml:space="preserve"> </w:t>
      </w:r>
      <w:r>
        <w:rPr>
          <w:b/>
          <w:noProof/>
          <w:spacing w:val="-2"/>
        </w:rPr>
        <w:t>С Регламент (ЕС) № 2015/768 на Съвета от 11 май 2015 г.</w:t>
      </w:r>
      <w:r>
        <w:rPr>
          <w:noProof/>
          <w:spacing w:val="-2"/>
        </w:rPr>
        <w:t xml:space="preserve"> </w:t>
      </w:r>
      <w:r>
        <w:rPr>
          <w:rStyle w:val="Strong"/>
          <w:noProof/>
          <w:spacing w:val="-2"/>
        </w:rPr>
        <w:t>неговото прилагане бе разширено, за да обхване неучастващите държави членки</w:t>
      </w:r>
      <w:r>
        <w:rPr>
          <w:rStyle w:val="FootnoteReference"/>
          <w:noProof/>
          <w:spacing w:val="-2"/>
        </w:rPr>
        <w:footnoteReference w:id="2"/>
      </w:r>
      <w:r>
        <w:rPr>
          <w:noProof/>
          <w:spacing w:val="-2"/>
        </w:rPr>
        <w:t xml:space="preserve">. С Регламент (ЕС) № 331/2014 срокът на програмата се установява до 31 декември 2020 г. По силата на член 13, параграф 3 от </w:t>
      </w:r>
      <w:r>
        <w:rPr>
          <w:rStyle w:val="Strong"/>
          <w:b w:val="0"/>
          <w:noProof/>
          <w:spacing w:val="-2"/>
        </w:rPr>
        <w:t>регламента</w:t>
      </w:r>
      <w:r>
        <w:rPr>
          <w:noProof/>
          <w:spacing w:val="-2"/>
        </w:rPr>
        <w:t xml:space="preserve"> от Комисията се изисква да представя на Европейския парламент и на Съвета годишна информация за резултатите от програмата. Чрез настоящия втори годишен доклад това изискване се изпълнява за 2015 г.</w:t>
      </w:r>
    </w:p>
    <w:p>
      <w:pPr>
        <w:rPr>
          <w:noProof/>
        </w:rPr>
      </w:pPr>
    </w:p>
    <w:p>
      <w:pPr>
        <w:pStyle w:val="ManualNumPar1"/>
        <w:rPr>
          <w:b/>
          <w:noProof/>
        </w:rPr>
      </w:pPr>
      <w:r>
        <w:rPr>
          <w:b/>
          <w:noProof/>
        </w:rPr>
        <w:t>2.</w:t>
      </w:r>
      <w:r>
        <w:rPr>
          <w:noProof/>
        </w:rPr>
        <w:tab/>
      </w:r>
      <w:r>
        <w:rPr>
          <w:b/>
          <w:noProof/>
        </w:rPr>
        <w:t>Изпълнение на програмата „Перикъл“ и резултати от проявите, за които са отпуснати средства през 2015 г.</w:t>
      </w:r>
    </w:p>
    <w:p>
      <w:pPr>
        <w:rPr>
          <w:noProof/>
          <w:szCs w:val="24"/>
        </w:rPr>
      </w:pPr>
      <w:r>
        <w:rPr>
          <w:noProof/>
        </w:rPr>
        <w:t xml:space="preserve">Годишният бюджет за изпълнението на програмата „Перикъл 2020“ през 2015 г. беше 1 024 800 евро и беше финансиран от бюджетен ред 24 03 01 от общия бюджет на Европейския съюз за 2015 г. През 2015 г. бяха отпуснати средства на обща стойност 967 739,33 евро. </w:t>
      </w:r>
    </w:p>
    <w:p>
      <w:pPr>
        <w:rPr>
          <w:noProof/>
        </w:rPr>
      </w:pPr>
      <w:r>
        <w:rPr>
          <w:noProof/>
        </w:rPr>
        <w:t>Изпълнението на програмата отразява ангажимента на държавите членки да защитават еврото срещу фалшифициране. Обсъжданията на многогодишната стратегия на заседанията на експертната група по проблемите на фалшифицирането на еврото (ECEG) позволиха през 2015 г. да се отпуснат средства в размер на 94,4 % от цялостния бюджет. Предвид на качеството и броя на получените заявления за отпускане на безвъзмездни средства през 2015 г., бе необходимо 44 496 евро да се прехвърлят от „действия на Комисията“ към безвъзмездните средства.</w:t>
      </w:r>
    </w:p>
    <w:p>
      <w:pPr>
        <w:pStyle w:val="Default"/>
        <w:spacing w:before="120" w:after="120"/>
        <w:jc w:val="both"/>
        <w:rPr>
          <w:noProof/>
        </w:rPr>
      </w:pPr>
      <w:r>
        <w:rPr>
          <w:noProof/>
        </w:rPr>
        <w:t xml:space="preserve">През 2015 г. по програмата бяха финансирани общо 12 проекта. От общо 12 заявления, подадени от компетентните органи на държавите членки, успешно бяха отпуснати безвъзмездни средства на 9 от тях срещу 6 през 2014 г. Бяха финансирани също 3 инициативи на Комисията срещу 4 през предходната година. През 2015 г. бяха осъществени 2 прояви, а 10 прояви са в процес на осъществяване или ще бъдат осъществени през 2016 г. </w:t>
      </w:r>
    </w:p>
    <w:p>
      <w:pPr>
        <w:pStyle w:val="Default"/>
        <w:spacing w:before="120" w:after="120"/>
        <w:jc w:val="both"/>
        <w:rPr>
          <w:noProof/>
          <w:color w:val="auto"/>
        </w:rPr>
      </w:pPr>
      <w:r>
        <w:rPr>
          <w:noProof/>
        </w:rPr>
        <w:t>През 2015 г. заявления за финансиране по програмата подадоха представители на пет държави членки — Италия, Франция, Испания, Германия и Хърватия, което отразява до голяма степен факта, че държавите, които са най-силно засегнати от фалшифицирането на еврото, използват средства по програмата „Перикъл“ най-често. Поради късното приемане на Регламент (ЕС) № 2015/768 на Съвета имаше само една кандидатура за отпускане на безвъзмездни средства от неучастващите държави членки, а именно Хърватия.</w:t>
      </w:r>
      <w:r>
        <w:rPr>
          <w:noProof/>
          <w:sz w:val="23"/>
        </w:rPr>
        <w:t xml:space="preserve"> </w:t>
      </w:r>
    </w:p>
    <w:p>
      <w:pPr>
        <w:spacing w:before="0" w:after="0"/>
        <w:rPr>
          <w:b/>
          <w:noProof/>
          <w:szCs w:val="24"/>
          <w:lang w:val="en-GB"/>
        </w:rPr>
      </w:pPr>
    </w:p>
    <w:p>
      <w:pPr>
        <w:spacing w:before="0" w:after="0"/>
        <w:rPr>
          <w:b/>
          <w:noProof/>
        </w:rPr>
      </w:pPr>
      <w:r>
        <w:rPr>
          <w:b/>
          <w:noProof/>
        </w:rPr>
        <w:t>Диаграма I и Диаграма II: Брой на финансираните прояви по държави членки и вид на финансираната проява (относно проявите, за които са били отпуснати средства през 2015 г., вж. приложение I)</w:t>
      </w:r>
    </w:p>
    <w:p>
      <w:pPr>
        <w:rPr>
          <w:noProof/>
        </w:rPr>
      </w:pPr>
      <w:r>
        <w:rPr>
          <w:noProof/>
          <w:lang w:val="en-GB" w:eastAsia="en-GB" w:bidi="ar-SA"/>
        </w:rPr>
        <w:pict>
          <v:shape id="_x0000_i1026" type="#_x0000_t75" style="width:453pt;height:216.75pt;visibility:visible;mso-wrap-style:square">
            <v:imagedata r:id="rId16" o:title=""/>
          </v:shape>
        </w:pict>
      </w:r>
    </w:p>
    <w:p>
      <w:pPr>
        <w:rPr>
          <w:noProof/>
        </w:rPr>
      </w:pPr>
      <w:r>
        <w:rPr>
          <w:noProof/>
        </w:rPr>
        <w:t>Проявите, за които бяха отпуснати средства през 2015 г., се състояха от седем семинара, едно техническо обучение (работна среща) и четири обмена на служители.</w:t>
      </w:r>
    </w:p>
    <w:p>
      <w:pPr>
        <w:rPr>
          <w:b/>
          <w:noProof/>
        </w:rPr>
      </w:pPr>
      <w:r>
        <w:rPr>
          <w:noProof/>
        </w:rPr>
        <w:t>Проявите бяха осъществени</w:t>
      </w:r>
      <w:r>
        <w:rPr>
          <w:rStyle w:val="FootnoteReference"/>
          <w:noProof/>
        </w:rPr>
        <w:footnoteReference w:id="3"/>
      </w:r>
      <w:r>
        <w:rPr>
          <w:noProof/>
        </w:rPr>
        <w:t xml:space="preserve"> както в ЕС, така и извън него, в зависимост от конкретните нужди от защита на еврото срещу фалшифициране. От началото си програмата „Перикъл“ укрепи своя регионален подход чрез организирането на прояви, свързани с особено чувствителни региони на света. През 2015 г. специално внимание беше отделено на Латинска Америка (две прояви, организирани от Испания), Югоизточна Европа (прояви, организирани от Хърватия, Италия и Комисията), Средиземноморския регион (една проява, организирана от Италия) и Китай (прояви, организирани от Франция, Италия и Комисията). </w:t>
      </w:r>
    </w:p>
    <w:p>
      <w:pPr>
        <w:rPr>
          <w:noProof/>
        </w:rPr>
      </w:pPr>
      <w:r>
        <w:rPr>
          <w:noProof/>
        </w:rPr>
        <w:t xml:space="preserve">На диаграми III и IV е представено разпределението на участниците в програмата „Перикъл 2020“ според техния произход и професионален опит. </w:t>
      </w:r>
    </w:p>
    <w:p>
      <w:pPr>
        <w:spacing w:before="0" w:after="200" w:line="276" w:lineRule="auto"/>
        <w:jc w:val="left"/>
        <w:rPr>
          <w:noProof/>
        </w:rPr>
      </w:pPr>
      <w:r>
        <w:rPr>
          <w:noProof/>
        </w:rPr>
        <w:br w:type="page"/>
      </w:r>
    </w:p>
    <w:p>
      <w:pPr>
        <w:spacing w:after="240"/>
        <w:rPr>
          <w:b/>
          <w:noProof/>
        </w:rPr>
      </w:pPr>
      <w:r>
        <w:rPr>
          <w:b/>
          <w:noProof/>
        </w:rPr>
        <w:t>Диаграма III и Диаграма IV: Произход и професионален опит на участниците</w:t>
      </w:r>
      <w:r>
        <w:rPr>
          <w:rStyle w:val="FootnoteReference"/>
          <w:noProof/>
        </w:rPr>
        <w:footnoteReference w:id="4"/>
      </w:r>
      <w:r>
        <w:rPr>
          <w:b/>
          <w:noProof/>
        </w:rPr>
        <w:t xml:space="preserve"> (относно проявите, за които бяха отпуснати средства през 2015 г., вж. приложение I)</w:t>
      </w:r>
    </w:p>
    <w:p>
      <w:pPr>
        <w:spacing w:after="240"/>
        <w:rPr>
          <w:b/>
          <w:noProof/>
        </w:rPr>
      </w:pPr>
      <w:r>
        <w:rPr>
          <w:noProof/>
          <w:lang w:val="en-GB" w:eastAsia="en-GB" w:bidi="ar-SA"/>
        </w:rPr>
        <w:pict>
          <v:shape id="_x0000_i1027" type="#_x0000_t75" style="width:470.25pt;height:228pt;visibility:visible;mso-wrap-style:square">
            <v:imagedata r:id="rId17" o:title=""/>
          </v:shape>
        </w:pict>
      </w:r>
    </w:p>
    <w:p>
      <w:pPr>
        <w:spacing w:after="240"/>
        <w:rPr>
          <w:b/>
          <w:noProof/>
          <w:szCs w:val="24"/>
        </w:rPr>
      </w:pPr>
    </w:p>
    <w:p>
      <w:pPr>
        <w:spacing w:after="240"/>
        <w:rPr>
          <w:b/>
          <w:noProof/>
          <w:szCs w:val="24"/>
        </w:rPr>
      </w:pPr>
      <w:r>
        <w:rPr>
          <w:noProof/>
        </w:rPr>
        <w:t>В проявите по линия на програмата „Перикъл“, за които бяха отпуснати средства през 2015 г., участваха около 618 експерти.</w:t>
      </w:r>
    </w:p>
    <w:p>
      <w:pPr>
        <w:rPr>
          <w:noProof/>
        </w:rPr>
      </w:pPr>
      <w:r>
        <w:rPr>
          <w:noProof/>
        </w:rPr>
        <w:t>Участниците бяха от 59 държави. Сред участниците в обученията преобладават участниците от Европа (65 %): 41 % са от държавите членки, а втората най-голяма група (24 %) представляват участниците от европейски държави, които не членуват в ЕС, 14 % са от Латинска Америка (предимно Колумбия и Перу), а 7 % са от Близкия изток и Северна Африка. Трябва да се отбележи по-големия брой участници от Азия, които представляват 4 % от всички участници, като всички те идват от Китай.</w:t>
      </w:r>
    </w:p>
    <w:p>
      <w:pPr>
        <w:rPr>
          <w:noProof/>
        </w:rPr>
      </w:pPr>
      <w:r>
        <w:rPr>
          <w:noProof/>
        </w:rPr>
        <w:t>Що се отнася до професионалния опит на участниците, 53 % от общия брой представляваха членове на полицейските сили. Това масово участие се дължи на факта, че полицейските органи са на предна линия в борбата срещу фалшифицирането на еврото, като към полицейските служители се числят както разследващи служители, така и технически специалисти. Независимо от това следва да бъде подчертана продължаващата тенденция на разнообразяване сред различните други категории участници (47 %). Имаше голямо участие на служители на централни банки (19 %), все повече представители на съдебни институции (10 %)</w:t>
      </w:r>
      <w:r>
        <w:rPr>
          <w:rStyle w:val="FootnoteReference"/>
          <w:noProof/>
        </w:rPr>
        <w:footnoteReference w:id="5"/>
      </w:r>
      <w:r>
        <w:rPr>
          <w:noProof/>
        </w:rPr>
        <w:t xml:space="preserve"> и митници (4 %). </w:t>
      </w:r>
    </w:p>
    <w:p>
      <w:pPr>
        <w:rPr>
          <w:noProof/>
        </w:rPr>
      </w:pPr>
      <w:r>
        <w:rPr>
          <w:noProof/>
        </w:rPr>
        <w:t>В резултат на това изпълнението на програмата „Перикъл“ отговаря на нейните транснационални и мултидисциплинарни аспекти, както се изисква от Регламент (ЕС) № 331/2014.</w:t>
      </w:r>
    </w:p>
    <w:p>
      <w:pPr>
        <w:spacing w:before="0" w:after="200" w:line="276" w:lineRule="auto"/>
        <w:jc w:val="left"/>
        <w:rPr>
          <w:noProof/>
        </w:rPr>
      </w:pPr>
      <w:r>
        <w:rPr>
          <w:noProof/>
        </w:rPr>
        <w:br w:type="page"/>
      </w:r>
    </w:p>
    <w:p>
      <w:pPr>
        <w:spacing w:before="240" w:after="240"/>
        <w:outlineLvl w:val="0"/>
        <w:rPr>
          <w:b/>
          <w:noProof/>
        </w:rPr>
      </w:pPr>
      <w:r>
        <w:rPr>
          <w:b/>
          <w:noProof/>
        </w:rPr>
        <w:t>3.</w:t>
      </w:r>
      <w:r>
        <w:rPr>
          <w:noProof/>
        </w:rPr>
        <w:tab/>
      </w:r>
      <w:r>
        <w:rPr>
          <w:b/>
          <w:noProof/>
        </w:rPr>
        <w:t>Преглед на проявите, за които бяха отпуснати средства през 2015 г.: накратко най-важното</w:t>
      </w:r>
      <w:r>
        <w:rPr>
          <w:rStyle w:val="FootnoteReference"/>
          <w:noProof/>
        </w:rPr>
        <w:footnoteReference w:id="6"/>
      </w:r>
    </w:p>
    <w:p>
      <w:pPr>
        <w:spacing w:after="240"/>
        <w:rPr>
          <w:noProof/>
          <w:color w:val="000000"/>
          <w:szCs w:val="24"/>
        </w:rPr>
      </w:pPr>
      <w:r>
        <w:rPr>
          <w:noProof/>
          <w:color w:val="000000"/>
        </w:rPr>
        <w:t>При изпълнението на програмата „Перикъл 2020“ през 2015 г. се наблюдава непрестанна положителна тенденция към по-голямо разнообразие в професионалния опит на участниците. По-специално следва да се отбележи нарастващото участие на представители на съдебната система в пет прояви, както и на митниците.</w:t>
      </w:r>
    </w:p>
    <w:p>
      <w:pPr>
        <w:spacing w:after="240"/>
        <w:rPr>
          <w:noProof/>
          <w:color w:val="000000"/>
          <w:szCs w:val="24"/>
        </w:rPr>
      </w:pPr>
      <w:r>
        <w:rPr>
          <w:noProof/>
          <w:color w:val="000000"/>
        </w:rPr>
        <w:t xml:space="preserve">През 2015 г. програмата продължи да поддържа и укрепва регионалното и международното сътрудничество, като няколко прояви се проведоха в Латинска Америка, региона на Средиземноморието и региона на Балканите, както и три прояви с участници от Китай. Освен това поетите задължения по програма „Перикъл“ за 2015 г. отразяват по-голямото разнообразие от компетентни национални органи от държавите членки, кандидатстващи по програмата. „Polizeipräsident in Berlin, Landeskriminalamt“ кандидатства за пръв път за средствата по „Перикъл“. </w:t>
      </w:r>
    </w:p>
    <w:p>
      <w:pPr>
        <w:spacing w:after="240"/>
        <w:rPr>
          <w:noProof/>
          <w:color w:val="000000"/>
          <w:szCs w:val="24"/>
        </w:rPr>
      </w:pPr>
      <w:r>
        <w:rPr>
          <w:noProof/>
          <w:color w:val="000000"/>
        </w:rPr>
        <w:t>Няколко прояви от бюджета „Перикъл 2020“ за 2015 г. имаха за цел да укрепят сътрудничеството в борбата срещу фалшифицирането и при обмена на технически опит и най-добри практики между държавите членки и институциите на Съюза, от една страна, и компетентните национални органи на Китай, от друга. През януари 2016 г. в Париж бе проведена конференцията „Евро-китайското сътрудничество  в борбата срещу фалшифицирането на еврото“, финансирана по програма „Перикъл“. Освен това италианската Национална централна служба покани представители на Китай да участват в организираната от нея проява, финансирана от „Перикъл“. Накрая,  в Брюксел в рамките на програма „Перикъл“ ще се проведе „Семинар ЕС-Китай относно защитата на парични знаци“, в който ще участва китайското Министерство на обществената сигурност. Целта му е да бъде установено по-структурно сътрудничество по стратегически и оперативни въпроси в областта на борбата с фалшифицирането между държавите членки, институциите на ЕС и китайските компетентни национални органи.</w:t>
      </w:r>
    </w:p>
    <w:p>
      <w:pPr>
        <w:spacing w:after="240"/>
        <w:rPr>
          <w:noProof/>
          <w:color w:val="000000"/>
          <w:szCs w:val="24"/>
        </w:rPr>
      </w:pPr>
      <w:r>
        <w:rPr>
          <w:noProof/>
          <w:color w:val="000000"/>
        </w:rPr>
        <w:t>Комисията продължава поредицата от конференции за еврото в Югоизточна Европа, като 12-ата ще се проведе през октомври 2016 г. в Загреб, Хърватия. Тези конференции са от жизненоважно значение за засилване на сътрудничеството между националните компетентни органи в</w:t>
      </w:r>
      <w:r>
        <w:rPr>
          <w:noProof/>
        </w:rPr>
        <w:t xml:space="preserve"> Югоизточна Европа, </w:t>
      </w:r>
      <w:r>
        <w:rPr>
          <w:noProof/>
          <w:color w:val="000000"/>
        </w:rPr>
        <w:t>където се намират няколко от т.нар. горещи точки по отношение на възможния превоз и производство на фалшиви евро</w:t>
      </w:r>
      <w:r>
        <w:rPr>
          <w:noProof/>
        </w:rPr>
        <w:t>.</w:t>
      </w:r>
    </w:p>
    <w:p>
      <w:pPr>
        <w:spacing w:after="240"/>
        <w:rPr>
          <w:noProof/>
          <w:szCs w:val="24"/>
        </w:rPr>
      </w:pPr>
      <w:r>
        <w:rPr>
          <w:noProof/>
          <w:color w:val="000000"/>
        </w:rPr>
        <w:t>Комисията непрекъснато разпространява резултатите от проявите, подкрепяни по линия на програмата, на експертите от експертната група по проблемите на фалшифицирането на еврото (ЕГПФЕ). През 2015 г. се проведоха три заседания на ЕГПФЕ.</w:t>
      </w:r>
    </w:p>
    <w:p>
      <w:pPr>
        <w:rPr>
          <w:b/>
          <w:noProof/>
        </w:rPr>
      </w:pPr>
      <w:r>
        <w:rPr>
          <w:noProof/>
        </w:rPr>
        <w:t>Програмата се характеризира с висока степен на взаимно съгласуване и допълване с други сходни програми и действия на равнището на Съюза, тъй като е посветена изключително на предотвратяването и борбата с една специфична форма на организираната престъпност, а именно — фалшифицирането на еврото. Тя взаимно се допълва и съгласува с програмата „Херкулес III“</w:t>
      </w:r>
      <w:r>
        <w:rPr>
          <w:rStyle w:val="FootnoteReference"/>
          <w:noProof/>
        </w:rPr>
        <w:footnoteReference w:id="7"/>
      </w:r>
      <w:r>
        <w:rPr>
          <w:noProof/>
        </w:rPr>
        <w:t>, която се изпълнява от Европейската служба за борба с измамите (OLAF) и има за цел защитата на финансовите интереси на Съюза, и в значителна степен се допълва, наред с останалото, с инструмента на ГД „Миграция и вътрешни работи“ за финансово подпомагане на полицейското сътрудничество, създаден като част от фонд „Вътрешна сигурност“</w:t>
      </w:r>
      <w:r>
        <w:rPr>
          <w:rStyle w:val="FootnoteReference"/>
          <w:noProof/>
        </w:rPr>
        <w:footnoteReference w:id="8"/>
      </w:r>
      <w:r>
        <w:rPr>
          <w:noProof/>
        </w:rPr>
        <w:t>, който е предназначен за предотвратяване и борба с престъпността като цяло.</w:t>
      </w:r>
    </w:p>
    <w:p>
      <w:pPr>
        <w:rPr>
          <w:b/>
          <w:noProof/>
        </w:rPr>
      </w:pPr>
    </w:p>
    <w:p>
      <w:pPr>
        <w:rPr>
          <w:b/>
          <w:noProof/>
        </w:rPr>
      </w:pPr>
      <w:r>
        <w:rPr>
          <w:b/>
          <w:noProof/>
        </w:rPr>
        <w:t>4.</w:t>
      </w:r>
      <w:r>
        <w:rPr>
          <w:noProof/>
        </w:rPr>
        <w:tab/>
      </w:r>
      <w:r>
        <w:rPr>
          <w:b/>
          <w:noProof/>
        </w:rPr>
        <w:t>Осъществяване през 2015 г. на прояви по програмата „Перикъл“, за които са отпуснати средства по програмата „Перикъл 2020“ от 2014 г.</w:t>
      </w:r>
    </w:p>
    <w:p>
      <w:pPr>
        <w:rPr>
          <w:noProof/>
        </w:rPr>
      </w:pPr>
      <w:r>
        <w:rPr>
          <w:noProof/>
        </w:rPr>
        <w:t>През 2015 г. бяха осъществени 10 прояви, средства за които са отпуснати по програмата „Перикъл 2020“ от 2014 г. или от бюджета на програма „Перикъл“</w:t>
      </w:r>
      <w:r>
        <w:rPr>
          <w:rStyle w:val="FootnoteReference"/>
          <w:noProof/>
        </w:rPr>
        <w:footnoteReference w:id="9"/>
      </w:r>
      <w:r>
        <w:rPr>
          <w:noProof/>
        </w:rPr>
        <w:t>. Пет от тези проекти бяха предложени от компетентните органи на държави членки, а именно Латвия, Италия и Франция, а пет бяха по инициатива на Комисията. Проектите включваха 2 семинара, 2 изследвания, 2 технически обучения, 3 обмена на служители и актуализация на наръчника за борба с фалшифицирането на еврото. Специално внимание беше отделено на Югоизточна Европа и Средиземноморието.</w:t>
      </w:r>
    </w:p>
    <w:p>
      <w:pPr>
        <w:spacing w:before="240" w:after="240"/>
        <w:outlineLvl w:val="0"/>
        <w:rPr>
          <w:b/>
          <w:noProof/>
        </w:rPr>
      </w:pPr>
      <w:r>
        <w:rPr>
          <w:b/>
          <w:noProof/>
        </w:rPr>
        <w:t>5.</w:t>
      </w:r>
      <w:r>
        <w:rPr>
          <w:noProof/>
        </w:rPr>
        <w:tab/>
      </w:r>
      <w:r>
        <w:rPr>
          <w:b/>
          <w:noProof/>
        </w:rPr>
        <w:t>Заключение и следващи стъпки</w:t>
      </w:r>
    </w:p>
    <w:p>
      <w:pPr>
        <w:rPr>
          <w:noProof/>
          <w:szCs w:val="24"/>
        </w:rPr>
      </w:pPr>
      <w:r>
        <w:rPr>
          <w:noProof/>
        </w:rPr>
        <w:t>Програмата „Перикъл 2020“ продължава да е важно и ефективно средство за борба срещу фалшифицирането. Този извод се потвърждава от оценката на Комисията, че в сравнение с предходната година са били проведени повече съфинансирани дейности  по програма „Перикъл 2020“</w:t>
      </w:r>
      <w:r>
        <w:rPr>
          <w:rStyle w:val="FootnoteReference"/>
          <w:noProof/>
        </w:rPr>
        <w:footnoteReference w:id="10"/>
      </w:r>
      <w:r>
        <w:rPr>
          <w:noProof/>
        </w:rPr>
        <w:t>. Програмата служи като основа за подпомагане на изследвания, поддържане и развитие на сътрудничеството и обмен на най-добри практики между всички участници в борбата срещу фалшифицирането на еврото. Резултатите от изпълнението на програмата и постоянният анализ на възникващите заплахи, обсъждани от ЕГПФЕ, дават основание за 2016 г. да се формулират следните приоритети</w:t>
      </w:r>
      <w:r>
        <w:rPr>
          <w:rStyle w:val="FootnoteReference"/>
          <w:noProof/>
        </w:rPr>
        <w:footnoteReference w:id="11"/>
      </w:r>
      <w:r>
        <w:rPr>
          <w:noProof/>
        </w:rPr>
        <w:t>:</w:t>
      </w:r>
    </w:p>
    <w:p>
      <w:pPr>
        <w:pStyle w:val="Tiret0"/>
        <w:numPr>
          <w:ilvl w:val="0"/>
          <w:numId w:val="2"/>
        </w:numPr>
        <w:rPr>
          <w:noProof/>
          <w:szCs w:val="24"/>
        </w:rPr>
      </w:pPr>
      <w:r>
        <w:rPr>
          <w:noProof/>
          <w:color w:val="000000"/>
        </w:rPr>
        <w:t>подкрепа за проявите, предназначени да подобрят сътрудничеството между държавите членки, които са особено засегнати от производството и разпространението на фалшификати</w:t>
      </w:r>
      <w:r>
        <w:rPr>
          <w:noProof/>
        </w:rPr>
        <w:t>,</w:t>
      </w:r>
    </w:p>
    <w:p>
      <w:pPr>
        <w:pStyle w:val="Tiret0"/>
        <w:numPr>
          <w:ilvl w:val="0"/>
          <w:numId w:val="2"/>
        </w:numPr>
        <w:rPr>
          <w:noProof/>
          <w:color w:val="000000"/>
          <w:spacing w:val="-4"/>
          <w:szCs w:val="24"/>
        </w:rPr>
      </w:pPr>
      <w:r>
        <w:rPr>
          <w:noProof/>
          <w:color w:val="000000"/>
          <w:spacing w:val="-4"/>
        </w:rPr>
        <w:t xml:space="preserve">насърчаване на сътрудничество с органите на трети държави, където има подозрения или доказателства, че на територията им се произвеждат фалшиви евро, </w:t>
      </w:r>
    </w:p>
    <w:p>
      <w:pPr>
        <w:pStyle w:val="Tiret0"/>
        <w:numPr>
          <w:ilvl w:val="0"/>
          <w:numId w:val="2"/>
        </w:numPr>
        <w:rPr>
          <w:noProof/>
          <w:color w:val="000000"/>
          <w:szCs w:val="24"/>
        </w:rPr>
      </w:pPr>
      <w:r>
        <w:rPr>
          <w:noProof/>
          <w:color w:val="000000"/>
        </w:rPr>
        <w:t xml:space="preserve">запазване на ефикасна рамка за защита на еврото в Югоизточна Европа. </w:t>
      </w:r>
    </w:p>
    <w:p>
      <w:pPr>
        <w:pStyle w:val="Tiret0"/>
        <w:numPr>
          <w:ilvl w:val="0"/>
          <w:numId w:val="2"/>
        </w:numPr>
        <w:rPr>
          <w:noProof/>
          <w:color w:val="000000"/>
          <w:szCs w:val="24"/>
        </w:rPr>
      </w:pPr>
      <w:r>
        <w:rPr>
          <w:noProof/>
          <w:color w:val="000000"/>
        </w:rPr>
        <w:t>нови развития: защитни елементи или методи за установяване на автентичността, разпространение на фалшификати и суровини в интернет и участието на митническите органи на държавите членки в борбата срещу подправянето на парични знаци.</w:t>
      </w:r>
    </w:p>
    <w:p>
      <w:pPr>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142" w:hanging="142"/>
        <w:rPr>
          <w:sz w:val="16"/>
          <w:szCs w:val="16"/>
        </w:rPr>
      </w:pPr>
      <w:r>
        <w:rPr>
          <w:rStyle w:val="FootnoteReference"/>
          <w:sz w:val="16"/>
        </w:rPr>
        <w:footnoteRef/>
      </w:r>
      <w:r>
        <w:tab/>
      </w:r>
      <w:r>
        <w:rPr>
          <w:sz w:val="16"/>
        </w:rPr>
        <w:t>Регламент (ЕС) № 331/2014 на Европейския парламент и на Съвета за създаване на програма за обмен, помощ и обучение за защита на еврото срещу фалшифициране (програма „Перикъл 2020“)</w:t>
      </w:r>
      <w:r>
        <w:t xml:space="preserve"> </w:t>
      </w:r>
      <w:r>
        <w:rPr>
          <w:sz w:val="16"/>
        </w:rPr>
        <w:t>(ОВ L 103, 5.4.2014 г., стр. 1). Този регламент отменя Решенията на Съвета 2001/923/ЕО, 2006/75/ЕО и 2006/849/ЕО.</w:t>
      </w:r>
    </w:p>
  </w:footnote>
  <w:footnote w:id="2">
    <w:p>
      <w:pPr>
        <w:pStyle w:val="FootnoteText"/>
        <w:ind w:left="142" w:hanging="142"/>
        <w:rPr>
          <w:sz w:val="16"/>
          <w:szCs w:val="16"/>
        </w:rPr>
      </w:pPr>
      <w:r>
        <w:rPr>
          <w:sz w:val="16"/>
          <w:vertAlign w:val="superscript"/>
        </w:rPr>
        <w:footnoteRef/>
      </w:r>
      <w:r>
        <w:tab/>
      </w:r>
      <w:r>
        <w:rPr>
          <w:sz w:val="16"/>
        </w:rPr>
        <w:t>Регламент (ЕС) 2015/768 на Съвета от 11 май 2015 г. за разширяване спрямо неучастващите държави членки на приложението на Регламент (ЕС) № 331/2014 на Европейския парламент и на Съвета за създаване на програма за обмен, помощ и обучение за защита на еврото срещу фалшифициране (програма „Перикъл 2020“) (ОВ L 121, 14.5.2015 г., стр. 1).</w:t>
      </w:r>
    </w:p>
  </w:footnote>
  <w:footnote w:id="3">
    <w:p>
      <w:pPr>
        <w:pStyle w:val="FootnoteText"/>
        <w:ind w:left="142" w:hanging="142"/>
      </w:pPr>
      <w:r>
        <w:rPr>
          <w:rStyle w:val="FootnoteReference"/>
          <w:sz w:val="16"/>
        </w:rPr>
        <w:footnoteRef/>
      </w:r>
      <w:r>
        <w:tab/>
      </w:r>
      <w:r>
        <w:rPr>
          <w:sz w:val="16"/>
        </w:rPr>
        <w:t>Осъществяването на някои прояви продължава и през 2016 г.</w:t>
      </w:r>
    </w:p>
  </w:footnote>
  <w:footnote w:id="4">
    <w:p>
      <w:pPr>
        <w:pStyle w:val="FootnoteText"/>
      </w:pPr>
      <w:r>
        <w:rPr>
          <w:rStyle w:val="FootnoteReference"/>
          <w:sz w:val="16"/>
        </w:rPr>
        <w:footnoteRef/>
      </w:r>
      <w:r>
        <w:tab/>
      </w:r>
      <w:r>
        <w:rPr>
          <w:sz w:val="16"/>
        </w:rPr>
        <w:t>Втората категория включва, наред с останалото, Интерпол, персонал на търговски банки и служители на национални министерства.</w:t>
      </w:r>
    </w:p>
  </w:footnote>
  <w:footnote w:id="5">
    <w:p>
      <w:pPr>
        <w:pStyle w:val="FootnoteText"/>
      </w:pPr>
      <w:r>
        <w:rPr>
          <w:rStyle w:val="FootnoteReference"/>
          <w:sz w:val="16"/>
        </w:rPr>
        <w:footnoteRef/>
      </w:r>
      <w:r>
        <w:tab/>
      </w:r>
      <w:r>
        <w:rPr>
          <w:sz w:val="16"/>
        </w:rPr>
        <w:t>Увеличението от 4 процентни пункта спрямо изпълнението на програма „Перикъл“ за 2014 г. (вж. COM(2015) 507 final).</w:t>
      </w:r>
    </w:p>
  </w:footnote>
  <w:footnote w:id="6">
    <w:p>
      <w:pPr>
        <w:pStyle w:val="FootnoteText"/>
        <w:ind w:left="142" w:hanging="142"/>
      </w:pPr>
      <w:r>
        <w:rPr>
          <w:rStyle w:val="FootnoteReference"/>
          <w:sz w:val="16"/>
        </w:rPr>
        <w:footnoteRef/>
      </w:r>
      <w:r>
        <w:tab/>
      </w:r>
      <w:r>
        <w:rPr>
          <w:sz w:val="16"/>
        </w:rPr>
        <w:t>Цялостен преглед на проявите в рамките на програмата „Перикъл“, за които бяха отпуснати средства през 2015 г., се съдържа в приложение I.</w:t>
      </w:r>
    </w:p>
  </w:footnote>
  <w:footnote w:id="7">
    <w:p>
      <w:pPr>
        <w:pStyle w:val="FootnoteText"/>
        <w:ind w:left="142" w:hanging="142"/>
      </w:pPr>
      <w:r>
        <w:rPr>
          <w:rStyle w:val="FootnoteReference"/>
          <w:sz w:val="16"/>
        </w:rPr>
        <w:footnoteRef/>
      </w:r>
      <w:r>
        <w:tab/>
      </w:r>
      <w:r>
        <w:rPr>
          <w:sz w:val="16"/>
        </w:rPr>
        <w:t>Регламент (ЕС) № 250/2014 на Европейския парламент и на Съвета от 26 февруари 2014 г. за създаване на програма за насърчаване на дейности в областта на защитата на финансовите интереси на Европейския съюз (програма „Херкулес III“) и за отмяна на Решение № 804/2004/ЕО (OВ L 84, 20.3.2014 г., стр. 6).</w:t>
      </w:r>
    </w:p>
  </w:footnote>
  <w:footnote w:id="8">
    <w:p>
      <w:pPr>
        <w:autoSpaceDE w:val="0"/>
        <w:autoSpaceDN w:val="0"/>
        <w:adjustRightInd w:val="0"/>
        <w:spacing w:before="0" w:after="0"/>
        <w:ind w:left="142" w:hanging="142"/>
      </w:pPr>
      <w:r>
        <w:rPr>
          <w:rStyle w:val="FootnoteReference"/>
          <w:sz w:val="16"/>
        </w:rPr>
        <w:footnoteRef/>
      </w:r>
      <w:r>
        <w:tab/>
      </w:r>
      <w:r>
        <w:rPr>
          <w:sz w:val="16"/>
        </w:rPr>
        <w:t>Регламент (ЕС) № 513/2014 на Европейския парламент и на Съвета от 16 април 2014 г. за създаване на инструмента за финансово подпомагане на полицейското сътрудничество, предотвратяването и борбата с престъпността и управлението на кризи като част от фонд „Вътрешна сигурност“ и за отмяна на Решение 2007/125/ПВР на Съвета (ОВ L 150, 20.5.2014 г., стр. 93).</w:t>
      </w:r>
    </w:p>
  </w:footnote>
  <w:footnote w:id="9">
    <w:p>
      <w:pPr>
        <w:pStyle w:val="FootnoteText"/>
        <w:ind w:left="142" w:hanging="142"/>
        <w:rPr>
          <w:sz w:val="16"/>
          <w:szCs w:val="16"/>
        </w:rPr>
      </w:pPr>
      <w:r>
        <w:rPr>
          <w:rStyle w:val="FootnoteReference"/>
          <w:sz w:val="16"/>
        </w:rPr>
        <w:footnoteRef/>
      </w:r>
      <w:r>
        <w:tab/>
      </w:r>
      <w:r>
        <w:rPr>
          <w:sz w:val="16"/>
        </w:rPr>
        <w:t>В приложение II се съдържа цялостен преглед на проявите, за които са били отпуснати средства по програмата „Перикъл 2020“ от 2014 г. или от бюджета на програма „Перикъл“, но са били осъществени през 2015 г.</w:t>
      </w:r>
    </w:p>
  </w:footnote>
  <w:footnote w:id="10">
    <w:p>
      <w:pPr>
        <w:pStyle w:val="FootnoteText"/>
        <w:ind w:left="142" w:hanging="142"/>
        <w:rPr>
          <w:sz w:val="16"/>
          <w:szCs w:val="16"/>
        </w:rPr>
      </w:pPr>
      <w:r>
        <w:rPr>
          <w:rStyle w:val="FootnoteReference"/>
          <w:sz w:val="16"/>
        </w:rPr>
        <w:footnoteRef/>
      </w:r>
      <w:r>
        <w:tab/>
      </w:r>
      <w:r>
        <w:rPr>
          <w:sz w:val="16"/>
        </w:rPr>
        <w:t>Вж. COM(2015) 507 final.</w:t>
      </w:r>
    </w:p>
  </w:footnote>
  <w:footnote w:id="11">
    <w:p>
      <w:pPr>
        <w:pStyle w:val="FootnoteText"/>
        <w:ind w:left="142" w:hanging="142"/>
      </w:pPr>
      <w:r>
        <w:rPr>
          <w:rStyle w:val="FootnoteReference"/>
          <w:sz w:val="16"/>
        </w:rPr>
        <w:footnoteRef/>
      </w:r>
      <w:r>
        <w:tab/>
      </w:r>
      <w:r>
        <w:rPr>
          <w:sz w:val="16"/>
        </w:rPr>
        <w:t xml:space="preserve">Приоритетите на програмата за 2016 г. са важна част от годишната работна програма, приложена към Решение C(2016) 316 final на Комисията от 27 януари 2016 г. </w:t>
      </w:r>
      <w:r>
        <w:rPr>
          <w:rStyle w:val="iceouttxt"/>
          <w:sz w:val="16"/>
        </w:rPr>
        <w:t>относно приемането на годишната програма за 2016 г. на програмата „Перикъл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124A2"/>
    <w:multiLevelType w:val="singleLevel"/>
    <w:tmpl w:val="8ACC16A0"/>
    <w:name w:val="Tiret 0"/>
    <w:lvl w:ilvl="0">
      <w:start w:val="1"/>
      <w:numFmt w:val="bullet"/>
      <w:lvlRestart w:val="0"/>
      <w:pStyle w:val="Tiret0"/>
      <w:lvlText w:val="–"/>
      <w:lvlJc w:val="left"/>
      <w:pPr>
        <w:tabs>
          <w:tab w:val="num" w:pos="850"/>
        </w:tabs>
        <w:ind w:left="850" w:hanging="850"/>
      </w:pPr>
    </w:lvl>
  </w:abstractNum>
  <w:abstractNum w:abstractNumId="1">
    <w:nsid w:val="210A4039"/>
    <w:multiLevelType w:val="hybridMultilevel"/>
    <w:tmpl w:val="11288B32"/>
    <w:lvl w:ilvl="0" w:tplc="0809000F">
      <w:start w:val="1"/>
      <w:numFmt w:val="decimal"/>
      <w:lvlText w:val="%1."/>
      <w:lvlJc w:val="left"/>
      <w:pPr>
        <w:ind w:left="720" w:hanging="360"/>
      </w:pPr>
      <w:rPr>
        <w:rFonts w:cs="Times New Roman" w:hint="default"/>
      </w:rPr>
    </w:lvl>
    <w:lvl w:ilvl="1" w:tplc="3C609B36">
      <w:numFmt w:val="bullet"/>
      <w:lvlText w:val="-"/>
      <w:lvlJc w:val="left"/>
      <w:pPr>
        <w:ind w:left="1440" w:hanging="360"/>
      </w:pPr>
      <w:rPr>
        <w:rFonts w:ascii="Verdana" w:eastAsia="Times New Roman" w:hAnsi="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3FA344A48D584484A9C684DE50FA14F2"/>
    <w:docVar w:name="LW_CROSSREFERENCE" w:val="&lt;UNUSED&gt;"/>
    <w:docVar w:name="LW_DocType" w:val="NORMAL"/>
    <w:docVar w:name="LW_EMISSION" w:val="27.6.2016"/>
    <w:docVar w:name="LW_EMISSION_ISODATE" w:val="2016-06-27"/>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419"/>
    <w:docVar w:name="LW_REF.INTERNE" w:val="&lt;UNUSED&gt;"/>
    <w:docVar w:name="LW_SOUS.TITRE.OBJ.CP" w:val="&lt;UNUSED&gt;"/>
    <w:docVar w:name="LW_SUPERTITRE" w:val="&lt;UNUSED&gt;"/>
    <w:docVar w:name="LW_TITRE.OBJ.CP" w:val="\u1086?\u1090?\u1085?\u1086?\u1089?\u1085?\u1086? \u1080?\u1079?\u1087?\u1098?\u1083?\u1085?\u1077?\u1085?\u1080?\u1077?\u1090?\u1086? \u1080? \u1088?\u1077?\u1079?\u1091?\u1083?\u1090?\u1072?\u1090?\u1080?\u1090?\u1077? \u1087?\u1088?\u1077?\u1079? 2015 \u1075?. \u1085?\u1072? \u1087?\u1088?\u1086?\u1075?\u1088?\u1072?\u1084?\u1072?\u1090?\u1072? \u8222?\u1055?\u1077?\u1088?\u1080?\u1082?\u1098?\u1083? 2020\u8220? \u1079?\u1072? \u1079?\u1072?\u1097?\u1080?\u1090?\u1072? \u1085?\u1072? \u1077?\u1074?\u1088?\u1086?\u1090?\u1086? \u1089?\u1088?\u1077?\u1097?\u1091? \u1092?\u1072?\u1083?\u1096?\u1080?\u1092?\u1080?\u1094?\u1080?\u1088?\u1072?\u1085?\u1077?"/>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mbria"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eastAsia="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style>
  <w:style w:type="character" w:customStyle="1" w:styleId="Style1Char">
    <w:name w:val="Style1 Char"/>
    <w:link w:val="Style1"/>
    <w:rPr>
      <w:rFonts w:ascii="Cambria" w:eastAsia="Cambria" w:hAnsi="Cambria" w:cs="Times New Roman"/>
      <w:sz w:val="24"/>
      <w:szCs w:val="24"/>
      <w:lang w:val="bg-BG"/>
    </w:rPr>
  </w:style>
  <w:style w:type="paragraph" w:styleId="ListParagraph">
    <w:name w:val="List Paragraph"/>
    <w:basedOn w:val="Normal"/>
    <w:uiPriority w:val="34"/>
    <w:qFormat/>
    <w:pPr>
      <w:ind w:left="720"/>
      <w:contextualSpacing/>
    </w:pPr>
  </w:style>
  <w:style w:type="character" w:styleId="SubtleReference">
    <w:name w:val="Subtle Reference"/>
    <w:uiPriority w:val="31"/>
    <w:qFormat/>
    <w:rPr>
      <w:smallCaps/>
      <w:color w:val="C0504D"/>
      <w:u w:val="single"/>
    </w:rPr>
  </w:style>
  <w:style w:type="character" w:styleId="IntenseReference">
    <w:name w:val="Intense Reference"/>
    <w:uiPriority w:val="32"/>
    <w:qFormat/>
    <w:rPr>
      <w:b/>
      <w:bCs/>
      <w:smallCaps/>
      <w:color w:val="C0504D"/>
      <w:spacing w:val="5"/>
      <w:u w:val="single"/>
    </w:rPr>
  </w:style>
  <w:style w:type="character" w:styleId="BookTitle">
    <w:name w:val="Book Title"/>
    <w:autoRedefine/>
    <w:uiPriority w:val="33"/>
    <w:qFormat/>
    <w:rPr>
      <w:b/>
      <w:bCs/>
      <w:smallCaps/>
      <w:spacing w:val="5"/>
    </w:rPr>
  </w:style>
  <w:style w:type="paragraph" w:styleId="FootnoteText">
    <w:name w:val="footnote text"/>
    <w:basedOn w:val="Normal"/>
    <w:link w:val="FootnoteTextChar"/>
    <w:uiPriority w:val="99"/>
    <w:pPr>
      <w:spacing w:before="0" w:after="0"/>
      <w:ind w:left="720" w:hanging="720"/>
    </w:pPr>
    <w:rPr>
      <w:sz w:val="20"/>
    </w:rPr>
  </w:style>
  <w:style w:type="character" w:customStyle="1" w:styleId="FootnoteTextChar">
    <w:name w:val="Footnote Text Char"/>
    <w:link w:val="FootnoteText"/>
    <w:uiPriority w:val="99"/>
    <w:rPr>
      <w:rFonts w:ascii="Times New Roman" w:eastAsia="Times New Roman" w:hAnsi="Times New Roman" w:cs="Times New Roman"/>
      <w:sz w:val="20"/>
      <w:szCs w:val="20"/>
      <w:lang w:eastAsia="bg-BG"/>
    </w:rPr>
  </w:style>
  <w:style w:type="character" w:styleId="FootnoteReference">
    <w:name w:val="footnote reference"/>
    <w:uiPriority w:val="99"/>
    <w:rPr>
      <w:vertAlign w:val="superscript"/>
    </w:rPr>
  </w:style>
  <w:style w:type="paragraph" w:customStyle="1" w:styleId="ManualNumPar1">
    <w:name w:val="Manual NumPar 1"/>
    <w:basedOn w:val="Normal"/>
    <w:next w:val="Normal"/>
    <w:pPr>
      <w:ind w:left="850" w:hanging="850"/>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Normal"/>
    <w:link w:val="TypedudocumentChar"/>
    <w:pPr>
      <w:spacing w:before="360" w:after="0"/>
      <w:jc w:val="center"/>
    </w:pPr>
    <w:rPr>
      <w:b/>
    </w:rPr>
  </w:style>
  <w:style w:type="character" w:customStyle="1" w:styleId="TypedudocumentChar">
    <w:name w:val="Type du document Char"/>
    <w:link w:val="Typedudocument"/>
    <w:locked/>
    <w:rPr>
      <w:rFonts w:ascii="Times New Roman" w:eastAsia="Times New Roman" w:hAnsi="Times New Roman" w:cs="Times New Roman"/>
      <w:b/>
      <w:sz w:val="24"/>
      <w:szCs w:val="20"/>
      <w:lang w:eastAsia="bg-BG"/>
    </w:rPr>
  </w:style>
  <w:style w:type="character" w:styleId="Strong">
    <w:name w:val="Strong"/>
    <w:uiPriority w:val="22"/>
    <w:qFormat/>
    <w:rPr>
      <w:b/>
    </w:rPr>
  </w:style>
  <w:style w:type="paragraph" w:customStyle="1" w:styleId="Tiret0">
    <w:name w:val="Tiret 0"/>
    <w:basedOn w:val="Normal"/>
    <w:pPr>
      <w:numPr>
        <w:numId w:val="1"/>
      </w:numPr>
      <w:tabs>
        <w:tab w:val="clear" w:pos="850"/>
        <w:tab w:val="num" w:pos="360"/>
      </w:tabs>
      <w:ind w:left="0" w:firstLine="0"/>
    </w:pPr>
  </w:style>
  <w:style w:type="character" w:customStyle="1" w:styleId="iceouttxt">
    <w:name w:val="iceouttxt"/>
  </w:style>
  <w:style w:type="character" w:styleId="Hyperlink">
    <w:name w:val="Hyperlink"/>
    <w:uiPriority w:val="99"/>
    <w:semiHidden/>
    <w:unhideWhenUsed/>
    <w:rPr>
      <w:color w:val="0000FF"/>
      <w:u w:val="single"/>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0" w:after="0"/>
    </w:pPr>
    <w:rPr>
      <w:rFonts w:eastAsia="Calibri"/>
      <w:szCs w:val="22"/>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link w:val="Header"/>
    <w:uiPriority w:val="99"/>
    <w:rPr>
      <w:rFonts w:ascii="Times New Roman" w:eastAsia="Times New Roman" w:hAnsi="Times New Roman" w:cs="Times New Roman"/>
      <w:sz w:val="24"/>
      <w:szCs w:val="20"/>
      <w:lang w:eastAsia="bg-BG"/>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link w:val="Footer"/>
    <w:uiPriority w:val="99"/>
    <w:rPr>
      <w:rFonts w:ascii="Times New Roman" w:eastAsia="Times New Roman" w:hAnsi="Times New Roman" w:cs="Times New Roman"/>
      <w:sz w:val="24"/>
      <w:szCs w:val="20"/>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rFonts w:ascii="Times New Roman" w:eastAsia="Times New Roman" w:hAnsi="Times New Roman"/>
      <w:sz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rFonts w:ascii="Times New Roman" w:eastAsia="Times New Roman" w:hAnsi="Times New Roman"/>
      <w:sz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E7576-9528-4EC9-9EA5-E7CD876D7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1591</Words>
  <Characters>9136</Characters>
  <Application>Microsoft Office Word</Application>
  <DocSecurity>0</DocSecurity>
  <Lines>166</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29</cp:revision>
  <dcterms:created xsi:type="dcterms:W3CDTF">2016-05-31T15:02:00Z</dcterms:created>
  <dcterms:modified xsi:type="dcterms:W3CDTF">2016-06-26T21:55:00Z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