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24E1C519DE14464B8DEB8DAD2EE32A9" style="width:450.35pt;height:442.8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II: Actions engagées au titre de budgets précédents mais mises en œuvre en 2015</w:t>
      </w:r>
    </w:p>
    <w:tbl>
      <w:tblPr>
        <w:tblW w:w="10207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2126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Date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Contribution de la 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(montant total engagé en EUR)</w:t>
            </w:r>
          </w:p>
        </w:tc>
      </w:tr>
      <w:tr>
        <w:trPr>
          <w:trHeight w:val="57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Séminaires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développer une approche commune pour la protection de l'euro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Ankara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 au 5 mars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96 501</w:t>
            </w:r>
          </w:p>
        </w:tc>
      </w:tr>
      <w:tr>
        <w:trPr>
          <w:trHeight w:val="509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Séminaire: 3</w:t>
            </w:r>
            <w:r>
              <w:rPr>
                <w:rFonts w:ascii="Times New Roman" w:hAnsi="Times New Roman"/>
                <w:b/>
                <w:noProof/>
                <w:vertAlign w:val="superscript"/>
              </w:rPr>
              <w:t>e</w:t>
            </w:r>
            <w:r>
              <w:rPr>
                <w:rFonts w:ascii="Times New Roman" w:hAnsi="Times New Roman"/>
                <w:b/>
                <w:noProof/>
              </w:rPr>
              <w:t> conférence internationale sur la protection de l'euro contre le faux monnayage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Francfort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 au 27 mars 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79 000</w:t>
            </w:r>
          </w:p>
        </w:tc>
      </w:tr>
      <w:tr>
        <w:trPr>
          <w:trHeight w:val="99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développement institutionnel (création d'offices centraux nationaux sur la base de la Convention internationale relative à la répression du faux-monnayage, Genève, 20 avril 1929);  renforcer la coopération et l'échange de savoir-faire.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>
        <w:trPr>
          <w:trHeight w:val="641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Formations techniques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Formation technique tactique: protéger l'euro contre le faux monnayage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Cali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 au 24 avril 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138 649</w:t>
            </w:r>
          </w:p>
        </w:tc>
      </w:tr>
      <w:tr>
        <w:trPr>
          <w:trHeight w:val="839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Formation technique: renforcer la protection de l'euro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Tirana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 au 21 mai 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109 967</w:t>
            </w:r>
          </w:p>
        </w:tc>
      </w:tr>
      <w:tr>
        <w:trPr>
          <w:trHeight w:val="528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contrefaits.</w:t>
            </w:r>
          </w:p>
        </w:tc>
      </w:tr>
      <w:tr>
        <w:trPr>
          <w:trHeight w:val="571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Études/manuels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DCPJ-OCRFM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Étude sur la contrefaçon de l'euro en France - Acteurs et organisations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 septembre 2014 au 31 décembre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41 371</w:t>
            </w:r>
          </w:p>
        </w:tc>
      </w:tr>
      <w:tr>
        <w:trPr>
          <w:trHeight w:val="537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recherche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Étude: polymères photochromes nanostructurés avec de nouveaux éléments de sécurité pour l'utilisation sur les pièces en euros «Nanoguard Project»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 janvier 2015 au 31 octobre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100 500</w:t>
            </w:r>
          </w:p>
        </w:tc>
      </w:tr>
      <w:tr>
        <w:trPr>
          <w:trHeight w:val="55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recherche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Le manuel européen de lutte contre la contrefaçon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(mise à jour de la liste des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autorités compétentes)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Journal officiel de l'Union européenne C 264: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 août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1 500</w:t>
            </w:r>
          </w:p>
        </w:tc>
      </w:tr>
      <w:tr>
        <w:trPr>
          <w:trHeight w:val="56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mise à jour de la liste des autorités nationales compétentes.</w:t>
            </w:r>
          </w:p>
        </w:tc>
      </w:tr>
      <w:tr>
        <w:trPr>
          <w:trHeight w:val="649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Échanges de membres du personnel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Police lettone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Subvention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Échange de personnel, police lettone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Madrid, Lisbonne, Tallinn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21"/>
              </w:rPr>
              <w:t>10 février 2015 au 16 mars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23 373</w:t>
            </w:r>
          </w:p>
        </w:tc>
      </w:tr>
      <w:tr>
        <w:trPr>
          <w:trHeight w:val="533"/>
        </w:trPr>
        <w:tc>
          <w:tcPr>
            <w:tcW w:w="10207" w:type="dxa"/>
            <w:gridSpan w:val="4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  <w:sz w:val="21"/>
              </w:rPr>
              <w:t xml:space="preserve"> formation technique et échange de savoir-faire.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CCAFM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sur les techniques d'enquête contre le faux monnayage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 4 décembre 2014 au 31 juillet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57 794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formation à la détection d'euros contrefaits, à la collecte de preuves pour le suivi judiciaire et aux méthodes d'investigation; renforcer la coopération et l'échange de savoir-faire.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Banca d'Italia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Subvention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Échange de personnel Banca d’Italia/Banque d'Albanie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 décembre 2014 au 31 août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6 674</w:t>
            </w:r>
          </w:p>
        </w:tc>
      </w:tr>
      <w:tr>
        <w:trPr>
          <w:trHeight w:val="51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renforcer la coopération et l'échange de savoir-faire.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au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A24E1C519DE14464B8DEB8DAD2EE32A9"/>
    <w:docVar w:name="LW_CROSSREFERENCE" w:val="&lt;UNUSED&gt;"/>
    <w:docVar w:name="LW_DocType" w:val="NORMAL"/>
    <w:docVar w:name="LW_EMISSION" w:val="27.6.2016"/>
    <w:docVar w:name="LW_EMISSION_ISODATE" w:val="2016-06-27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concernant la mise en \u339?uvre et les résultats en 2015 du programme Pericles 2020 pour la protection de l'euro contre le faux monnayage"/>
    <w:docVar w:name="LW_PART_NBR" w:val="1"/>
    <w:docVar w:name="LW_PART_NBR_TOTAL" w:val="1"/>
    <w:docVar w:name="LW_REF.INST.NEW" w:val="COM"/>
    <w:docVar w:name="LW_REF.INST.NEW_ADOPTED" w:val="final"/>
    <w:docVar w:name="LW_REF.INST.NEW_TEXT" w:val="(2016) 419"/>
    <w:docVar w:name="LW_REF.INTERNE" w:val="&lt;UNUSED&gt;"/>
    <w:docVar w:name="LW_SUPERTITRE" w:val="&lt;UNUSED&gt;"/>
    <w:docVar w:name="LW_TITRE.OBJ.CP" w:val="Actions engagées au titre de budgets précédents mais mises en oeuvre en 2015"/>
    <w:docVar w:name="LW_TYPE.DOC.CP" w:val="ANNEXE_x000b_"/>
    <w:docVar w:name="LW_TYPEACTEPRINCIPAL.CP" w:val="RAPPORT DE LA COMMISSION AU PARLEMENT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427</Words>
  <Characters>2502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CHRISTODOULAKI Stavroula (ECFIN)</dc:creator>
  <cp:lastModifiedBy>DIGIT/A3</cp:lastModifiedBy>
  <cp:revision>10</cp:revision>
  <dcterms:created xsi:type="dcterms:W3CDTF">2016-05-30T14:06:00Z</dcterms:created>
  <dcterms:modified xsi:type="dcterms:W3CDTF">2016-06-26T21:56:00Z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