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F3B742FCF5D4F73A1B677E6D5EC88DD" style="width:450.7pt;height:379.6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ab/>
        <w:t>Основания и цели на предложението</w:t>
      </w:r>
    </w:p>
    <w:p>
      <w:pPr>
        <w:pStyle w:val="Text1"/>
        <w:ind w:firstLine="1"/>
        <w:rPr>
          <w:noProof/>
        </w:rPr>
      </w:pPr>
      <w:r>
        <w:rPr>
          <w:noProof/>
        </w:rPr>
        <w:t xml:space="preserve">Продължаващата финансова и икономическа криза оказа натиск върху националните финансови ресурси, тъй като държавите членки провеждат необходимите политики за фискална консолидация. В този контекст осигуряването на безпрепятствено изпълнение на програмите, ползващи се с подкрепа от европейските структурни и инвестиционни фондове (ЕСИФ), е от особено значение за инвестициите за икономически растеж и работни места. </w:t>
      </w:r>
    </w:p>
    <w:p>
      <w:pPr>
        <w:pStyle w:val="Text1"/>
        <w:rPr>
          <w:noProof/>
        </w:rPr>
      </w:pPr>
      <w:r>
        <w:rPr>
          <w:noProof/>
        </w:rPr>
        <w:t xml:space="preserve">Изпълнението на програмите често е предизвикателство, не на последно място и поради проблеми с ликвидността, произтичащи от фискалната консолидация. Това важи преди всичко за държавите членки, които са най-силно засегнати от кризата и са получили финансова помощ по програма за макроикономически корекции. </w:t>
      </w:r>
    </w:p>
    <w:p>
      <w:pPr>
        <w:pStyle w:val="Text1"/>
        <w:rPr>
          <w:noProof/>
        </w:rPr>
      </w:pPr>
      <w:r>
        <w:rPr>
          <w:noProof/>
        </w:rPr>
        <w:t>За да се гарантира, че тези държави членки продължават да изпълняват на място програмите по ЕСИФ, както и че отпускат средства за проекти, член 24 от Регламент (ЕС) № 1303/2013 на Европейския парламент и на Съвета от 17 декември 2013 г.</w:t>
      </w:r>
      <w:r>
        <w:rPr>
          <w:rStyle w:val="FootnoteReference"/>
          <w:noProof/>
        </w:rPr>
        <w:footnoteReference w:id="1"/>
      </w:r>
      <w:r>
        <w:rPr>
          <w:noProof/>
        </w:rPr>
        <w:t xml:space="preserve"> позволява на Комисията да увеличи размера на плащанията („допълнително финансиране“) от 1 януари 2014 г. до 30 юни 2016 г. за онези държави, които са се възползвали от финансово подпомагане след 21 декември 2013 г.</w:t>
      </w:r>
    </w:p>
    <w:p>
      <w:pPr>
        <w:pStyle w:val="Text1"/>
        <w:rPr>
          <w:noProof/>
        </w:rPr>
      </w:pPr>
      <w:r>
        <w:rPr>
          <w:noProof/>
        </w:rPr>
        <w:t>Пет държави са отговаряли на условията за отпускане на допълнително финансиране в горепосочения срок, а именно Кипър, Гърция, Ирландия, Португалия и Румъния.</w:t>
      </w:r>
    </w:p>
    <w:p>
      <w:pPr>
        <w:pStyle w:val="Text1"/>
        <w:rPr>
          <w:noProof/>
        </w:rPr>
      </w:pPr>
      <w:r>
        <w:rPr>
          <w:noProof/>
        </w:rPr>
        <w:t>Освен това член 120 от Регламент (ЕС) № 1303/2013 предвижда, че от 1 януари 2014 г. до 30 юни 2017 г. максималната ставка на съфинансиране на равнището на всеки приоритет за всички оперативни програми в Кипър, подпомагани по линия на ЕФРР и ЕСФ, е 85 %, вместо 50 %, както е приложимо за по-силно развитите региони</w:t>
      </w:r>
      <w:r>
        <w:rPr>
          <w:rStyle w:val="FootnoteReference"/>
          <w:noProof/>
        </w:rPr>
        <w:footnoteReference w:id="2"/>
      </w:r>
      <w:r>
        <w:rPr>
          <w:noProof/>
        </w:rPr>
        <w:t>. Тази извънредна ставка на съфинансиране е предоставена на Кипър предвид нестабилното положение на неговата икономика. Тя спомага за преодоляването на периода на нужда от големи публични инвестиции, от една страна, и усилия за устойчива фискална консолидация, от друга страна, чрез увеличаване на необходимото фискално пространство за инвестиции от фондовете на политиката на сближаване.</w:t>
      </w:r>
    </w:p>
    <w:p>
      <w:pPr>
        <w:pStyle w:val="Text1"/>
        <w:rPr>
          <w:noProof/>
        </w:rPr>
      </w:pPr>
      <w:r>
        <w:rPr>
          <w:noProof/>
        </w:rPr>
        <w:t>Член 24, параграф 3 и член 120, параграф 3 от Регламент (ЕС) № 1303/2013 изискват от Комисията да преразгледа тези две финансови разпоредби и, ако е необходимо, да направи законодателно предложение преди 30 юни 2016 г. с оглед на евентуалното им удължаване.</w:t>
      </w:r>
    </w:p>
    <w:p>
      <w:pPr>
        <w:pStyle w:val="Text1"/>
        <w:rPr>
          <w:noProof/>
        </w:rPr>
      </w:pPr>
      <w:r>
        <w:rPr>
          <w:noProof/>
        </w:rPr>
        <w:t>Настоящото предложение ще позволи на Комисията да продължи да прави увеличени плащания за всяка държава членка, която ще се възползва от финансова помощ след 30 юни 2016 г., за периода в рамките на този механизъм за подпомагане, без промяна на цялостното разпределението на средствата по линия на ЕСИФ за 2014—2020 г. Освен това предложението ще даде възможност на Кипър да прилага максималния процент на съфинансиране в размер на 85 % до приключването на програмата.</w:t>
      </w:r>
    </w:p>
    <w:p>
      <w:pPr>
        <w:pStyle w:val="Text1"/>
        <w:rPr>
          <w:noProof/>
        </w:rPr>
      </w:pPr>
      <w:r>
        <w:rPr>
          <w:noProof/>
        </w:rPr>
        <w:t>Мерките ще предоставят допълнителни финансови ресурси или необходимата бюджетна гъвкавост за улесняване на изпълнението на място на програмите по ЕСИФ.</w:t>
      </w:r>
    </w:p>
    <w:p>
      <w:pPr>
        <w:pStyle w:val="ManualHeading2"/>
        <w:rPr>
          <w:noProof/>
        </w:rPr>
      </w:pPr>
      <w:r>
        <w:rPr>
          <w:noProof/>
        </w:rPr>
        <w:tab/>
      </w:r>
      <w:r>
        <w:rPr>
          <w:noProof/>
          <w:color w:val="000000"/>
          <w:u w:color="000000"/>
          <w:bdr w:val="nil"/>
        </w:rPr>
        <w:t>Общ контекст и действащи разпоредби в областта на политика, към която спада предложението</w:t>
      </w:r>
    </w:p>
    <w:p>
      <w:pPr>
        <w:pStyle w:val="Text1"/>
        <w:rPr>
          <w:noProof/>
        </w:rPr>
      </w:pPr>
      <w:r>
        <w:rPr>
          <w:noProof/>
        </w:rPr>
        <w:t xml:space="preserve">В член 24 от Регламент (ЕС) № 1303/2013 се предвижда, че по искане на държава членка, изпитваща временни бюджетни затруднения, т.е. държавите, които са получили финансова помощ съгласно програма за корекции след 21 декември 2013 г., междинните плащания могат да бъдат увеличени с 10 процентни пункта над ставката на съфинансиране, приложима за всеки приоритет за ЕФРР, ЕСФ и Кохезионния фонд, или за всяка мярка за ЕЗФРСР и ЕФМДР, при условие че държавата членка подаде съответното искане. Понастоящем тази разпоредба се прилага до 30 юни 2016 г. </w:t>
      </w:r>
    </w:p>
    <w:p>
      <w:pPr>
        <w:pStyle w:val="Text1"/>
        <w:rPr>
          <w:noProof/>
        </w:rPr>
      </w:pPr>
      <w:r>
        <w:rPr>
          <w:noProof/>
        </w:rPr>
        <w:t>Член 120, параграф 3 от Регламент (ЕС) № 1303/2013 предвижда, че от 1 януари 2014 г. до 30 юни 2017 г. максималната ставка на съфинансиране на равнището на всеки приоритет за всички оперативни програми в Кипър, подпомагани по линия на ЕФРР и ЕСФ, е 85 %, вместо 50 %, както е приложимо за по-силно развитите региони.</w:t>
      </w:r>
    </w:p>
    <w:p>
      <w:pPr>
        <w:pStyle w:val="ManualHeading2"/>
        <w:rPr>
          <w:rFonts w:eastAsia="Arial Unicode MS"/>
          <w:noProof/>
        </w:rPr>
      </w:pPr>
      <w:r>
        <w:rPr>
          <w:noProof/>
        </w:rPr>
        <w:tab/>
        <w:t>Съгласуваност с другите политики на Съюза</w:t>
      </w:r>
    </w:p>
    <w:p>
      <w:pPr>
        <w:pStyle w:val="Text1"/>
        <w:rPr>
          <w:noProof/>
        </w:rPr>
      </w:pPr>
      <w:r>
        <w:rPr>
          <w:noProof/>
        </w:rPr>
        <w:t>Предложението е в съответствие с други предложения и инициативи, приети от Европейската комисия в отговор на финансовата криза.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ab/>
        <w:t>Правно основание</w:t>
      </w:r>
    </w:p>
    <w:p>
      <w:pPr>
        <w:pStyle w:val="Text1"/>
        <w:rPr>
          <w:noProof/>
        </w:rPr>
      </w:pPr>
      <w:r>
        <w:rPr>
          <w:noProof/>
        </w:rPr>
        <w:t>Регламент (ЕС) № 1303/2013 установява общите правила, приложими за ЕСИФ. Като се основава на принципа за поделено управление между Европейската комисия и държавите членки, настоящият регламент включва разпоредби по отношение на процеса на планиране, както и правила за управление (включително финансово) на програмите, мониторинг, финансов контрол и оценка на проектите.</w:t>
      </w:r>
    </w:p>
    <w:p>
      <w:pPr>
        <w:pStyle w:val="Text1"/>
        <w:rPr>
          <w:noProof/>
        </w:rPr>
      </w:pPr>
      <w:r>
        <w:rPr>
          <w:noProof/>
        </w:rPr>
        <w:t>Член 24, параграф 3 и член 120, параграф 3 от Регламент (ЕС) № 1303/2013 изискват от Комисията да преразгледа двете горепосочени финансови разпоредби и, ако е необходимо, да направи законодателно предложение преди 30 юни 2016 г. с оглед на евентуалното им удължаване.</w:t>
      </w:r>
    </w:p>
    <w:p>
      <w:pPr>
        <w:pStyle w:val="ManualHeading2"/>
        <w:rPr>
          <w:rFonts w:eastAsia="Arial Unicode MS"/>
          <w:noProof/>
          <w:u w:color="000000"/>
          <w:bdr w:val="nil"/>
        </w:rPr>
      </w:pPr>
      <w:r>
        <w:rPr>
          <w:noProof/>
        </w:rPr>
        <w:tab/>
        <w:t xml:space="preserve">Субсидиарност (при неизключителна компетентност) </w:t>
      </w:r>
    </w:p>
    <w:p>
      <w:pPr>
        <w:pStyle w:val="Text1"/>
        <w:rPr>
          <w:noProof/>
        </w:rPr>
      </w:pPr>
      <w:r>
        <w:rPr>
          <w:noProof/>
        </w:rPr>
        <w:t>Предложението е в съответствие с принципа на субсидиарност дотолкова, доколкото предоставя непрекъсната засилена подкрепа чрез ЕСИФ за определени държави членки, които изпитват сериозни затруднения, особено по отношение на икономическия растеж и финансовата стабилност, както и поради влошаване на позициите им по отношение на дефицита и дълговете, също и вследствие на международната икономическа и финансова обстановка. На този фон е необходимо да се установи временен механизъм на равнище Европейски съюз, който да позволи на Европейската комисия да увеличи възстановяването на суми на базата на сертифицираните разходи в рамките на ЕСИФ и да осигури по-висока ставка на съфинансиране за всички оперативни програми в Кипър, подпомагани по линия на ЕФРР и ЕСФ.</w:t>
      </w:r>
    </w:p>
    <w:p>
      <w:pPr>
        <w:pStyle w:val="ManualHeading2"/>
        <w:rPr>
          <w:rFonts w:eastAsia="Arial Unicode MS"/>
          <w:noProof/>
          <w:u w:color="000000"/>
          <w:bdr w:val="nil"/>
        </w:rPr>
      </w:pPr>
      <w:r>
        <w:rPr>
          <w:noProof/>
        </w:rPr>
        <w:tab/>
        <w:t>Пропорционалност</w:t>
      </w:r>
    </w:p>
    <w:p>
      <w:pPr>
        <w:pStyle w:val="Text1"/>
        <w:rPr>
          <w:noProof/>
        </w:rPr>
      </w:pPr>
      <w:r>
        <w:rPr>
          <w:noProof/>
        </w:rPr>
        <w:t>Предложението е в съответствие с принципа на пропорционалност:</w:t>
      </w:r>
    </w:p>
    <w:p>
      <w:pPr>
        <w:pStyle w:val="Text1"/>
        <w:rPr>
          <w:noProof/>
        </w:rPr>
      </w:pPr>
      <w:r>
        <w:rPr>
          <w:noProof/>
        </w:rPr>
        <w:t xml:space="preserve">Удължаването на периода, през който се дължат увеличените междинни плащания, е пропорционално с оглед на продължаващата икономическа криза, както и на останалите усилия, полагани в помощ на държавите членки с бюджетни затруднения, ползващи се от финансова помощ по програма за корекции. </w:t>
      </w:r>
    </w:p>
    <w:p>
      <w:pPr>
        <w:pStyle w:val="Text1"/>
        <w:rPr>
          <w:noProof/>
        </w:rPr>
      </w:pPr>
      <w:r>
        <w:rPr>
          <w:noProof/>
        </w:rPr>
        <w:t>Удължаването на срока на прилагането на увеличената ставка на съфинансиране за Кипър е пропорционално с оглед на нестабилното положение на икономиката на държавата. То ще спомогне за преодоляването на периода на нужда от големи публични инвестиции в Кипър, от една страна, и усилия за устойчива фискална консолидация, от друга страна, чрез увеличаване на необходимото фискално пространство за инвестиции.</w:t>
      </w:r>
    </w:p>
    <w:p>
      <w:pPr>
        <w:pStyle w:val="ManualHeading2"/>
        <w:rPr>
          <w:rFonts w:eastAsia="Arial Unicode MS"/>
          <w:noProof/>
          <w:u w:color="000000"/>
          <w:bdr w:val="nil"/>
        </w:rPr>
      </w:pPr>
      <w:r>
        <w:rPr>
          <w:noProof/>
        </w:rPr>
        <w:tab/>
        <w:t>Избор на инструмент</w:t>
      </w:r>
    </w:p>
    <w:p>
      <w:pPr>
        <w:pStyle w:val="Text1"/>
        <w:rPr>
          <w:noProof/>
        </w:rPr>
      </w:pPr>
      <w:r>
        <w:rPr>
          <w:noProof/>
        </w:rPr>
        <w:t>Предлаган инструмент: изменение на действащия регламент.</w:t>
      </w:r>
    </w:p>
    <w:p>
      <w:pPr>
        <w:pStyle w:val="Text1"/>
        <w:rPr>
          <w:noProof/>
        </w:rPr>
      </w:pPr>
      <w:r>
        <w:rPr>
          <w:noProof/>
        </w:rPr>
        <w:t>Комисията проучи предоставяните от нормативната уредба възможности за действие и счита за необходимо, с оглед на досегашния опит, да предложи промени в Общия регламент.</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ab/>
        <w:t>Последващи оценки/проверки за пригодност на действащото законодателство</w:t>
      </w:r>
    </w:p>
    <w:p>
      <w:pPr>
        <w:pStyle w:val="Text1"/>
        <w:rPr>
          <w:noProof/>
        </w:rPr>
      </w:pPr>
      <w:r>
        <w:rPr>
          <w:noProof/>
        </w:rPr>
        <w:t>Нямаше последваща оценка или проверки за пригодност на действащото законодателство.</w:t>
      </w:r>
    </w:p>
    <w:p>
      <w:pPr>
        <w:pStyle w:val="ManualHeading2"/>
        <w:rPr>
          <w:rFonts w:eastAsia="Arial Unicode MS"/>
          <w:noProof/>
          <w:u w:color="000000"/>
          <w:bdr w:val="nil"/>
        </w:rPr>
      </w:pPr>
      <w:r>
        <w:rPr>
          <w:noProof/>
        </w:rPr>
        <w:tab/>
        <w:t>Консултации със заинтересованите страни</w:t>
      </w:r>
    </w:p>
    <w:p>
      <w:pPr>
        <w:pStyle w:val="Text1"/>
        <w:rPr>
          <w:noProof/>
        </w:rPr>
      </w:pPr>
      <w:r>
        <w:rPr>
          <w:noProof/>
        </w:rPr>
        <w:t>Не бяха проведени консултации с външни заинтересовани страни.</w:t>
      </w:r>
    </w:p>
    <w:p>
      <w:pPr>
        <w:pStyle w:val="ManualHeading2"/>
        <w:rPr>
          <w:rFonts w:eastAsia="Arial Unicode MS"/>
          <w:noProof/>
          <w:u w:color="000000"/>
          <w:bdr w:val="nil"/>
        </w:rPr>
      </w:pPr>
      <w:r>
        <w:rPr>
          <w:noProof/>
        </w:rPr>
        <w:tab/>
        <w:t>Събиране и използване на експертни становища</w:t>
      </w:r>
    </w:p>
    <w:p>
      <w:pPr>
        <w:pStyle w:val="Text1"/>
        <w:rPr>
          <w:noProof/>
        </w:rPr>
      </w:pPr>
      <w:r>
        <w:rPr>
          <w:noProof/>
        </w:rPr>
        <w:t>Не беше необходимо използването на външни експертни становища.</w:t>
      </w:r>
    </w:p>
    <w:p>
      <w:pPr>
        <w:pStyle w:val="ManualHeading2"/>
        <w:rPr>
          <w:rFonts w:eastAsia="Arial Unicode MS"/>
          <w:noProof/>
          <w:u w:color="000000"/>
          <w:bdr w:val="nil"/>
        </w:rPr>
      </w:pPr>
      <w:r>
        <w:rPr>
          <w:noProof/>
        </w:rPr>
        <w:tab/>
        <w:t>Оценка на въздействието</w:t>
      </w:r>
    </w:p>
    <w:p>
      <w:pPr>
        <w:pStyle w:val="Text1"/>
        <w:rPr>
          <w:noProof/>
        </w:rPr>
      </w:pPr>
      <w:r>
        <w:rPr>
          <w:noProof/>
        </w:rPr>
        <w:t>Предложението ще позволи на Комисията допълнително да увеличи плащанията за държавите членки, участващи в програми за корекции след 30 юни 2016 г. То ще обхване периода до 30 юни в годината, следваща календарната година, през която държавата членка спира да получава финансова помощ. Този подход е в съответствие със счетоводната година на ЕСИФ, която обхваща периода от 1 юли до 30 юни. Периодът на допустимост ще бъде удължен до най-много 18 месеца.</w:t>
      </w:r>
    </w:p>
    <w:p>
      <w:pPr>
        <w:pStyle w:val="Text1"/>
        <w:rPr>
          <w:noProof/>
        </w:rPr>
      </w:pPr>
      <w:r>
        <w:rPr>
          <w:noProof/>
        </w:rPr>
        <w:t>Увеличението ще представлява сума, изчислена при добавянето на десет процентни пункта към ставката на съфинансиране, приложима за приоритетите (за ЕФРР, ЕСФ и Кохезионния фонд) или мерките (за ЕЗФРСР и ЕФМДР) на програмите спрямо сертифицираните разходи, подадени през въпросния период до достигане на тавана на плащанията.</w:t>
      </w:r>
    </w:p>
    <w:p>
      <w:pPr>
        <w:pStyle w:val="Text1"/>
        <w:rPr>
          <w:noProof/>
        </w:rPr>
      </w:pPr>
      <w:r>
        <w:rPr>
          <w:noProof/>
        </w:rPr>
        <w:t>Освен това предложението ще позволи на Комисията да удължи извънредната ставка на съфинансиране в размер на 85 % по линия на ЕФРР и ЕСФ в Кипър до приключването на програмата.</w:t>
      </w:r>
    </w:p>
    <w:p>
      <w:pPr>
        <w:pStyle w:val="Text1"/>
        <w:rPr>
          <w:noProof/>
        </w:rPr>
      </w:pPr>
      <w:r>
        <w:rPr>
          <w:noProof/>
        </w:rPr>
        <w:t>Общата сума, предвидена за този период от фондовете за съответните държави и програми, не се променя.</w:t>
      </w:r>
    </w:p>
    <w:p>
      <w:pPr>
        <w:pStyle w:val="ManualHeading2"/>
        <w:rPr>
          <w:rFonts w:eastAsia="Arial Unicode MS"/>
          <w:noProof/>
          <w:u w:color="000000"/>
          <w:bdr w:val="nil"/>
        </w:rPr>
      </w:pPr>
      <w:r>
        <w:rPr>
          <w:noProof/>
        </w:rPr>
        <w:tab/>
        <w:t>Пригодност и опростяване на законодателството</w:t>
      </w:r>
    </w:p>
    <w:p>
      <w:pPr>
        <w:pStyle w:val="Text1"/>
        <w:rPr>
          <w:noProof/>
        </w:rPr>
      </w:pPr>
      <w:r>
        <w:rPr>
          <w:noProof/>
        </w:rPr>
        <w:t>Това не е инициатива по линия на Програмата за пригодност и резултатност на регулаторната рамка (REFIT).</w:t>
      </w:r>
    </w:p>
    <w:p>
      <w:pPr>
        <w:pStyle w:val="ManualHeading2"/>
        <w:rPr>
          <w:rFonts w:eastAsia="Arial Unicode MS"/>
          <w:noProof/>
          <w:u w:color="000000"/>
          <w:bdr w:val="nil"/>
        </w:rPr>
      </w:pPr>
      <w:r>
        <w:rPr>
          <w:noProof/>
        </w:rPr>
        <w:tab/>
        <w:t>Основни права</w:t>
      </w:r>
    </w:p>
    <w:p>
      <w:pPr>
        <w:pStyle w:val="Text1"/>
        <w:rPr>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pStyle w:val="Text1"/>
        <w:rPr>
          <w:noProof/>
        </w:rPr>
      </w:pPr>
      <w:r>
        <w:rPr>
          <w:noProof/>
        </w:rPr>
        <w:t>Няма отражение върху бюджетните кредити за поети задължения, тъй като не се предлага промяна в максималните суми на финансирането по линия на ЕСИФ, предвидени в оперативните програми за програмния период 2014—2020 г.</w:t>
      </w:r>
    </w:p>
    <w:p>
      <w:pPr>
        <w:pStyle w:val="Text1"/>
        <w:rPr>
          <w:noProof/>
        </w:rPr>
      </w:pPr>
      <w:r>
        <w:rPr>
          <w:noProof/>
        </w:rPr>
        <w:t>За бюджетни кредити за плащания, свързани с удължаването на отпусканото допълнително финансиране съгласно член 24, предложението може да доведе до възстановяването на по-големи суми за съответните държави членки. Допълнителните бюджетни кредити за плащания във връзка с настоящото предложение могат да доведат до временно увеличение на бюджетните кредити за плащания, което ще бъде компенсирано с намаление на плащанията в края на жизнения цикъл на програмите за периода 2014—2020 г. Следва да се отбележи, че предложеното изменение не предполага промени в годишните тавани за поети задължения и плащания по многогодишната финансова рамка, посочени в приложение I към Регламент (ЕС) № 1311/2013.</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ab/>
        <w:t>Планове за изпълнение и уредба за мониторинг, оценка и докладване</w:t>
      </w:r>
    </w:p>
    <w:p>
      <w:pPr>
        <w:pStyle w:val="Text1"/>
        <w:rPr>
          <w:noProof/>
        </w:rPr>
      </w:pPr>
      <w:r>
        <w:rPr>
          <w:noProof/>
        </w:rPr>
        <w:t>Не се прилага. Съществуващите системи за изпълнение на ЕСИФ могат да се използват за наблюдение на изпълнението на настоящото предложение.</w:t>
      </w:r>
    </w:p>
    <w:p>
      <w:pPr>
        <w:pStyle w:val="ManualHeading2"/>
        <w:rPr>
          <w:rFonts w:eastAsia="Arial Unicode MS"/>
          <w:noProof/>
          <w:u w:color="000000"/>
          <w:bdr w:val="nil"/>
        </w:rPr>
      </w:pPr>
      <w:r>
        <w:rPr>
          <w:noProof/>
        </w:rPr>
        <w:tab/>
        <w:t>Обяснителни документи (за директивите)</w:t>
      </w:r>
    </w:p>
    <w:p>
      <w:pPr>
        <w:pStyle w:val="Text1"/>
        <w:rPr>
          <w:noProof/>
        </w:rPr>
      </w:pPr>
      <w:r>
        <w:rPr>
          <w:noProof/>
        </w:rPr>
        <w:t>Не се прилага.</w:t>
      </w:r>
    </w:p>
    <w:p>
      <w:pPr>
        <w:pStyle w:val="ManualHeading2"/>
        <w:rPr>
          <w:rFonts w:eastAsia="Arial Unicode MS"/>
          <w:noProof/>
          <w:u w:color="000000"/>
          <w:bdr w:val="nil"/>
        </w:rPr>
      </w:pPr>
      <w:r>
        <w:rPr>
          <w:noProof/>
        </w:rPr>
        <w:tab/>
        <w:t>Подробно разяснение на конкретни разпоредби на предложението</w:t>
      </w:r>
    </w:p>
    <w:p>
      <w:pPr>
        <w:pStyle w:val="Text1"/>
        <w:rPr>
          <w:noProof/>
        </w:rPr>
      </w:pPr>
      <w:r>
        <w:rPr>
          <w:noProof/>
        </w:rPr>
        <w:t>Като се има предвид, че Гърция, Кипър, Ирландия, Румъния и Португалия са участвали в програми за корекции след 21 декември 2013 г., както е определено в член 24, параграф 1 от Регламент (ЕС) № 1303/2013, пет държави са отговаряли на условията за допустимост за допълнително финансиране от 10 % за междинните плащания, подадени преди 30 юни 2016 г. Междувременно изтече срокът на програмите за финансова помощ за Кипър, Ирландия, Португалия и Румъния. Това означава, че Гърция е единствената държава, която ще изпълнява програма за корекции към 30 юни 2016 г.</w:t>
      </w:r>
    </w:p>
    <w:p>
      <w:pPr>
        <w:pStyle w:val="Text1"/>
        <w:rPr>
          <w:noProof/>
        </w:rPr>
      </w:pPr>
      <w:r>
        <w:rPr>
          <w:noProof/>
        </w:rPr>
        <w:t>Не изглежда необходимо да има ново преразглеждане на правото на получаване на допълнително финансиране през 2014—2020 г., тъй като държавите, които са обект на програми за корекции, се нуждаят от сигурност относно графика и размера на плащанията от ЕС.</w:t>
      </w:r>
    </w:p>
    <w:p>
      <w:pPr>
        <w:pStyle w:val="Text1"/>
        <w:rPr>
          <w:noProof/>
        </w:rPr>
      </w:pPr>
      <w:r>
        <w:rPr>
          <w:noProof/>
        </w:rPr>
        <w:t>Като се има предвид, че през март 2013 г. Кипър подписа с ЕС програма за корекции, член 120, параграф 3 от Регламент (ЕС) № 1303/2013 предвижда извънредна ставка на съфинансиране от 85 % за всички оперативни програми в Кипър, подпомагани по линия на ЕФРР и ЕСФ, от 1 януари 2014 г. до 30 юни 2017 г.</w:t>
      </w:r>
    </w:p>
    <w:p>
      <w:pPr>
        <w:pStyle w:val="Text1"/>
        <w:rPr>
          <w:noProof/>
        </w:rPr>
      </w:pPr>
      <w:r>
        <w:rPr>
          <w:noProof/>
        </w:rPr>
        <w:t>Кипър приключи своята програма за корекции в края на март 2016 г. Въпреки това икономическото положение на Кипър все още е нестабилно, както е видно от бавните темпове на растеж, намаляващите инвестиции, високата безработица и затрудненията във финансовия сектор.</w:t>
      </w:r>
    </w:p>
    <w:p>
      <w:pPr>
        <w:pStyle w:val="Text1"/>
        <w:rPr>
          <w:rFonts w:eastAsia="Arial Unicode MS"/>
          <w:noProof/>
        </w:rPr>
      </w:pPr>
      <w:r>
        <w:rPr>
          <w:noProof/>
        </w:rPr>
        <w:t xml:space="preserve">За да се намали натискът върху националния бюджет и да се ускорят така необходимите инвестиции, се предлага удължаването на ставката на съфинансиране от 85 % за всички оперативни програми в Кипър, подпомагани по линия на ЕФРР и ЕСФ, до приключването на програмата.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2016/0193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1303/2013 по отношение на някои разпоредби относно финансовото управление за определени държави членки, които изпитват сериозни затруднения във връзка с финансовата си стабилност или са застрашени от такива затруднения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
      </w:r>
      <w:r>
        <w:rPr>
          <w:noProof/>
        </w:rPr>
        <w:t>,</w:t>
      </w:r>
    </w:p>
    <w:p>
      <w:pPr>
        <w:rPr>
          <w:noProof/>
        </w:rPr>
      </w:pPr>
      <w:r>
        <w:rPr>
          <w:noProof/>
        </w:rPr>
        <w:t>като взеха предвид становището на Комитета на регионите</w:t>
      </w:r>
      <w:r>
        <w:rPr>
          <w:rStyle w:val="FootnoteReference"/>
          <w:noProof/>
        </w:rPr>
        <w:footnoteReference w:id="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Член 24, параграф 3 от Регламент (ЕС) № 1303/2013 предвижда, че Комисията разглежда увеличението на междинните плащания от ЕСИФ с размер, съответстващ на десет процентни пункта над определената ставка на съфинансиране за всеки приоритет/мярка за държавите членки, които изпълняват програма за корекции след 21 декември 2013 г. и съгласно тази разпоредба са поискали да се възползват от тази мярка до 30 юни 2016 г., представя на Европейския парламент и на Съвета доклад</w:t>
      </w:r>
      <w:r>
        <w:rPr>
          <w:rStyle w:val="FootnoteReference"/>
          <w:noProof/>
        </w:rPr>
        <w:footnoteReference w:id="5"/>
      </w:r>
      <w:r>
        <w:rPr>
          <w:noProof/>
        </w:rPr>
        <w:t xml:space="preserve"> с нейната оценка и при необходимост представя съответно законодателно предложение преди 30 юни 2016 г.</w:t>
      </w:r>
    </w:p>
    <w:p>
      <w:pPr>
        <w:pStyle w:val="ManualConsidrant"/>
        <w:rPr>
          <w:noProof/>
        </w:rPr>
      </w:pPr>
      <w:r>
        <w:t>(2)</w:t>
      </w:r>
      <w:r>
        <w:tab/>
      </w:r>
      <w:r>
        <w:rPr>
          <w:noProof/>
        </w:rPr>
        <w:t>Пет държави членки са отговаряли на условията за увеличени плащания съгласно член 24 от Регламент (ЕС) № 1303/2013, а именно Румъния, Ирландия, Португалия, Кипър и Гърция. Румъния, Ирландия, Португалия и Кипър приключиха съответните си програми за икономически корекции. Единствено Гърция все още изпълнява програма за корекции и се възползва от свързаната с това финансова помощ до третото тримесечие на 2018 г. Като се има предвид, че Гърция все още е изправена пред сериозни затруднения по отношение на финансовата си стабилност, срокът на прилагане на увеличението на плащанията за държави членки, изпитващи временни бюджетни затруднения, следва да се удължи.</w:t>
      </w:r>
    </w:p>
    <w:p>
      <w:pPr>
        <w:pStyle w:val="ManualConsidrant"/>
        <w:rPr>
          <w:noProof/>
        </w:rPr>
      </w:pPr>
      <w:r>
        <w:t>(3)</w:t>
      </w:r>
      <w:r>
        <w:tab/>
      </w:r>
      <w:r>
        <w:rPr>
          <w:noProof/>
        </w:rPr>
        <w:t>Въпреки това възможността за увеличено плащане следва да приключи на 30 юни в годината, следваща календарната година, през която дадена държава членка спира да получава финансова помощ по програма за корекции.</w:t>
      </w:r>
    </w:p>
    <w:p>
      <w:pPr>
        <w:pStyle w:val="ManualConsidrant"/>
        <w:rPr>
          <w:noProof/>
        </w:rPr>
      </w:pPr>
      <w:r>
        <w:t>(4)</w:t>
      </w:r>
      <w:r>
        <w:tab/>
      </w:r>
      <w:r>
        <w:rPr>
          <w:noProof/>
        </w:rPr>
        <w:t>Член 120, параграф 3 от Регламент (ЕС) № 1303/2013 изисква от Комисията да извърши преглед за оценка на обосновката за поддържане на максимална ставка на съфинансиране в размер на 85 % на равнището на всеки приоритет за всички оперативни програми в Кипър, подпомагани по линия на ЕФРР и ЕСФ, след 30 юни 2017 г., и при необходимост да направи законодателно предложение преди 30 юни 2016 г.</w:t>
      </w:r>
    </w:p>
    <w:p>
      <w:pPr>
        <w:pStyle w:val="ManualConsidrant"/>
        <w:rPr>
          <w:noProof/>
        </w:rPr>
      </w:pPr>
      <w:r>
        <w:t>(5)</w:t>
      </w:r>
      <w:r>
        <w:tab/>
      </w:r>
      <w:r>
        <w:rPr>
          <w:noProof/>
        </w:rPr>
        <w:t>През март 2016 г Кипър приключи своята програма за корекции. Въпреки това икономическото положение на Кипър все още е нестабилно, както е видно от ниския темп на растеж, намаляващите инвестиции, високата безработица и затрудненията във финансовия сектор. За да се намали натискът върху националния бюджет и да се ускорят така необходимите инвестиции, следва да се удължи ставката на съфинансиране от 85 % за всички оперативни програми в Кипър, подпомагани по линия на ЕФРР и ЕСФ, до приключването на програмата.</w:t>
      </w:r>
    </w:p>
    <w:p>
      <w:pPr>
        <w:pStyle w:val="ManualConsidrant"/>
        <w:rPr>
          <w:noProof/>
        </w:rPr>
      </w:pPr>
      <w:r>
        <w:t>(6)</w:t>
      </w:r>
      <w:r>
        <w:tab/>
      </w:r>
      <w:r>
        <w:rPr>
          <w:noProof/>
        </w:rPr>
        <w:t xml:space="preserve">С цел да се създадат условия за незабавното прилагане на предвидените в настоящия регламент мерки, той следва да влезе в сила в деня след деня на публикуването му в </w:t>
      </w:r>
      <w:r>
        <w:rPr>
          <w:i/>
          <w:noProof/>
        </w:rPr>
        <w:t>Официален вестник на Европейския съюз</w:t>
      </w:r>
      <w:r>
        <w:rPr>
          <w:noProof/>
        </w:rPr>
        <w:t>.</w:t>
      </w:r>
    </w:p>
    <w:p>
      <w:pPr>
        <w:pStyle w:val="Formuledadoption"/>
        <w:rPr>
          <w:noProof/>
        </w:rPr>
      </w:pPr>
      <w:r>
        <w:rPr>
          <w:noProof/>
        </w:rPr>
        <w:t>ПРИЕХА НАСТОЯЩИЯ РЕГЛАМЕНТ:</w:t>
      </w:r>
    </w:p>
    <w:p>
      <w:pPr>
        <w:pStyle w:val="Titrearticle"/>
        <w:rPr>
          <w:noProof/>
        </w:rPr>
      </w:pPr>
      <w:r>
        <w:rPr>
          <w:noProof/>
        </w:rPr>
        <w:t>Член 1</w:t>
      </w:r>
    </w:p>
    <w:p>
      <w:pPr>
        <w:spacing w:before="0" w:after="200" w:line="276" w:lineRule="auto"/>
        <w:rPr>
          <w:noProof/>
        </w:rPr>
      </w:pPr>
      <w:r>
        <w:rPr>
          <w:noProof/>
        </w:rPr>
        <w:t>Регламент (ЕС) № 1303/2013 се изменя, както следва:</w:t>
      </w:r>
    </w:p>
    <w:p>
      <w:pPr>
        <w:pStyle w:val="ManualNumPar1"/>
        <w:rPr>
          <w:noProof/>
        </w:rPr>
      </w:pPr>
      <w:r>
        <w:t>1.</w:t>
      </w:r>
      <w:r>
        <w:tab/>
      </w:r>
      <w:r>
        <w:rPr>
          <w:noProof/>
        </w:rPr>
        <w:t>Член 24 се заменя със</w:t>
      </w:r>
      <w:r>
        <w:rPr>
          <w:b/>
          <w:noProof/>
        </w:rPr>
        <w:t xml:space="preserve"> </w:t>
      </w:r>
      <w:r>
        <w:rPr>
          <w:noProof/>
        </w:rPr>
        <w:t>следното:</w:t>
      </w:r>
    </w:p>
    <w:p>
      <w:pPr>
        <w:pStyle w:val="Text1"/>
        <w:rPr>
          <w:noProof/>
        </w:rPr>
      </w:pPr>
      <w:r>
        <w:rPr>
          <w:noProof/>
        </w:rPr>
        <w:t>„</w:t>
      </w:r>
      <w:r>
        <w:rPr>
          <w:b/>
          <w:noProof/>
        </w:rPr>
        <w:t>Увеличение на плащанията за държави членки, изпитващи временни бюджетни затруднения</w:t>
      </w:r>
    </w:p>
    <w:p>
      <w:pPr>
        <w:pStyle w:val="Text1"/>
        <w:rPr>
          <w:noProof/>
        </w:rPr>
      </w:pPr>
      <w:r>
        <w:rPr>
          <w:noProof/>
        </w:rPr>
        <w:t xml:space="preserve">1. По искане на държава членка междинните плащания могат да бъдат увеличени с 10 процентни пункта над ставката на съфинансиране, приложима за всеки приоритет за ЕФРР, ЕСФ и Кохезионния фонд, или за всяка мярка за ЕЗФРСР и ЕФМДР. </w:t>
      </w:r>
    </w:p>
    <w:p>
      <w:pPr>
        <w:pStyle w:val="Text1"/>
        <w:rPr>
          <w:noProof/>
        </w:rPr>
      </w:pPr>
      <w:r>
        <w:rPr>
          <w:noProof/>
        </w:rPr>
        <w:t>Ако дадена държава членка изпълнява едно от следните условия след 21 декември 2013 г., увеличената ставка, която не може да надвишава 100 %, се прилага към заявленията за плащане на тази държава членка за периода до 30 юни 2016 г.:</w:t>
      </w:r>
    </w:p>
    <w:p>
      <w:pPr>
        <w:pStyle w:val="Text1"/>
        <w:rPr>
          <w:noProof/>
        </w:rPr>
      </w:pPr>
      <w:r>
        <w:rPr>
          <w:noProof/>
        </w:rPr>
        <w:t>а) в случаите, когато съответната държава членка получава заем от Съюза съгласно Регламент (ЕС) № 407/2010 на Съвета;</w:t>
      </w:r>
    </w:p>
    <w:p>
      <w:pPr>
        <w:pStyle w:val="Text1"/>
        <w:rPr>
          <w:noProof/>
        </w:rPr>
      </w:pPr>
      <w:r>
        <w:rPr>
          <w:noProof/>
        </w:rPr>
        <w:t>б) в случаите, когато съответната държава членка получава средносрочна финансова помощ съгласно Регламент (ЕО) № 332/2002, обвързана с изпълнението на програма за макроикономически корекции;</w:t>
      </w:r>
    </w:p>
    <w:p>
      <w:pPr>
        <w:pStyle w:val="Text1"/>
        <w:rPr>
          <w:noProof/>
        </w:rPr>
      </w:pPr>
      <w:r>
        <w:rPr>
          <w:noProof/>
        </w:rPr>
        <w:t>в) в случаите, когато на съответната държава членка се предоставя финансова помощ, обвързана с изпълнението на програма за макроикономически корекции съгласно посоченото в Регламент (ЕС) № 472/2013.</w:t>
      </w:r>
    </w:p>
    <w:p>
      <w:pPr>
        <w:pStyle w:val="Text1"/>
        <w:rPr>
          <w:noProof/>
        </w:rPr>
      </w:pPr>
      <w:r>
        <w:rPr>
          <w:noProof/>
        </w:rPr>
        <w:t>Ако след 30 юни 2016 г. дадена държава членка изпълнява едно от условията, посочени във втора алинея, увеличената ставка се прилага към заявленията за плащане на тази държава за периода до 30 юни в годината, в която спира съответната финансова помощ.</w:t>
      </w:r>
    </w:p>
    <w:p>
      <w:pPr>
        <w:pStyle w:val="Text1"/>
        <w:rPr>
          <w:noProof/>
        </w:rPr>
      </w:pPr>
      <w:r>
        <w:rPr>
          <w:noProof/>
        </w:rPr>
        <w:t>Настоящият параграф не се прилага за програми по Регламента за ЕТС.</w:t>
      </w:r>
    </w:p>
    <w:p>
      <w:pPr>
        <w:pStyle w:val="Text1"/>
        <w:rPr>
          <w:noProof/>
        </w:rPr>
      </w:pPr>
      <w:r>
        <w:rPr>
          <w:noProof/>
        </w:rPr>
        <w:t>2. Независимо от параграф 1, подкрепата на Съюза посредством междинните плащания и плащанията на окончателното салдо не може да надвишава размера на публичните разходи или максималния размер на подкрепата от европейските структурни и инвестиционни фондове за всеки приоритет за ЕФРР, ЕСФ и Кохезионния фонд или за всяка мярка за ЕЗФРСР и ЕФМДР, както е определено в решението на Комисията за одобряване на програмата, като се взема по-малкият размер.</w:t>
      </w:r>
    </w:p>
    <w:p>
      <w:pPr>
        <w:pStyle w:val="ManualNumPar1"/>
        <w:rPr>
          <w:noProof/>
        </w:rPr>
      </w:pPr>
      <w:r>
        <w:t>2.</w:t>
      </w:r>
      <w:r>
        <w:tab/>
      </w:r>
      <w:r>
        <w:rPr>
          <w:noProof/>
        </w:rPr>
        <w:t>Член 120, параграф 3 се изменя, както следва:</w:t>
      </w:r>
    </w:p>
    <w:p>
      <w:pPr>
        <w:pStyle w:val="Text1"/>
        <w:rPr>
          <w:noProof/>
        </w:rPr>
      </w:pPr>
      <w:r>
        <w:rPr>
          <w:noProof/>
        </w:rPr>
        <w:t>Втората алинея се заменя със следното:</w:t>
      </w:r>
    </w:p>
    <w:p>
      <w:pPr>
        <w:pStyle w:val="Text1"/>
        <w:rPr>
          <w:noProof/>
        </w:rPr>
      </w:pPr>
      <w:r>
        <w:rPr>
          <w:noProof/>
        </w:rPr>
        <w:t>„За периода от 1 януари 2014 г. до приключването на програмата ставката на съфинансиране на равнището на всеки приоритет за всички оперативни програми в Кипър е не по-висока от 85 %.“</w:t>
      </w:r>
    </w:p>
    <w:p>
      <w:pPr>
        <w:pStyle w:val="Titrearticle"/>
        <w:rPr>
          <w:noProof/>
        </w:rPr>
      </w:pPr>
      <w:r>
        <w:rPr>
          <w:noProof/>
        </w:rPr>
        <w:t>Член 2</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b/>
          <w:noProof/>
          <w:u w:val="single"/>
        </w:rPr>
      </w:pPr>
      <w:r>
        <w:rPr>
          <w:noProof/>
        </w:rPr>
        <w:t>Председател</w:t>
      </w:r>
      <w:r>
        <w:rPr>
          <w:noProof/>
        </w:rPr>
        <w:tab/>
        <w:t>Председател</w:t>
      </w:r>
      <w:r>
        <w:rPr>
          <w:noProof/>
        </w:rPr>
        <w:br w:type="page"/>
      </w: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НАИМЕНОВАНИЕ НА ПРЕДЛОЖЕНИЕТО:</w:t>
      </w:r>
    </w:p>
    <w:p>
      <w:pPr>
        <w:pStyle w:val="Text1"/>
        <w:rPr>
          <w:noProof/>
        </w:rPr>
      </w:pPr>
      <w:r>
        <w:rPr>
          <w:noProof/>
        </w:rPr>
        <w:t>Предложение за регламент на Европейския парламент и на Съвета за изменение на Регламент (ЕС) № 1303/2013 на Европейския парламент и на Съвета по отношение на някои разпоредби относно финансовото управление за определени държави членки, които изпитват сериозни затруднения във връзка с финансовата си стабилност или са застрашени от такива затруднения.</w:t>
      </w:r>
    </w:p>
    <w:p>
      <w:pPr>
        <w:pStyle w:val="ManualHeading1"/>
        <w:rPr>
          <w:noProof/>
        </w:rPr>
      </w:pPr>
      <w:r>
        <w:rPr>
          <w:noProof/>
        </w:rPr>
        <w:t>2.</w:t>
      </w:r>
      <w:r>
        <w:rPr>
          <w:noProof/>
        </w:rPr>
        <w:tab/>
        <w:t>РАМКА УД/БД (УПРАВЛЕНИЕ ПО ДЕЙНОСТИ/БЮДЖЕТ ПО ДЕЙНОСТИ)</w:t>
      </w:r>
    </w:p>
    <w:p>
      <w:pPr>
        <w:pStyle w:val="Text1"/>
        <w:rPr>
          <w:noProof/>
        </w:rPr>
      </w:pPr>
      <w:r>
        <w:rPr>
          <w:noProof/>
        </w:rPr>
        <w:t>Съответна(и) област(и) на политика и свързана(и) с нея(тях) дейност(и):</w:t>
      </w:r>
    </w:p>
    <w:p>
      <w:pPr>
        <w:pStyle w:val="Text1"/>
        <w:rPr>
          <w:noProof/>
        </w:rPr>
      </w:pPr>
      <w:r>
        <w:rPr>
          <w:noProof/>
        </w:rPr>
        <w:t>Регионална политика; дейност от БД 13.03</w:t>
      </w:r>
    </w:p>
    <w:p>
      <w:pPr>
        <w:pStyle w:val="Text1"/>
        <w:rPr>
          <w:noProof/>
        </w:rPr>
      </w:pPr>
      <w:r>
        <w:rPr>
          <w:noProof/>
        </w:rPr>
        <w:t>Заетост и социални въпроси; дейност от БД 04.02</w:t>
      </w:r>
    </w:p>
    <w:p>
      <w:pPr>
        <w:pStyle w:val="Text1"/>
        <w:rPr>
          <w:noProof/>
        </w:rPr>
      </w:pPr>
      <w:r>
        <w:rPr>
          <w:noProof/>
        </w:rPr>
        <w:t>Кохезионен фонд, дейност от БД 13.04</w:t>
      </w:r>
    </w:p>
    <w:p>
      <w:pPr>
        <w:pStyle w:val="Text1"/>
        <w:rPr>
          <w:noProof/>
        </w:rPr>
      </w:pPr>
      <w:r>
        <w:rPr>
          <w:noProof/>
        </w:rPr>
        <w:t>Развитие на селските райони, дейност от БД 05.04</w:t>
      </w:r>
    </w:p>
    <w:p>
      <w:pPr>
        <w:pStyle w:val="Text1"/>
        <w:rPr>
          <w:noProof/>
          <w:highlight w:val="yellow"/>
        </w:rPr>
      </w:pPr>
      <w:r>
        <w:rPr>
          <w:noProof/>
        </w:rPr>
        <w:t>Рибарство, дейност от БД 11.06</w:t>
      </w:r>
    </w:p>
    <w:p>
      <w:pPr>
        <w:pStyle w:val="ManualHeading1"/>
        <w:rPr>
          <w:noProof/>
        </w:rPr>
      </w:pPr>
      <w:r>
        <w:rPr>
          <w:noProof/>
        </w:rPr>
        <w:t>3.</w:t>
      </w:r>
      <w:r>
        <w:rPr>
          <w:noProof/>
        </w:rPr>
        <w:tab/>
        <w:t>БЮДЖЕТНИ РЕДОВЕ</w:t>
      </w:r>
    </w:p>
    <w:p>
      <w:pPr>
        <w:pStyle w:val="ManualHeading2"/>
        <w:rPr>
          <w:noProof/>
        </w:rPr>
      </w:pPr>
      <w:r>
        <w:rPr>
          <w:noProof/>
        </w:rPr>
        <w:t>3.1.</w:t>
      </w:r>
      <w:r>
        <w:rPr>
          <w:noProof/>
        </w:rPr>
        <w:tab/>
        <w:t>Бюджетни редове (оперативни редове и свързаните с тях редове за техническа и административна помощ (предишни редове BA):</w:t>
      </w:r>
    </w:p>
    <w:p>
      <w:pPr>
        <w:pStyle w:val="Text1"/>
        <w:rPr>
          <w:noProof/>
        </w:rPr>
      </w:pPr>
      <w:r>
        <w:rPr>
          <w:noProof/>
        </w:rPr>
        <w:t>Новопредложените действия ще бъдат осъществени въз основата на следните бюджетни редове:</w:t>
      </w:r>
    </w:p>
    <w:p>
      <w:pPr>
        <w:pStyle w:val="ListBullet1"/>
        <w:rPr>
          <w:noProof/>
        </w:rPr>
      </w:pPr>
      <w:r>
        <w:rPr>
          <w:noProof/>
        </w:rPr>
        <w:t>13.036000 По-слабо развити региони (ЕФРР)</w:t>
      </w:r>
    </w:p>
    <w:p>
      <w:pPr>
        <w:pStyle w:val="ListBullet1"/>
        <w:rPr>
          <w:noProof/>
        </w:rPr>
      </w:pPr>
      <w:r>
        <w:rPr>
          <w:noProof/>
        </w:rPr>
        <w:t>13.036100 Региони в преход (ЕФРР)</w:t>
      </w:r>
    </w:p>
    <w:p>
      <w:pPr>
        <w:pStyle w:val="ListBullet1"/>
        <w:rPr>
          <w:noProof/>
        </w:rPr>
      </w:pPr>
      <w:r>
        <w:rPr>
          <w:noProof/>
        </w:rPr>
        <w:t>13.036200 „По-силно развити региони“ (ЕФРР)</w:t>
      </w:r>
    </w:p>
    <w:p>
      <w:pPr>
        <w:pStyle w:val="ListBullet1"/>
        <w:rPr>
          <w:noProof/>
        </w:rPr>
      </w:pPr>
      <w:r>
        <w:rPr>
          <w:noProof/>
        </w:rPr>
        <w:t>13.036300 Допълнителни средства за най-отдалечените и слабо населените региони (ЕФРР)</w:t>
      </w:r>
    </w:p>
    <w:p>
      <w:pPr>
        <w:pStyle w:val="ListBullet1"/>
        <w:rPr>
          <w:noProof/>
        </w:rPr>
      </w:pPr>
      <w:r>
        <w:rPr>
          <w:noProof/>
        </w:rPr>
        <w:t>13.046000 Кохезионен фонд</w:t>
      </w:r>
    </w:p>
    <w:p>
      <w:pPr>
        <w:pStyle w:val="ListBullet1"/>
        <w:rPr>
          <w:noProof/>
        </w:rPr>
      </w:pPr>
      <w:r>
        <w:rPr>
          <w:noProof/>
        </w:rPr>
        <w:t>04.026000 По-слабо развити региони (ЕСФ)</w:t>
      </w:r>
    </w:p>
    <w:p>
      <w:pPr>
        <w:pStyle w:val="ListBullet1"/>
        <w:rPr>
          <w:noProof/>
        </w:rPr>
      </w:pPr>
      <w:r>
        <w:rPr>
          <w:noProof/>
        </w:rPr>
        <w:t>04.026100 Региони в преход (ЕСФ)</w:t>
      </w:r>
    </w:p>
    <w:p>
      <w:pPr>
        <w:pStyle w:val="ListBullet1"/>
        <w:rPr>
          <w:noProof/>
        </w:rPr>
      </w:pPr>
      <w:r>
        <w:rPr>
          <w:noProof/>
        </w:rPr>
        <w:t>04.026200 По-силно развити региони (ЕСФ)</w:t>
      </w:r>
    </w:p>
    <w:p>
      <w:pPr>
        <w:pStyle w:val="ListBullet1"/>
        <w:rPr>
          <w:noProof/>
        </w:rPr>
      </w:pPr>
      <w:r>
        <w:rPr>
          <w:noProof/>
        </w:rPr>
        <w:t>04.026400 Инициатива за младежка заетост (ЕСФ)</w:t>
      </w:r>
    </w:p>
    <w:p>
      <w:pPr>
        <w:pStyle w:val="ListBullet1"/>
        <w:rPr>
          <w:noProof/>
        </w:rPr>
      </w:pPr>
      <w:r>
        <w:rPr>
          <w:noProof/>
        </w:rPr>
        <w:t>05.046001 Развитие на селските райони (ЕЗФРСР)</w:t>
      </w:r>
    </w:p>
    <w:p>
      <w:pPr>
        <w:pStyle w:val="ListBullet1"/>
        <w:rPr>
          <w:noProof/>
        </w:rPr>
      </w:pPr>
      <w:r>
        <w:rPr>
          <w:noProof/>
        </w:rPr>
        <w:t>11.066000 Рибарство и аквакултури (ЕФМДР)</w:t>
      </w:r>
    </w:p>
    <w:p>
      <w:pPr>
        <w:pStyle w:val="ManualHeading2"/>
        <w:rPr>
          <w:noProof/>
        </w:rPr>
      </w:pPr>
      <w:r>
        <w:rPr>
          <w:noProof/>
        </w:rPr>
        <w:t>3.2.</w:t>
      </w:r>
      <w:r>
        <w:rPr>
          <w:noProof/>
        </w:rPr>
        <w:tab/>
        <w:t>Срок на действието и на отражението върху финансовите средства:</w:t>
      </w:r>
    </w:p>
    <w:p>
      <w:pPr>
        <w:spacing w:after="240"/>
        <w:rPr>
          <w:noProof/>
        </w:rPr>
      </w:pPr>
      <w:r>
        <w:rPr>
          <w:noProof/>
        </w:rPr>
        <w:br w:type="page"/>
        <w:t>3.3.</w:t>
      </w:r>
      <w:r>
        <w:rPr>
          <w:noProof/>
        </w:rPr>
        <w:tab/>
        <w:t>Бюджетни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924"/>
        <w:gridCol w:w="1297"/>
        <w:gridCol w:w="669"/>
        <w:gridCol w:w="1068"/>
        <w:gridCol w:w="1362"/>
        <w:gridCol w:w="1396"/>
      </w:tblGrid>
      <w:tr>
        <w:trPr>
          <w:jc w:val="center"/>
        </w:trPr>
        <w:tc>
          <w:tcPr>
            <w:tcW w:w="1136" w:type="dxa"/>
            <w:vAlign w:val="center"/>
          </w:tcPr>
          <w:p>
            <w:pPr>
              <w:jc w:val="center"/>
              <w:rPr>
                <w:b/>
                <w:noProof/>
                <w:sz w:val="20"/>
                <w:szCs w:val="20"/>
              </w:rPr>
            </w:pPr>
            <w:r>
              <w:rPr>
                <w:b/>
                <w:noProof/>
                <w:sz w:val="20"/>
              </w:rPr>
              <w:t>Бюджетен ред</w:t>
            </w:r>
          </w:p>
        </w:tc>
        <w:tc>
          <w:tcPr>
            <w:tcW w:w="2141" w:type="dxa"/>
            <w:gridSpan w:val="2"/>
            <w:vAlign w:val="center"/>
          </w:tcPr>
          <w:p>
            <w:pPr>
              <w:jc w:val="center"/>
              <w:rPr>
                <w:b/>
                <w:noProof/>
                <w:sz w:val="20"/>
                <w:szCs w:val="20"/>
              </w:rPr>
            </w:pPr>
            <w:r>
              <w:rPr>
                <w:b/>
                <w:noProof/>
                <w:sz w:val="20"/>
              </w:rPr>
              <w:t>Вид разход</w:t>
            </w:r>
          </w:p>
        </w:tc>
        <w:tc>
          <w:tcPr>
            <w:tcW w:w="1049" w:type="dxa"/>
            <w:vAlign w:val="center"/>
          </w:tcPr>
          <w:p>
            <w:pPr>
              <w:jc w:val="center"/>
              <w:rPr>
                <w:b/>
                <w:noProof/>
                <w:sz w:val="20"/>
                <w:szCs w:val="20"/>
              </w:rPr>
            </w:pPr>
            <w:r>
              <w:rPr>
                <w:b/>
                <w:noProof/>
                <w:sz w:val="20"/>
              </w:rPr>
              <w:t>Нов</w:t>
            </w:r>
          </w:p>
        </w:tc>
        <w:tc>
          <w:tcPr>
            <w:tcW w:w="1497" w:type="dxa"/>
            <w:vAlign w:val="center"/>
          </w:tcPr>
          <w:p>
            <w:pPr>
              <w:jc w:val="center"/>
              <w:rPr>
                <w:b/>
                <w:noProof/>
                <w:sz w:val="20"/>
                <w:szCs w:val="20"/>
              </w:rPr>
            </w:pPr>
            <w:r>
              <w:rPr>
                <w:b/>
                <w:noProof/>
                <w:sz w:val="20"/>
              </w:rPr>
              <w:t>Участие на ЕАСТ</w:t>
            </w:r>
          </w:p>
        </w:tc>
        <w:tc>
          <w:tcPr>
            <w:tcW w:w="1657" w:type="dxa"/>
            <w:vAlign w:val="center"/>
          </w:tcPr>
          <w:p>
            <w:pPr>
              <w:jc w:val="center"/>
              <w:rPr>
                <w:b/>
                <w:noProof/>
                <w:sz w:val="20"/>
                <w:szCs w:val="20"/>
              </w:rPr>
            </w:pPr>
            <w:r>
              <w:rPr>
                <w:b/>
                <w:noProof/>
                <w:sz w:val="20"/>
              </w:rPr>
              <w:t>Участие на държавите кандидатки</w:t>
            </w:r>
          </w:p>
        </w:tc>
        <w:tc>
          <w:tcPr>
            <w:tcW w:w="1376" w:type="dxa"/>
            <w:vAlign w:val="center"/>
          </w:tcPr>
          <w:p>
            <w:pPr>
              <w:jc w:val="center"/>
              <w:rPr>
                <w:b/>
                <w:noProof/>
                <w:sz w:val="20"/>
                <w:szCs w:val="20"/>
              </w:rPr>
            </w:pPr>
            <w:r>
              <w:rPr>
                <w:b/>
                <w:noProof/>
                <w:sz w:val="20"/>
              </w:rPr>
              <w:t>Функция във финансовата перспектива</w:t>
            </w:r>
          </w:p>
        </w:tc>
      </w:tr>
      <w:tr>
        <w:trPr>
          <w:jc w:val="center"/>
        </w:trPr>
        <w:tc>
          <w:tcPr>
            <w:tcW w:w="1136" w:type="dxa"/>
            <w:vAlign w:val="center"/>
          </w:tcPr>
          <w:p>
            <w:pPr>
              <w:rPr>
                <w:noProof/>
                <w:sz w:val="20"/>
                <w:szCs w:val="20"/>
              </w:rPr>
            </w:pPr>
            <w:r>
              <w:rPr>
                <w:noProof/>
                <w:sz w:val="20"/>
              </w:rPr>
              <w:t>13.031600</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 </w:t>
            </w:r>
            <w:r>
              <w:rPr>
                <w:noProof/>
              </w:rPr>
              <w:t>1б</w:t>
            </w:r>
          </w:p>
        </w:tc>
      </w:tr>
      <w:tr>
        <w:trPr>
          <w:jc w:val="center"/>
        </w:trPr>
        <w:tc>
          <w:tcPr>
            <w:tcW w:w="1136" w:type="dxa"/>
          </w:tcPr>
          <w:p>
            <w:pPr>
              <w:rPr>
                <w:noProof/>
              </w:rPr>
            </w:pPr>
            <w:r>
              <w:rPr>
                <w:noProof/>
                <w:sz w:val="20"/>
              </w:rPr>
              <w:t>13.031800</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 </w:t>
            </w:r>
            <w:r>
              <w:rPr>
                <w:noProof/>
              </w:rPr>
              <w:t>1б</w:t>
            </w:r>
          </w:p>
        </w:tc>
      </w:tr>
      <w:tr>
        <w:trPr>
          <w:jc w:val="center"/>
        </w:trPr>
        <w:tc>
          <w:tcPr>
            <w:tcW w:w="1136" w:type="dxa"/>
            <w:vAlign w:val="center"/>
          </w:tcPr>
          <w:p>
            <w:pPr>
              <w:jc w:val="center"/>
              <w:rPr>
                <w:noProof/>
                <w:sz w:val="20"/>
                <w:szCs w:val="20"/>
              </w:rPr>
            </w:pPr>
            <w:r>
              <w:rPr>
                <w:noProof/>
                <w:sz w:val="20"/>
              </w:rPr>
              <w:t>04.0217</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 </w:t>
            </w:r>
            <w:r>
              <w:rPr>
                <w:noProof/>
              </w:rPr>
              <w:t>1б</w:t>
            </w:r>
          </w:p>
        </w:tc>
      </w:tr>
      <w:tr>
        <w:trPr>
          <w:jc w:val="center"/>
        </w:trPr>
        <w:tc>
          <w:tcPr>
            <w:tcW w:w="1136" w:type="dxa"/>
            <w:vAlign w:val="center"/>
          </w:tcPr>
          <w:p>
            <w:pPr>
              <w:jc w:val="center"/>
              <w:rPr>
                <w:noProof/>
                <w:sz w:val="20"/>
                <w:szCs w:val="20"/>
              </w:rPr>
            </w:pPr>
            <w:r>
              <w:rPr>
                <w:noProof/>
                <w:sz w:val="20"/>
              </w:rPr>
              <w:t>13.04.02</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 </w:t>
            </w:r>
            <w:r>
              <w:rPr>
                <w:noProof/>
              </w:rPr>
              <w:t>1б</w:t>
            </w:r>
          </w:p>
        </w:tc>
      </w:tr>
      <w:tr>
        <w:trPr>
          <w:jc w:val="center"/>
        </w:trPr>
        <w:tc>
          <w:tcPr>
            <w:tcW w:w="1136" w:type="dxa"/>
            <w:vAlign w:val="center"/>
          </w:tcPr>
          <w:p>
            <w:pPr>
              <w:jc w:val="center"/>
              <w:rPr>
                <w:noProof/>
                <w:sz w:val="20"/>
                <w:szCs w:val="20"/>
              </w:rPr>
            </w:pPr>
            <w:r>
              <w:rPr>
                <w:noProof/>
                <w:sz w:val="20"/>
              </w:rPr>
              <w:t>04.0219</w:t>
            </w:r>
          </w:p>
        </w:tc>
        <w:tc>
          <w:tcPr>
            <w:tcW w:w="1103" w:type="dxa"/>
            <w:vAlign w:val="center"/>
          </w:tcPr>
          <w:p>
            <w:pPr>
              <w:jc w:val="center"/>
              <w:rPr>
                <w:noProof/>
                <w:sz w:val="20"/>
                <w:szCs w:val="20"/>
              </w:rPr>
            </w:pPr>
            <w:r>
              <w:rPr>
                <w:noProof/>
              </w:rPr>
              <w:t>Незадължителен</w:t>
            </w:r>
          </w:p>
        </w:tc>
        <w:tc>
          <w:tcPr>
            <w:tcW w:w="1038" w:type="dxa"/>
            <w:vAlign w:val="center"/>
          </w:tcPr>
          <w:p>
            <w:pPr>
              <w:jc w:val="center"/>
              <w:rPr>
                <w:noProof/>
                <w:sz w:val="20"/>
                <w:szCs w:val="20"/>
              </w:rPr>
            </w:pPr>
            <w:r>
              <w:rPr>
                <w:noProof/>
              </w:rPr>
              <w:t>Многогод.</w:t>
            </w:r>
          </w:p>
        </w:tc>
        <w:tc>
          <w:tcPr>
            <w:tcW w:w="1049" w:type="dxa"/>
            <w:vAlign w:val="center"/>
          </w:tcPr>
          <w:p>
            <w:pPr>
              <w:jc w:val="center"/>
              <w:rPr>
                <w:noProof/>
                <w:sz w:val="20"/>
                <w:szCs w:val="20"/>
              </w:rPr>
            </w:pPr>
            <w:r>
              <w:rPr>
                <w:noProof/>
              </w:rPr>
              <w:t>НЕ</w:t>
            </w:r>
          </w:p>
        </w:tc>
        <w:tc>
          <w:tcPr>
            <w:tcW w:w="1497" w:type="dxa"/>
            <w:vAlign w:val="center"/>
          </w:tcPr>
          <w:p>
            <w:pPr>
              <w:jc w:val="center"/>
              <w:rPr>
                <w:noProof/>
                <w:sz w:val="20"/>
                <w:szCs w:val="20"/>
              </w:rPr>
            </w:pPr>
            <w:r>
              <w:rPr>
                <w:noProof/>
              </w:rPr>
              <w:t>НЕ</w:t>
            </w:r>
          </w:p>
        </w:tc>
        <w:tc>
          <w:tcPr>
            <w:tcW w:w="1657" w:type="dxa"/>
            <w:vAlign w:val="center"/>
          </w:tcPr>
          <w:p>
            <w:pPr>
              <w:jc w:val="center"/>
              <w:rPr>
                <w:noProof/>
                <w:sz w:val="20"/>
                <w:szCs w:val="20"/>
              </w:rPr>
            </w:pPr>
            <w:r>
              <w:rPr>
                <w:noProof/>
              </w:rPr>
              <w:t>НЕ</w:t>
            </w:r>
          </w:p>
        </w:tc>
        <w:tc>
          <w:tcPr>
            <w:tcW w:w="1376" w:type="dxa"/>
            <w:vAlign w:val="center"/>
          </w:tcPr>
          <w:p>
            <w:pPr>
              <w:jc w:val="center"/>
              <w:rPr>
                <w:noProof/>
                <w:sz w:val="20"/>
                <w:szCs w:val="20"/>
              </w:rPr>
            </w:pPr>
            <w:r>
              <w:rPr>
                <w:b/>
                <w:noProof/>
                <w:sz w:val="20"/>
              </w:rPr>
              <w:t>№ </w:t>
            </w:r>
            <w:r>
              <w:rPr>
                <w:noProof/>
              </w:rPr>
              <w:t>1б</w:t>
            </w:r>
          </w:p>
        </w:tc>
      </w:tr>
    </w:tbl>
    <w:p>
      <w:pPr>
        <w:pStyle w:val="ManualHeading1"/>
        <w:rPr>
          <w:noProof/>
        </w:rPr>
      </w:pPr>
      <w:r>
        <w:rPr>
          <w:noProof/>
        </w:rPr>
        <w:t>4.</w:t>
      </w:r>
      <w:r>
        <w:rPr>
          <w:noProof/>
        </w:rPr>
        <w:tab/>
        <w:t>ОБОБЩЕНИЕ НА РЕСУРСИТЕ</w:t>
      </w:r>
    </w:p>
    <w:p>
      <w:pPr>
        <w:pStyle w:val="ManualHeading2"/>
        <w:rPr>
          <w:noProof/>
        </w:rPr>
      </w:pPr>
      <w:r>
        <w:rPr>
          <w:noProof/>
        </w:rPr>
        <w:t>4.1.</w:t>
      </w:r>
      <w:r>
        <w:rPr>
          <w:noProof/>
        </w:rPr>
        <w:tab/>
        <w:t>Финансови ресурси</w:t>
      </w:r>
    </w:p>
    <w:p>
      <w:pPr>
        <w:pStyle w:val="ManualHeading3"/>
        <w:rPr>
          <w:noProof/>
        </w:rPr>
      </w:pPr>
      <w:r>
        <w:rPr>
          <w:noProof/>
        </w:rPr>
        <w:t>4.1.1.</w:t>
      </w:r>
      <w:r>
        <w:rPr>
          <w:noProof/>
        </w:rPr>
        <w:tab/>
        <w:t xml:space="preserve">Обобщение на бюджетните кредити за поети задължения (БКПЗ) и бюджетните кредити за плащания (БКП) </w:t>
      </w:r>
    </w:p>
    <w:p>
      <w:pPr>
        <w:rPr>
          <w:noProof/>
        </w:rPr>
      </w:pPr>
      <w:r>
        <w:rPr>
          <w:noProof/>
        </w:rPr>
        <w:t xml:space="preserve">Таблиците по-долу показват очакваното влияние на предложените мерки в периода между 2016 и 2020 г. Тъй като не се предлагат нови финансови ресурси за бюджетните кредити за поети задължения, в таблиците не са въведени цифри, а e посочено „н.п.“ (не се прилага). Поради това настоящото предложение е в съответствие с многогодишната финансова рамка за периода 2014—2020 г. </w:t>
      </w:r>
    </w:p>
    <w:p>
      <w:pPr>
        <w:rPr>
          <w:noProof/>
        </w:rPr>
      </w:pPr>
      <w:r>
        <w:rPr>
          <w:noProof/>
        </w:rPr>
        <w:t xml:space="preserve">По отношение на плащанията предложението може да доведе до възстановяването на по-големи суми за съответните държави членки. </w:t>
      </w:r>
    </w:p>
    <w:p>
      <w:pPr>
        <w:rPr>
          <w:noProof/>
        </w:rPr>
      </w:pPr>
      <w:r>
        <w:rPr>
          <w:noProof/>
        </w:rPr>
        <w:t xml:space="preserve">По отношение на плащанията предложението може да доведе до възстановяването на по-големи суми за съответните държави членки. Въз основа на предоставените от държавите членки и прегледани от Комисията прогнози за плащания и на бюджетните кредити за плащания, включени в бюджета за 2016 г. и в проектобюджета за 2017 г., нуждата от бюджетни кредити за плащания се оценява на приблизително 544 млн. евро. Допълнителните бюджетни кредити за плащания за настоящото предложение ще доведат до увеличение на бюджетните кредити за плащания за 2016 и 2017 г., което ще бъде компенсирано до края на жизнения цикъл на програмите. Предложеното изменение не предполага промени в годишните тавани за поети задължения и плащания по многогодишната финансова рамка, посочени в приложение I към Регламент (ЕС) № 1311/2013. </w:t>
      </w:r>
    </w:p>
    <w:p>
      <w:pPr>
        <w:rPr>
          <w:noProof/>
        </w:rPr>
      </w:pPr>
      <w:r>
        <w:rPr>
          <w:noProof/>
        </w:rPr>
        <w:t>В зависимост от степента, в която държавите членки искат да се възползват от това действие, и с оглед на хода на подаването на заявления за междинни плащания, през 2016 и 2017 г. Комисията ще преразгледа нуждата от допълнителни кредити за плащания и, ако е необходимо, ще предложи съответните действия на бюджетния орган.</w:t>
      </w:r>
    </w:p>
    <w:p>
      <w:pPr>
        <w:rPr>
          <w:noProof/>
        </w:rPr>
      </w:pPr>
      <w:r>
        <w:rPr>
          <w:noProof/>
        </w:rPr>
        <w:t>Не са правени прогнозни изчисления за годините след 2018 г., а всички евентуални последици ще бъдат взети под внимание при бюджетните процедури за съответните години.</w:t>
      </w:r>
    </w:p>
    <w:p>
      <w:pPr>
        <w:rPr>
          <w:noProof/>
        </w:rPr>
        <w:sectPr>
          <w:pgSz w:w="12240" w:h="15840"/>
          <w:pgMar w:top="1440" w:right="1800" w:bottom="1440" w:left="1800" w:header="708" w:footer="708" w:gutter="0"/>
          <w:cols w:space="708"/>
          <w:docGrid w:linePitch="360"/>
        </w:sectPr>
      </w:pPr>
    </w:p>
    <w:p>
      <w:pPr>
        <w:jc w:val="right"/>
        <w:rPr>
          <w:i/>
          <w:noProof/>
          <w:sz w:val="20"/>
          <w:szCs w:val="20"/>
        </w:rPr>
      </w:pPr>
      <w:r>
        <w:rPr>
          <w:i/>
          <w:noProof/>
          <w:sz w:val="20"/>
        </w:rPr>
        <w:t>в млн. евро (до третия знак след десетичната запетая)</w:t>
      </w:r>
    </w:p>
    <w:tbl>
      <w:tblPr>
        <w:tblW w:w="8952" w:type="dxa"/>
        <w:tblInd w:w="312" w:type="dxa"/>
        <w:tblLayout w:type="fixed"/>
        <w:tblLook w:val="0000" w:firstRow="0" w:lastRow="0" w:firstColumn="0" w:lastColumn="0" w:noHBand="0" w:noVBand="0"/>
      </w:tblPr>
      <w:tblGrid>
        <w:gridCol w:w="2335"/>
        <w:gridCol w:w="701"/>
        <w:gridCol w:w="720"/>
        <w:gridCol w:w="720"/>
        <w:gridCol w:w="720"/>
        <w:gridCol w:w="720"/>
        <w:gridCol w:w="720"/>
        <w:gridCol w:w="720"/>
        <w:gridCol w:w="840"/>
        <w:gridCol w:w="756"/>
      </w:tblGrid>
      <w:tr>
        <w:trPr>
          <w:cantSplit/>
        </w:trPr>
        <w:tc>
          <w:tcPr>
            <w:tcW w:w="2335" w:type="dxa"/>
            <w:tcBorders>
              <w:top w:val="single" w:sz="8" w:space="0" w:color="auto"/>
              <w:left w:val="single" w:sz="8" w:space="0" w:color="auto"/>
              <w:bottom w:val="single" w:sz="8" w:space="0" w:color="auto"/>
              <w:right w:val="single" w:sz="6" w:space="0" w:color="auto"/>
            </w:tcBorders>
            <w:vAlign w:val="center"/>
          </w:tcPr>
          <w:p>
            <w:pPr>
              <w:jc w:val="center"/>
              <w:rPr>
                <w:noProof/>
                <w:sz w:val="22"/>
              </w:rPr>
            </w:pPr>
          </w:p>
          <w:p>
            <w:pPr>
              <w:jc w:val="center"/>
              <w:rPr>
                <w:b/>
                <w:noProof/>
                <w:sz w:val="20"/>
                <w:szCs w:val="20"/>
              </w:rPr>
            </w:pPr>
            <w:r>
              <w:rPr>
                <w:b/>
                <w:noProof/>
                <w:sz w:val="20"/>
              </w:rPr>
              <w:t>Вид разход</w:t>
            </w:r>
          </w:p>
        </w:tc>
        <w:tc>
          <w:tcPr>
            <w:tcW w:w="701" w:type="dxa"/>
            <w:tcBorders>
              <w:top w:val="single" w:sz="8" w:space="0" w:color="auto"/>
              <w:left w:val="single" w:sz="6" w:space="0" w:color="auto"/>
              <w:bottom w:val="single" w:sz="8" w:space="0" w:color="auto"/>
              <w:right w:val="single" w:sz="6" w:space="0" w:color="auto"/>
            </w:tcBorders>
          </w:tcPr>
          <w:p>
            <w:pPr>
              <w:jc w:val="center"/>
              <w:rPr>
                <w:noProof/>
                <w:sz w:val="20"/>
                <w:szCs w:val="20"/>
              </w:rPr>
            </w:pPr>
            <w:r>
              <w:rPr>
                <w:noProof/>
                <w:sz w:val="20"/>
              </w:rPr>
              <w:t>Раздел №</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2"/>
              </w:rPr>
            </w:pP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Година n</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+ 1</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+ 2</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+ 3</w:t>
            </w:r>
          </w:p>
        </w:tc>
        <w:tc>
          <w:tcPr>
            <w:tcW w:w="720" w:type="dxa"/>
            <w:tcBorders>
              <w:top w:val="single" w:sz="8" w:space="0" w:color="auto"/>
              <w:left w:val="single" w:sz="6" w:space="0" w:color="auto"/>
              <w:bottom w:val="single" w:sz="8" w:space="0" w:color="auto"/>
              <w:right w:val="single" w:sz="6" w:space="0" w:color="auto"/>
            </w:tcBorders>
          </w:tcPr>
          <w:p>
            <w:pPr>
              <w:jc w:val="center"/>
              <w:rPr>
                <w:noProof/>
                <w:sz w:val="20"/>
                <w:szCs w:val="20"/>
              </w:rPr>
            </w:pPr>
          </w:p>
          <w:p>
            <w:pPr>
              <w:jc w:val="center"/>
              <w:rPr>
                <w:noProof/>
                <w:sz w:val="20"/>
                <w:szCs w:val="20"/>
              </w:rPr>
            </w:pPr>
            <w:r>
              <w:rPr>
                <w:noProof/>
                <w:sz w:val="20"/>
              </w:rPr>
              <w:t>n + 4</w:t>
            </w:r>
          </w:p>
        </w:tc>
        <w:tc>
          <w:tcPr>
            <w:tcW w:w="840" w:type="dxa"/>
            <w:tcBorders>
              <w:top w:val="single" w:sz="8" w:space="0" w:color="auto"/>
              <w:left w:val="single" w:sz="6" w:space="0" w:color="auto"/>
              <w:bottom w:val="single" w:sz="8" w:space="0" w:color="auto"/>
              <w:right w:val="single" w:sz="8" w:space="0" w:color="auto"/>
            </w:tcBorders>
            <w:vAlign w:val="center"/>
          </w:tcPr>
          <w:p>
            <w:pPr>
              <w:jc w:val="center"/>
              <w:rPr>
                <w:noProof/>
                <w:sz w:val="20"/>
                <w:szCs w:val="20"/>
              </w:rPr>
            </w:pPr>
            <w:r>
              <w:rPr>
                <w:noProof/>
                <w:sz w:val="20"/>
              </w:rPr>
              <w:t>n + 5 и следващите</w:t>
            </w:r>
          </w:p>
        </w:tc>
        <w:tc>
          <w:tcPr>
            <w:tcW w:w="756" w:type="dxa"/>
            <w:tcBorders>
              <w:top w:val="single" w:sz="8" w:space="0" w:color="auto"/>
              <w:left w:val="single" w:sz="8" w:space="0" w:color="auto"/>
              <w:bottom w:val="single" w:sz="8" w:space="0" w:color="auto"/>
              <w:right w:val="single" w:sz="8" w:space="0" w:color="auto"/>
            </w:tcBorders>
          </w:tcPr>
          <w:p>
            <w:pPr>
              <w:jc w:val="center"/>
              <w:rPr>
                <w:noProof/>
                <w:sz w:val="20"/>
                <w:szCs w:val="20"/>
              </w:rPr>
            </w:pPr>
          </w:p>
          <w:p>
            <w:pPr>
              <w:jc w:val="center"/>
              <w:rPr>
                <w:noProof/>
                <w:sz w:val="20"/>
                <w:szCs w:val="20"/>
              </w:rPr>
            </w:pPr>
            <w:r>
              <w:rPr>
                <w:noProof/>
                <w:sz w:val="20"/>
              </w:rPr>
              <w:t>Общо</w:t>
            </w:r>
          </w:p>
        </w:tc>
      </w:tr>
      <w:tr>
        <w:trPr>
          <w:cantSplit/>
        </w:trPr>
        <w:tc>
          <w:tcPr>
            <w:tcW w:w="3036" w:type="dxa"/>
            <w:gridSpan w:val="2"/>
            <w:tcBorders>
              <w:top w:val="single" w:sz="8" w:space="0" w:color="auto"/>
              <w:bottom w:val="single" w:sz="8" w:space="0" w:color="auto"/>
            </w:tcBorders>
          </w:tcPr>
          <w:p>
            <w:pPr>
              <w:spacing w:before="60" w:after="60"/>
              <w:rPr>
                <w:noProof/>
              </w:rPr>
            </w:pPr>
            <w:r>
              <w:rPr>
                <w:b/>
                <w:noProof/>
                <w:sz w:val="22"/>
              </w:rPr>
              <w:t>Оперативни разходи</w:t>
            </w:r>
            <w:r>
              <w:rPr>
                <w:rStyle w:val="FootnoteReference"/>
                <w:b/>
                <w:noProof/>
                <w:sz w:val="22"/>
              </w:rPr>
              <w:footnoteReference w:id="6"/>
            </w:r>
            <w:r>
              <w:rPr>
                <w:b/>
                <w:noProof/>
                <w:sz w:val="22"/>
              </w:rPr>
              <w:t xml:space="preserve"> </w:t>
            </w:r>
          </w:p>
        </w:tc>
        <w:tc>
          <w:tcPr>
            <w:tcW w:w="720" w:type="dxa"/>
            <w:tcBorders>
              <w:top w:val="single" w:sz="8" w:space="0" w:color="auto"/>
              <w:bottom w:val="single" w:sz="8" w:space="0" w:color="auto"/>
            </w:tcBorders>
            <w:vAlign w:val="center"/>
          </w:tcPr>
          <w:p>
            <w:pPr>
              <w:spacing w:before="60" w:after="60"/>
              <w:jc w:val="center"/>
              <w:rPr>
                <w:noProof/>
                <w:sz w:val="20"/>
                <w:szCs w:val="20"/>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720" w:type="dxa"/>
            <w:tcBorders>
              <w:top w:val="single" w:sz="8" w:space="0" w:color="auto"/>
              <w:bottom w:val="single" w:sz="8" w:space="0" w:color="auto"/>
            </w:tcBorders>
          </w:tcPr>
          <w:p>
            <w:pPr>
              <w:spacing w:before="60" w:after="60"/>
              <w:rPr>
                <w:noProof/>
              </w:rPr>
            </w:pPr>
          </w:p>
        </w:tc>
        <w:tc>
          <w:tcPr>
            <w:tcW w:w="840" w:type="dxa"/>
            <w:tcBorders>
              <w:top w:val="single" w:sz="8" w:space="0" w:color="auto"/>
              <w:bottom w:val="single" w:sz="8" w:space="0" w:color="auto"/>
            </w:tcBorders>
          </w:tcPr>
          <w:p>
            <w:pPr>
              <w:spacing w:before="60" w:after="60"/>
              <w:rPr>
                <w:noProof/>
              </w:rPr>
            </w:pPr>
          </w:p>
        </w:tc>
        <w:tc>
          <w:tcPr>
            <w:tcW w:w="756" w:type="dxa"/>
            <w:tcBorders>
              <w:top w:val="single" w:sz="8" w:space="0" w:color="auto"/>
              <w:bottom w:val="single" w:sz="8" w:space="0" w:color="auto"/>
            </w:tcBorders>
          </w:tcPr>
          <w:p>
            <w:pPr>
              <w:spacing w:before="60" w:after="60"/>
              <w:rPr>
                <w:noProof/>
              </w:rPr>
            </w:pPr>
          </w:p>
        </w:tc>
      </w:tr>
      <w:tr>
        <w:trPr>
          <w:cantSplit/>
        </w:trPr>
        <w:tc>
          <w:tcPr>
            <w:tcW w:w="2335" w:type="dxa"/>
            <w:tcBorders>
              <w:top w:val="single" w:sz="8" w:space="0" w:color="auto"/>
              <w:left w:val="single" w:sz="8" w:space="0" w:color="auto"/>
              <w:bottom w:val="single" w:sz="4" w:space="0" w:color="auto"/>
              <w:right w:val="single" w:sz="4" w:space="0" w:color="auto"/>
            </w:tcBorders>
          </w:tcPr>
          <w:p>
            <w:pPr>
              <w:spacing w:before="60" w:after="60"/>
              <w:rPr>
                <w:noProof/>
                <w:sz w:val="20"/>
                <w:szCs w:val="20"/>
              </w:rPr>
            </w:pPr>
            <w:r>
              <w:rPr>
                <w:noProof/>
                <w:sz w:val="20"/>
              </w:rPr>
              <w:t>Бюджетни кредити за поети задължения (БКПЗ)</w:t>
            </w:r>
          </w:p>
        </w:tc>
        <w:tc>
          <w:tcPr>
            <w:tcW w:w="701"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8.1</w:t>
            </w:r>
          </w:p>
        </w:tc>
        <w:tc>
          <w:tcPr>
            <w:tcW w:w="720"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а</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8" w:space="0" w:color="auto"/>
              <w:left w:val="single" w:sz="4" w:space="0" w:color="auto"/>
              <w:bottom w:val="single" w:sz="4" w:space="0" w:color="auto"/>
              <w:right w:val="single" w:sz="8" w:space="0" w:color="auto"/>
            </w:tcBorders>
          </w:tcPr>
          <w:p>
            <w:pPr>
              <w:spacing w:before="60" w:after="60"/>
              <w:jc w:val="right"/>
              <w:rPr>
                <w:noProof/>
                <w:sz w:val="20"/>
                <w:szCs w:val="20"/>
              </w:rPr>
            </w:pPr>
            <w:r>
              <w:rPr>
                <w:noProof/>
                <w:sz w:val="20"/>
              </w:rPr>
              <w:t>н.п.</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н.п.</w:t>
            </w:r>
          </w:p>
        </w:tc>
      </w:tr>
      <w:tr>
        <w:trPr>
          <w:cantSplit/>
        </w:trPr>
        <w:tc>
          <w:tcPr>
            <w:tcW w:w="2335" w:type="dxa"/>
            <w:tcBorders>
              <w:top w:val="single" w:sz="4" w:space="0" w:color="auto"/>
              <w:left w:val="single" w:sz="8" w:space="0" w:color="auto"/>
              <w:bottom w:val="single" w:sz="8" w:space="0" w:color="auto"/>
              <w:right w:val="single" w:sz="4" w:space="0" w:color="auto"/>
            </w:tcBorders>
          </w:tcPr>
          <w:p>
            <w:pPr>
              <w:spacing w:before="60" w:after="60"/>
              <w:rPr>
                <w:noProof/>
                <w:sz w:val="20"/>
                <w:szCs w:val="20"/>
              </w:rPr>
            </w:pPr>
            <w:r>
              <w:rPr>
                <w:noProof/>
                <w:sz w:val="20"/>
              </w:rPr>
              <w:t>Бюджетни кредити за плащания (БКП)</w:t>
            </w:r>
          </w:p>
        </w:tc>
        <w:tc>
          <w:tcPr>
            <w:tcW w:w="701" w:type="dxa"/>
            <w:tcBorders>
              <w:top w:val="single" w:sz="4" w:space="0" w:color="auto"/>
              <w:left w:val="single" w:sz="4" w:space="0" w:color="auto"/>
              <w:bottom w:val="single" w:sz="8" w:space="0" w:color="auto"/>
              <w:right w:val="single" w:sz="4" w:space="0" w:color="auto"/>
            </w:tcBorders>
          </w:tcPr>
          <w:p>
            <w:pPr>
              <w:spacing w:before="60" w:after="60"/>
              <w:jc w:val="center"/>
              <w:rPr>
                <w:noProof/>
              </w:rPr>
            </w:pPr>
          </w:p>
        </w:tc>
        <w:tc>
          <w:tcPr>
            <w:tcW w:w="720"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б</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+252</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+292</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 xml:space="preserve"> 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4"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rPr>
              <w:t>-544</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0</w:t>
            </w:r>
          </w:p>
        </w:tc>
      </w:tr>
      <w:tr>
        <w:trPr>
          <w:cantSplit/>
        </w:trPr>
        <w:tc>
          <w:tcPr>
            <w:tcW w:w="5916" w:type="dxa"/>
            <w:gridSpan w:val="6"/>
            <w:tcBorders>
              <w:top w:val="single" w:sz="8" w:space="0" w:color="auto"/>
              <w:bottom w:val="single" w:sz="8" w:space="0" w:color="auto"/>
            </w:tcBorders>
          </w:tcPr>
          <w:p>
            <w:pPr>
              <w:spacing w:before="60" w:after="60"/>
              <w:rPr>
                <w:b/>
                <w:noProof/>
                <w:sz w:val="20"/>
                <w:szCs w:val="20"/>
              </w:rPr>
            </w:pPr>
            <w:r>
              <w:rPr>
                <w:b/>
                <w:noProof/>
                <w:sz w:val="20"/>
              </w:rPr>
              <w:t>Административни разходи, включени в референтната сума</w:t>
            </w:r>
            <w:r>
              <w:rPr>
                <w:rStyle w:val="FootnoteReference"/>
                <w:b/>
                <w:noProof/>
                <w:sz w:val="20"/>
              </w:rPr>
              <w:footnoteReference w:id="7"/>
            </w:r>
          </w:p>
        </w:tc>
        <w:tc>
          <w:tcPr>
            <w:tcW w:w="720" w:type="dxa"/>
            <w:tcBorders>
              <w:top w:val="single" w:sz="8" w:space="0" w:color="auto"/>
              <w:bottom w:val="single" w:sz="8" w:space="0" w:color="auto"/>
            </w:tcBorders>
          </w:tcPr>
          <w:p>
            <w:pPr>
              <w:spacing w:before="60" w:after="60"/>
              <w:rPr>
                <w:b/>
                <w:noProof/>
                <w:sz w:val="20"/>
                <w:szCs w:val="20"/>
              </w:rPr>
            </w:pPr>
          </w:p>
        </w:tc>
        <w:tc>
          <w:tcPr>
            <w:tcW w:w="720" w:type="dxa"/>
            <w:tcBorders>
              <w:top w:val="single" w:sz="8" w:space="0" w:color="auto"/>
              <w:bottom w:val="single" w:sz="8" w:space="0" w:color="auto"/>
            </w:tcBorders>
          </w:tcPr>
          <w:p>
            <w:pPr>
              <w:spacing w:before="60" w:after="60"/>
              <w:rPr>
                <w:b/>
                <w:noProof/>
                <w:sz w:val="20"/>
                <w:szCs w:val="20"/>
              </w:rPr>
            </w:pPr>
          </w:p>
        </w:tc>
        <w:tc>
          <w:tcPr>
            <w:tcW w:w="840" w:type="dxa"/>
            <w:tcBorders>
              <w:top w:val="single" w:sz="8" w:space="0" w:color="auto"/>
              <w:bottom w:val="single" w:sz="8" w:space="0" w:color="auto"/>
            </w:tcBorders>
          </w:tcPr>
          <w:p>
            <w:pPr>
              <w:spacing w:before="60" w:after="60"/>
              <w:rPr>
                <w:b/>
                <w:noProof/>
                <w:sz w:val="20"/>
                <w:szCs w:val="20"/>
              </w:rPr>
            </w:pPr>
          </w:p>
        </w:tc>
        <w:tc>
          <w:tcPr>
            <w:tcW w:w="756" w:type="dxa"/>
            <w:tcBorders>
              <w:top w:val="single" w:sz="8" w:space="0" w:color="auto"/>
              <w:bottom w:val="single" w:sz="8" w:space="0" w:color="auto"/>
            </w:tcBorders>
          </w:tcPr>
          <w:p>
            <w:pPr>
              <w:spacing w:before="60" w:after="60"/>
              <w:rPr>
                <w:b/>
                <w:noProof/>
                <w:sz w:val="20"/>
                <w:szCs w:val="20"/>
              </w:rPr>
            </w:pPr>
          </w:p>
        </w:tc>
      </w:tr>
      <w:tr>
        <w:trPr>
          <w:cantSplit/>
        </w:trPr>
        <w:tc>
          <w:tcPr>
            <w:tcW w:w="2335" w:type="dxa"/>
            <w:tcBorders>
              <w:top w:val="single" w:sz="8" w:space="0" w:color="auto"/>
              <w:left w:val="single" w:sz="8" w:space="0" w:color="auto"/>
              <w:bottom w:val="single" w:sz="8" w:space="0" w:color="auto"/>
              <w:right w:val="single" w:sz="4" w:space="0" w:color="auto"/>
            </w:tcBorders>
          </w:tcPr>
          <w:p>
            <w:pPr>
              <w:spacing w:before="60" w:after="60"/>
              <w:rPr>
                <w:noProof/>
                <w:sz w:val="20"/>
                <w:szCs w:val="20"/>
              </w:rPr>
            </w:pPr>
            <w:r>
              <w:rPr>
                <w:noProof/>
                <w:sz w:val="20"/>
              </w:rPr>
              <w:t>Техническа и административна помощ (ЕБК)</w:t>
            </w:r>
          </w:p>
        </w:tc>
        <w:tc>
          <w:tcPr>
            <w:tcW w:w="701" w:type="dxa"/>
            <w:tcBorders>
              <w:top w:val="single" w:sz="8"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8.2.4</w:t>
            </w:r>
          </w:p>
        </w:tc>
        <w:tc>
          <w:tcPr>
            <w:tcW w:w="720" w:type="dxa"/>
            <w:tcBorders>
              <w:top w:val="single" w:sz="8"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в</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 xml:space="preserve">н.п. </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8"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rPr>
              <w:t>н.п.</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н.п.</w:t>
            </w:r>
          </w:p>
        </w:tc>
      </w:tr>
      <w:tr>
        <w:trPr>
          <w:cantSplit/>
        </w:trPr>
        <w:tc>
          <w:tcPr>
            <w:tcW w:w="3756" w:type="dxa"/>
            <w:gridSpan w:val="3"/>
            <w:tcBorders>
              <w:top w:val="single" w:sz="8" w:space="0" w:color="auto"/>
              <w:bottom w:val="single" w:sz="18" w:space="0" w:color="auto"/>
            </w:tcBorders>
          </w:tcPr>
          <w:p>
            <w:pPr>
              <w:spacing w:before="60" w:after="60"/>
              <w:rPr>
                <w:b/>
                <w:noProof/>
                <w:sz w:val="20"/>
                <w:szCs w:val="20"/>
                <w14:shadow w14:blurRad="50800" w14:dist="38100" w14:dir="2700000" w14:sx="100000" w14:sy="100000" w14:kx="0" w14:ky="0" w14:algn="tl">
                  <w14:srgbClr w14:val="000000">
                    <w14:alpha w14:val="60000"/>
                  </w14:srgbClr>
                </w14:shadow>
              </w:rPr>
            </w:pPr>
            <w:r>
              <w:rPr>
                <w:b/>
                <w:noProof/>
                <w:sz w:val="20"/>
                <w14:shadow w14:blurRad="50800" w14:dist="38100" w14:dir="2700000" w14:sx="100000" w14:sy="100000" w14:kx="0" w14:ky="0" w14:algn="tl">
                  <w14:srgbClr w14:val="000000">
                    <w14:alpha w14:val="60000"/>
                  </w14:srgbClr>
                </w14:shadow>
              </w:rPr>
              <w:t>ОБЩО РЕФЕРЕНТНА СУМА</w:t>
            </w: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2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840"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c>
          <w:tcPr>
            <w:tcW w:w="756" w:type="dxa"/>
            <w:tcBorders>
              <w:top w:val="single" w:sz="8" w:space="0" w:color="auto"/>
              <w:bottom w:val="single" w:sz="18" w:space="0" w:color="auto"/>
            </w:tcBorders>
          </w:tcPr>
          <w:p>
            <w:pPr>
              <w:spacing w:before="60" w:after="60"/>
              <w:rPr>
                <w:b/>
                <w:noProof/>
                <w14:shadow w14:blurRad="50800" w14:dist="38100" w14:dir="2700000" w14:sx="100000" w14:sy="100000" w14:kx="0" w14:ky="0" w14:algn="tl">
                  <w14:srgbClr w14:val="000000">
                    <w14:alpha w14:val="60000"/>
                  </w14:srgbClr>
                </w14:shadow>
              </w:rPr>
            </w:pPr>
          </w:p>
        </w:tc>
      </w:tr>
      <w:tr>
        <w:trPr>
          <w:cantSplit/>
        </w:trPr>
        <w:tc>
          <w:tcPr>
            <w:tcW w:w="2335" w:type="dxa"/>
            <w:tcBorders>
              <w:top w:val="single" w:sz="18" w:space="0" w:color="auto"/>
              <w:left w:val="single" w:sz="18" w:space="0" w:color="auto"/>
              <w:bottom w:val="single" w:sz="12" w:space="0" w:color="auto"/>
              <w:right w:val="single" w:sz="4" w:space="0" w:color="auto"/>
            </w:tcBorders>
          </w:tcPr>
          <w:p>
            <w:pPr>
              <w:spacing w:before="60" w:after="60"/>
              <w:rPr>
                <w:b/>
                <w:noProof/>
                <w:sz w:val="20"/>
                <w:szCs w:val="20"/>
              </w:rPr>
            </w:pPr>
            <w:r>
              <w:rPr>
                <w:b/>
                <w:noProof/>
                <w:sz w:val="20"/>
              </w:rPr>
              <w:t>Бюджетни кредити за поети задължения</w:t>
            </w:r>
          </w:p>
        </w:tc>
        <w:tc>
          <w:tcPr>
            <w:tcW w:w="701" w:type="dxa"/>
            <w:tcBorders>
              <w:top w:val="single" w:sz="18" w:space="0" w:color="auto"/>
              <w:left w:val="single" w:sz="4" w:space="0" w:color="auto"/>
              <w:bottom w:val="single" w:sz="12" w:space="0" w:color="auto"/>
              <w:right w:val="single" w:sz="4" w:space="0" w:color="auto"/>
            </w:tcBorders>
          </w:tcPr>
          <w:p>
            <w:pPr>
              <w:spacing w:before="60" w:after="60"/>
              <w:jc w:val="center"/>
              <w:rPr>
                <w:b/>
                <w:noProof/>
              </w:rPr>
            </w:pPr>
          </w:p>
        </w:tc>
        <w:tc>
          <w:tcPr>
            <w:tcW w:w="720" w:type="dxa"/>
            <w:tcBorders>
              <w:top w:val="single" w:sz="18" w:space="0" w:color="auto"/>
              <w:left w:val="single" w:sz="4" w:space="0" w:color="auto"/>
              <w:bottom w:val="single" w:sz="12" w:space="0" w:color="auto"/>
              <w:right w:val="single" w:sz="4" w:space="0" w:color="auto"/>
            </w:tcBorders>
            <w:vAlign w:val="center"/>
          </w:tcPr>
          <w:p>
            <w:pPr>
              <w:spacing w:before="60" w:after="60"/>
              <w:jc w:val="center"/>
              <w:rPr>
                <w:b/>
                <w:noProof/>
                <w:sz w:val="20"/>
                <w:szCs w:val="20"/>
              </w:rPr>
            </w:pPr>
            <w:r>
              <w:rPr>
                <w:b/>
                <w:noProof/>
                <w:sz w:val="20"/>
              </w:rPr>
              <w:t>а+в</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н.п.</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н.п.</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н.п.</w:t>
            </w:r>
          </w:p>
        </w:tc>
        <w:tc>
          <w:tcPr>
            <w:tcW w:w="720" w:type="dxa"/>
            <w:tcBorders>
              <w:top w:val="single" w:sz="18" w:space="0" w:color="auto"/>
              <w:left w:val="single" w:sz="4" w:space="0" w:color="auto"/>
              <w:bottom w:val="single" w:sz="12" w:space="0" w:color="auto"/>
              <w:right w:val="single" w:sz="4" w:space="0" w:color="auto"/>
            </w:tcBorders>
          </w:tcPr>
          <w:p>
            <w:pPr>
              <w:spacing w:before="60" w:after="60"/>
              <w:jc w:val="right"/>
              <w:rPr>
                <w:b/>
                <w:noProof/>
                <w:sz w:val="20"/>
                <w:szCs w:val="20"/>
              </w:rPr>
            </w:pPr>
            <w:r>
              <w:rPr>
                <w:noProof/>
                <w:sz w:val="20"/>
              </w:rPr>
              <w:t>н.п.</w:t>
            </w:r>
          </w:p>
        </w:tc>
        <w:tc>
          <w:tcPr>
            <w:tcW w:w="840" w:type="dxa"/>
            <w:tcBorders>
              <w:top w:val="single" w:sz="18" w:space="0" w:color="auto"/>
              <w:left w:val="single" w:sz="4" w:space="0" w:color="auto"/>
              <w:bottom w:val="single" w:sz="12" w:space="0" w:color="auto"/>
              <w:right w:val="single" w:sz="12" w:space="0" w:color="auto"/>
            </w:tcBorders>
          </w:tcPr>
          <w:p>
            <w:pPr>
              <w:spacing w:before="60" w:after="60"/>
              <w:jc w:val="right"/>
              <w:rPr>
                <w:b/>
                <w:noProof/>
                <w:sz w:val="20"/>
                <w:szCs w:val="20"/>
              </w:rPr>
            </w:pPr>
            <w:r>
              <w:rPr>
                <w:noProof/>
                <w:sz w:val="20"/>
              </w:rPr>
              <w:t>н.п.</w:t>
            </w:r>
          </w:p>
        </w:tc>
        <w:tc>
          <w:tcPr>
            <w:tcW w:w="756" w:type="dxa"/>
            <w:tcBorders>
              <w:top w:val="single" w:sz="18" w:space="0" w:color="auto"/>
              <w:left w:val="nil"/>
              <w:bottom w:val="single" w:sz="12" w:space="0" w:color="auto"/>
              <w:right w:val="single" w:sz="18" w:space="0" w:color="auto"/>
            </w:tcBorders>
          </w:tcPr>
          <w:p>
            <w:pPr>
              <w:spacing w:before="60" w:after="60"/>
              <w:jc w:val="right"/>
              <w:rPr>
                <w:noProof/>
                <w:sz w:val="20"/>
                <w:szCs w:val="20"/>
              </w:rPr>
            </w:pPr>
            <w:r>
              <w:rPr>
                <w:noProof/>
                <w:sz w:val="20"/>
              </w:rPr>
              <w:t>н.п.</w:t>
            </w:r>
          </w:p>
        </w:tc>
      </w:tr>
      <w:tr>
        <w:trPr>
          <w:cantSplit/>
        </w:trPr>
        <w:tc>
          <w:tcPr>
            <w:tcW w:w="2335" w:type="dxa"/>
            <w:tcBorders>
              <w:top w:val="single" w:sz="12" w:space="0" w:color="auto"/>
              <w:left w:val="single" w:sz="18" w:space="0" w:color="auto"/>
              <w:bottom w:val="single" w:sz="18" w:space="0" w:color="auto"/>
              <w:right w:val="single" w:sz="4" w:space="0" w:color="auto"/>
            </w:tcBorders>
          </w:tcPr>
          <w:p>
            <w:pPr>
              <w:spacing w:before="60" w:after="60"/>
              <w:rPr>
                <w:b/>
                <w:noProof/>
                <w:sz w:val="20"/>
                <w:szCs w:val="20"/>
              </w:rPr>
            </w:pPr>
            <w:r>
              <w:rPr>
                <w:b/>
                <w:noProof/>
                <w:sz w:val="20"/>
              </w:rPr>
              <w:t>Бюджетни кредити за плащания</w:t>
            </w:r>
          </w:p>
        </w:tc>
        <w:tc>
          <w:tcPr>
            <w:tcW w:w="701" w:type="dxa"/>
            <w:tcBorders>
              <w:top w:val="single" w:sz="12" w:space="0" w:color="auto"/>
              <w:left w:val="single" w:sz="4" w:space="0" w:color="auto"/>
              <w:bottom w:val="single" w:sz="18" w:space="0" w:color="auto"/>
              <w:right w:val="single" w:sz="4" w:space="0" w:color="auto"/>
            </w:tcBorders>
          </w:tcPr>
          <w:p>
            <w:pPr>
              <w:spacing w:before="60" w:after="60"/>
              <w:jc w:val="center"/>
              <w:rPr>
                <w:b/>
                <w:noProof/>
              </w:rPr>
            </w:pPr>
          </w:p>
        </w:tc>
        <w:tc>
          <w:tcPr>
            <w:tcW w:w="720" w:type="dxa"/>
            <w:tcBorders>
              <w:top w:val="single" w:sz="12" w:space="0" w:color="auto"/>
              <w:left w:val="single" w:sz="4" w:space="0" w:color="auto"/>
              <w:bottom w:val="single" w:sz="18" w:space="0" w:color="auto"/>
              <w:right w:val="single" w:sz="4" w:space="0" w:color="auto"/>
            </w:tcBorders>
            <w:vAlign w:val="center"/>
          </w:tcPr>
          <w:p>
            <w:pPr>
              <w:spacing w:before="60" w:after="60"/>
              <w:jc w:val="center"/>
              <w:rPr>
                <w:b/>
                <w:noProof/>
                <w:sz w:val="20"/>
                <w:szCs w:val="20"/>
              </w:rPr>
            </w:pPr>
            <w:r>
              <w:rPr>
                <w:b/>
                <w:noProof/>
                <w:sz w:val="20"/>
              </w:rPr>
              <w:t>б+в</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720" w:type="dxa"/>
            <w:tcBorders>
              <w:top w:val="single" w:sz="12" w:space="0" w:color="auto"/>
              <w:left w:val="single" w:sz="4" w:space="0" w:color="auto"/>
              <w:bottom w:val="single" w:sz="18" w:space="0" w:color="auto"/>
              <w:right w:val="single" w:sz="4" w:space="0" w:color="auto"/>
            </w:tcBorders>
          </w:tcPr>
          <w:p>
            <w:pPr>
              <w:spacing w:before="60" w:after="60"/>
              <w:jc w:val="right"/>
              <w:rPr>
                <w:b/>
                <w:noProof/>
                <w:sz w:val="20"/>
                <w:szCs w:val="20"/>
              </w:rPr>
            </w:pPr>
            <w:r>
              <w:rPr>
                <w:b/>
                <w:noProof/>
                <w:sz w:val="20"/>
              </w:rPr>
              <w:t>н.п.</w:t>
            </w:r>
          </w:p>
        </w:tc>
        <w:tc>
          <w:tcPr>
            <w:tcW w:w="840" w:type="dxa"/>
            <w:tcBorders>
              <w:top w:val="single" w:sz="12" w:space="0" w:color="auto"/>
              <w:left w:val="single" w:sz="4" w:space="0" w:color="auto"/>
              <w:bottom w:val="single" w:sz="18" w:space="0" w:color="auto"/>
              <w:right w:val="single" w:sz="12" w:space="0" w:color="auto"/>
            </w:tcBorders>
          </w:tcPr>
          <w:p>
            <w:pPr>
              <w:spacing w:before="60" w:after="60"/>
              <w:jc w:val="right"/>
              <w:rPr>
                <w:b/>
                <w:noProof/>
                <w:sz w:val="20"/>
                <w:szCs w:val="20"/>
              </w:rPr>
            </w:pPr>
            <w:r>
              <w:rPr>
                <w:b/>
                <w:noProof/>
                <w:sz w:val="20"/>
              </w:rPr>
              <w:t>н.п.</w:t>
            </w:r>
          </w:p>
        </w:tc>
        <w:tc>
          <w:tcPr>
            <w:tcW w:w="756" w:type="dxa"/>
            <w:tcBorders>
              <w:top w:val="single" w:sz="12" w:space="0" w:color="auto"/>
              <w:left w:val="nil"/>
              <w:bottom w:val="single" w:sz="18" w:space="0" w:color="auto"/>
              <w:right w:val="single" w:sz="18" w:space="0" w:color="auto"/>
            </w:tcBorders>
          </w:tcPr>
          <w:p>
            <w:pPr>
              <w:spacing w:before="60" w:after="60"/>
              <w:jc w:val="right"/>
              <w:rPr>
                <w:b/>
                <w:noProof/>
                <w:sz w:val="20"/>
                <w:szCs w:val="20"/>
              </w:rPr>
            </w:pPr>
            <w:r>
              <w:rPr>
                <w:b/>
                <w:noProof/>
                <w:sz w:val="20"/>
              </w:rPr>
              <w:t>0,000</w:t>
            </w:r>
          </w:p>
          <w:p>
            <w:pPr>
              <w:spacing w:before="60" w:after="60"/>
              <w:jc w:val="right"/>
              <w:rPr>
                <w:b/>
                <w:noProof/>
                <w:sz w:val="20"/>
                <w:szCs w:val="20"/>
              </w:rPr>
            </w:pPr>
          </w:p>
        </w:tc>
      </w:tr>
      <w:tr>
        <w:trPr>
          <w:cantSplit/>
        </w:trPr>
        <w:tc>
          <w:tcPr>
            <w:tcW w:w="7356" w:type="dxa"/>
            <w:gridSpan w:val="8"/>
            <w:tcBorders>
              <w:top w:val="single" w:sz="18" w:space="0" w:color="auto"/>
              <w:bottom w:val="single" w:sz="8" w:space="0" w:color="auto"/>
            </w:tcBorders>
          </w:tcPr>
          <w:p>
            <w:pPr>
              <w:spacing w:before="60" w:after="60"/>
              <w:rPr>
                <w:noProof/>
              </w:rPr>
            </w:pPr>
            <w:r>
              <w:rPr>
                <w:b/>
                <w:noProof/>
                <w:sz w:val="22"/>
              </w:rPr>
              <w:t xml:space="preserve">Административни разходи, които </w:t>
            </w:r>
            <w:r>
              <w:rPr>
                <w:b/>
                <w:noProof/>
                <w:sz w:val="22"/>
                <w:u w:val="single"/>
              </w:rPr>
              <w:t>не</w:t>
            </w:r>
            <w:r>
              <w:rPr>
                <w:b/>
                <w:noProof/>
                <w:sz w:val="22"/>
              </w:rPr>
              <w:t xml:space="preserve"> са включени в референтната сума</w:t>
            </w:r>
            <w:r>
              <w:rPr>
                <w:rStyle w:val="FootnoteReference"/>
                <w:b/>
                <w:noProof/>
                <w:sz w:val="22"/>
              </w:rPr>
              <w:footnoteReference w:id="8"/>
            </w:r>
          </w:p>
        </w:tc>
        <w:tc>
          <w:tcPr>
            <w:tcW w:w="840" w:type="dxa"/>
            <w:tcBorders>
              <w:top w:val="single" w:sz="18" w:space="0" w:color="auto"/>
              <w:bottom w:val="single" w:sz="8" w:space="0" w:color="auto"/>
            </w:tcBorders>
          </w:tcPr>
          <w:p>
            <w:pPr>
              <w:spacing w:before="60" w:after="60"/>
              <w:rPr>
                <w:noProof/>
              </w:rPr>
            </w:pPr>
          </w:p>
        </w:tc>
        <w:tc>
          <w:tcPr>
            <w:tcW w:w="756" w:type="dxa"/>
            <w:tcBorders>
              <w:top w:val="single" w:sz="18" w:space="0" w:color="auto"/>
              <w:bottom w:val="single" w:sz="8" w:space="0" w:color="auto"/>
            </w:tcBorders>
          </w:tcPr>
          <w:p>
            <w:pPr>
              <w:spacing w:before="60" w:after="60"/>
              <w:rPr>
                <w:noProof/>
              </w:rPr>
            </w:pPr>
          </w:p>
        </w:tc>
      </w:tr>
      <w:tr>
        <w:trPr>
          <w:cantSplit/>
        </w:trPr>
        <w:tc>
          <w:tcPr>
            <w:tcW w:w="2335" w:type="dxa"/>
            <w:tcBorders>
              <w:top w:val="single" w:sz="8" w:space="0" w:color="auto"/>
              <w:left w:val="single" w:sz="8" w:space="0" w:color="auto"/>
              <w:bottom w:val="single" w:sz="4" w:space="0" w:color="auto"/>
              <w:right w:val="single" w:sz="4" w:space="0" w:color="auto"/>
            </w:tcBorders>
          </w:tcPr>
          <w:p>
            <w:pPr>
              <w:spacing w:before="60" w:after="60"/>
              <w:rPr>
                <w:noProof/>
                <w:sz w:val="20"/>
                <w:szCs w:val="20"/>
              </w:rPr>
            </w:pPr>
            <w:r>
              <w:rPr>
                <w:noProof/>
                <w:sz w:val="20"/>
              </w:rPr>
              <w:t>Човешки ресурси и свързаните с тях разходи (ЕБК)</w:t>
            </w:r>
          </w:p>
        </w:tc>
        <w:tc>
          <w:tcPr>
            <w:tcW w:w="701"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8.2.5</w:t>
            </w:r>
          </w:p>
        </w:tc>
        <w:tc>
          <w:tcPr>
            <w:tcW w:w="720" w:type="dxa"/>
            <w:tcBorders>
              <w:top w:val="single" w:sz="8"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г</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8"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8" w:space="0" w:color="auto"/>
              <w:left w:val="single" w:sz="4" w:space="0" w:color="auto"/>
              <w:bottom w:val="single" w:sz="4" w:space="0" w:color="auto"/>
              <w:right w:val="single" w:sz="8" w:space="0" w:color="auto"/>
            </w:tcBorders>
          </w:tcPr>
          <w:p>
            <w:pPr>
              <w:spacing w:before="60" w:after="60"/>
              <w:jc w:val="right"/>
              <w:rPr>
                <w:noProof/>
                <w:sz w:val="20"/>
                <w:szCs w:val="20"/>
              </w:rPr>
            </w:pPr>
            <w:r>
              <w:rPr>
                <w:noProof/>
                <w:sz w:val="20"/>
              </w:rPr>
              <w:t>н.п.</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н.п.</w:t>
            </w:r>
          </w:p>
        </w:tc>
      </w:tr>
      <w:tr>
        <w:trPr>
          <w:cantSplit/>
        </w:trPr>
        <w:tc>
          <w:tcPr>
            <w:tcW w:w="2335" w:type="dxa"/>
            <w:tcBorders>
              <w:top w:val="single" w:sz="4" w:space="0" w:color="auto"/>
              <w:left w:val="single" w:sz="8" w:space="0" w:color="auto"/>
              <w:bottom w:val="single" w:sz="8" w:space="0" w:color="auto"/>
              <w:right w:val="single" w:sz="4" w:space="0" w:color="auto"/>
            </w:tcBorders>
          </w:tcPr>
          <w:p>
            <w:pPr>
              <w:spacing w:before="60" w:after="60"/>
              <w:rPr>
                <w:noProof/>
                <w:sz w:val="18"/>
                <w:szCs w:val="18"/>
              </w:rPr>
            </w:pPr>
            <w:r>
              <w:rPr>
                <w:noProof/>
                <w:sz w:val="18"/>
              </w:rPr>
              <w:t>Административни разходи, без тези за човешки ресурси и свързаните с тях разходи, невключени в референтната сума (ЕБК)</w:t>
            </w:r>
          </w:p>
        </w:tc>
        <w:tc>
          <w:tcPr>
            <w:tcW w:w="701"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8.2.6</w:t>
            </w:r>
          </w:p>
        </w:tc>
        <w:tc>
          <w:tcPr>
            <w:tcW w:w="720" w:type="dxa"/>
            <w:tcBorders>
              <w:top w:val="single" w:sz="4" w:space="0" w:color="auto"/>
              <w:left w:val="single" w:sz="4" w:space="0" w:color="auto"/>
              <w:bottom w:val="single" w:sz="8" w:space="0" w:color="auto"/>
              <w:right w:val="single" w:sz="4" w:space="0" w:color="auto"/>
            </w:tcBorders>
            <w:vAlign w:val="center"/>
          </w:tcPr>
          <w:p>
            <w:pPr>
              <w:spacing w:before="60" w:after="60"/>
              <w:jc w:val="center"/>
              <w:rPr>
                <w:noProof/>
                <w:sz w:val="20"/>
                <w:szCs w:val="20"/>
              </w:rPr>
            </w:pPr>
            <w:r>
              <w:rPr>
                <w:noProof/>
                <w:sz w:val="20"/>
              </w:rPr>
              <w:t>д</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8" w:space="0" w:color="auto"/>
              <w:right w:val="single" w:sz="4" w:space="0" w:color="auto"/>
            </w:tcBorders>
          </w:tcPr>
          <w:p>
            <w:pPr>
              <w:spacing w:before="60" w:after="60"/>
              <w:jc w:val="right"/>
              <w:rPr>
                <w:noProof/>
                <w:sz w:val="20"/>
                <w:szCs w:val="20"/>
              </w:rPr>
            </w:pPr>
            <w:r>
              <w:rPr>
                <w:noProof/>
                <w:sz w:val="20"/>
              </w:rPr>
              <w:t>н.п.</w:t>
            </w:r>
          </w:p>
        </w:tc>
        <w:tc>
          <w:tcPr>
            <w:tcW w:w="840" w:type="dxa"/>
            <w:tcBorders>
              <w:top w:val="single" w:sz="4" w:space="0" w:color="auto"/>
              <w:left w:val="single" w:sz="4" w:space="0" w:color="auto"/>
              <w:bottom w:val="single" w:sz="8" w:space="0" w:color="auto"/>
              <w:right w:val="single" w:sz="8" w:space="0" w:color="auto"/>
            </w:tcBorders>
          </w:tcPr>
          <w:p>
            <w:pPr>
              <w:spacing w:before="60" w:after="60"/>
              <w:jc w:val="right"/>
              <w:rPr>
                <w:noProof/>
                <w:sz w:val="20"/>
                <w:szCs w:val="20"/>
              </w:rPr>
            </w:pPr>
            <w:r>
              <w:rPr>
                <w:noProof/>
                <w:sz w:val="20"/>
              </w:rPr>
              <w:t>н.п.</w:t>
            </w:r>
          </w:p>
        </w:tc>
        <w:tc>
          <w:tcPr>
            <w:tcW w:w="756" w:type="dxa"/>
            <w:tcBorders>
              <w:top w:val="single" w:sz="8" w:space="0" w:color="auto"/>
              <w:left w:val="single" w:sz="8" w:space="0" w:color="auto"/>
              <w:bottom w:val="single" w:sz="8" w:space="0" w:color="auto"/>
              <w:right w:val="single" w:sz="8" w:space="0" w:color="auto"/>
            </w:tcBorders>
          </w:tcPr>
          <w:p>
            <w:pPr>
              <w:spacing w:before="60" w:after="60"/>
              <w:jc w:val="right"/>
              <w:rPr>
                <w:noProof/>
                <w:sz w:val="20"/>
                <w:szCs w:val="20"/>
              </w:rPr>
            </w:pPr>
            <w:r>
              <w:rPr>
                <w:noProof/>
                <w:sz w:val="20"/>
              </w:rPr>
              <w:t>н.п.</w:t>
            </w:r>
          </w:p>
        </w:tc>
      </w:tr>
    </w:tbl>
    <w:p>
      <w:pPr>
        <w:rPr>
          <w:b/>
          <w:noProof/>
        </w:rPr>
      </w:pPr>
      <w:r>
        <w:rPr>
          <w:b/>
          <w:noProof/>
        </w:rPr>
        <w:t xml:space="preserve">Общо индикативна стойност на интервенцията </w:t>
      </w:r>
    </w:p>
    <w:tbl>
      <w:tblPr>
        <w:tblW w:w="8952" w:type="dxa"/>
        <w:tblInd w:w="312" w:type="dxa"/>
        <w:tblLayout w:type="fixed"/>
        <w:tblLook w:val="0000" w:firstRow="0" w:lastRow="0" w:firstColumn="0" w:lastColumn="0" w:noHBand="0" w:noVBand="0"/>
      </w:tblPr>
      <w:tblGrid>
        <w:gridCol w:w="2335"/>
        <w:gridCol w:w="701"/>
        <w:gridCol w:w="540"/>
        <w:gridCol w:w="720"/>
        <w:gridCol w:w="900"/>
        <w:gridCol w:w="720"/>
        <w:gridCol w:w="720"/>
        <w:gridCol w:w="720"/>
        <w:gridCol w:w="720"/>
        <w:gridCol w:w="876"/>
      </w:tblGrid>
      <w:tr>
        <w:trPr>
          <w:cantSplit/>
        </w:trPr>
        <w:tc>
          <w:tcPr>
            <w:tcW w:w="2335" w:type="dxa"/>
            <w:tcBorders>
              <w:top w:val="double" w:sz="4" w:space="0" w:color="auto"/>
              <w:left w:val="double" w:sz="4" w:space="0" w:color="auto"/>
              <w:bottom w:val="single" w:sz="4" w:space="0" w:color="auto"/>
            </w:tcBorders>
          </w:tcPr>
          <w:p>
            <w:pPr>
              <w:spacing w:before="60" w:after="60"/>
              <w:rPr>
                <w:b/>
                <w:noProof/>
                <w:sz w:val="20"/>
                <w:szCs w:val="20"/>
              </w:rPr>
            </w:pPr>
            <w:r>
              <w:rPr>
                <w:b/>
                <w:noProof/>
                <w:sz w:val="20"/>
              </w:rPr>
              <w:t>ОБЩО БКПЗ, включително разходи за човешки ресурси</w:t>
            </w:r>
          </w:p>
        </w:tc>
        <w:tc>
          <w:tcPr>
            <w:tcW w:w="701" w:type="dxa"/>
            <w:tcBorders>
              <w:top w:val="double" w:sz="4" w:space="0" w:color="auto"/>
              <w:left w:val="single" w:sz="4" w:space="0" w:color="auto"/>
              <w:bottom w:val="single" w:sz="4" w:space="0" w:color="auto"/>
              <w:right w:val="single" w:sz="4" w:space="0" w:color="auto"/>
            </w:tcBorders>
          </w:tcPr>
          <w:p>
            <w:pPr>
              <w:spacing w:before="60" w:after="60"/>
              <w:jc w:val="center"/>
              <w:rPr>
                <w:noProof/>
              </w:rPr>
            </w:pPr>
          </w:p>
        </w:tc>
        <w:tc>
          <w:tcPr>
            <w:tcW w:w="540" w:type="dxa"/>
            <w:tcBorders>
              <w:top w:val="double" w:sz="4" w:space="0" w:color="auto"/>
              <w:left w:val="single" w:sz="4" w:space="0" w:color="auto"/>
              <w:bottom w:val="single" w:sz="4" w:space="0" w:color="auto"/>
            </w:tcBorders>
            <w:vAlign w:val="center"/>
          </w:tcPr>
          <w:p>
            <w:pPr>
              <w:spacing w:before="60" w:after="60"/>
              <w:jc w:val="center"/>
              <w:rPr>
                <w:noProof/>
                <w:sz w:val="20"/>
                <w:szCs w:val="20"/>
              </w:rPr>
            </w:pPr>
            <w:r>
              <w:rPr>
                <w:noProof/>
                <w:sz w:val="20"/>
              </w:rPr>
              <w:t>a+в+г+д</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90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double" w:sz="4"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double" w:sz="4" w:space="0" w:color="auto"/>
              <w:left w:val="single" w:sz="4" w:space="0" w:color="auto"/>
              <w:bottom w:val="single" w:sz="4" w:space="0" w:color="auto"/>
              <w:right w:val="double" w:sz="4" w:space="0" w:color="auto"/>
            </w:tcBorders>
          </w:tcPr>
          <w:p>
            <w:pPr>
              <w:spacing w:before="60" w:after="60"/>
              <w:jc w:val="right"/>
              <w:rPr>
                <w:noProof/>
                <w:sz w:val="20"/>
                <w:szCs w:val="20"/>
              </w:rPr>
            </w:pPr>
            <w:r>
              <w:rPr>
                <w:noProof/>
                <w:sz w:val="20"/>
              </w:rPr>
              <w:t>н.п.</w:t>
            </w:r>
          </w:p>
        </w:tc>
        <w:tc>
          <w:tcPr>
            <w:tcW w:w="876" w:type="dxa"/>
            <w:tcBorders>
              <w:top w:val="double" w:sz="4" w:space="0" w:color="auto"/>
              <w:left w:val="double" w:sz="4" w:space="0" w:color="auto"/>
              <w:bottom w:val="single" w:sz="4" w:space="0" w:color="auto"/>
              <w:right w:val="double" w:sz="4" w:space="0" w:color="auto"/>
            </w:tcBorders>
          </w:tcPr>
          <w:p>
            <w:pPr>
              <w:spacing w:before="60" w:after="60"/>
              <w:jc w:val="right"/>
              <w:rPr>
                <w:noProof/>
                <w:sz w:val="20"/>
                <w:szCs w:val="20"/>
              </w:rPr>
            </w:pPr>
            <w:r>
              <w:rPr>
                <w:noProof/>
                <w:sz w:val="20"/>
              </w:rPr>
              <w:t>н.п.</w:t>
            </w:r>
          </w:p>
        </w:tc>
      </w:tr>
      <w:tr>
        <w:trPr>
          <w:cantSplit/>
        </w:trPr>
        <w:tc>
          <w:tcPr>
            <w:tcW w:w="2335" w:type="dxa"/>
            <w:tcBorders>
              <w:top w:val="single" w:sz="4" w:space="0" w:color="auto"/>
              <w:left w:val="double" w:sz="4" w:space="0" w:color="auto"/>
              <w:bottom w:val="double" w:sz="4" w:space="0" w:color="auto"/>
            </w:tcBorders>
          </w:tcPr>
          <w:p>
            <w:pPr>
              <w:spacing w:before="60" w:after="60"/>
              <w:rPr>
                <w:b/>
                <w:noProof/>
                <w:sz w:val="20"/>
                <w:szCs w:val="20"/>
              </w:rPr>
            </w:pPr>
            <w:r>
              <w:rPr>
                <w:b/>
                <w:noProof/>
                <w:sz w:val="20"/>
              </w:rPr>
              <w:t>ОБЩО БКП, включително разходи за човешки ресурси</w:t>
            </w:r>
          </w:p>
        </w:tc>
        <w:tc>
          <w:tcPr>
            <w:tcW w:w="701" w:type="dxa"/>
            <w:tcBorders>
              <w:top w:val="single" w:sz="4" w:space="0" w:color="auto"/>
              <w:left w:val="single" w:sz="4" w:space="0" w:color="auto"/>
              <w:bottom w:val="double" w:sz="4" w:space="0" w:color="auto"/>
              <w:right w:val="single" w:sz="4" w:space="0" w:color="auto"/>
            </w:tcBorders>
          </w:tcPr>
          <w:p>
            <w:pPr>
              <w:spacing w:before="60" w:after="60"/>
              <w:jc w:val="center"/>
              <w:rPr>
                <w:noProof/>
              </w:rPr>
            </w:pPr>
          </w:p>
        </w:tc>
        <w:tc>
          <w:tcPr>
            <w:tcW w:w="540" w:type="dxa"/>
            <w:tcBorders>
              <w:top w:val="single" w:sz="4" w:space="0" w:color="auto"/>
              <w:left w:val="single" w:sz="4" w:space="0" w:color="auto"/>
              <w:bottom w:val="double" w:sz="4" w:space="0" w:color="auto"/>
            </w:tcBorders>
            <w:vAlign w:val="center"/>
          </w:tcPr>
          <w:p>
            <w:pPr>
              <w:spacing w:before="60" w:after="60"/>
              <w:jc w:val="center"/>
              <w:rPr>
                <w:noProof/>
                <w:sz w:val="20"/>
                <w:szCs w:val="20"/>
              </w:rPr>
            </w:pPr>
            <w:r>
              <w:rPr>
                <w:noProof/>
                <w:sz w:val="20"/>
              </w:rPr>
              <w:t>б+в+г+д</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90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doub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double" w:sz="4" w:space="0" w:color="auto"/>
              <w:right w:val="double" w:sz="4" w:space="0" w:color="auto"/>
            </w:tcBorders>
          </w:tcPr>
          <w:p>
            <w:pPr>
              <w:spacing w:before="60" w:after="60"/>
              <w:jc w:val="right"/>
              <w:rPr>
                <w:noProof/>
                <w:sz w:val="20"/>
                <w:szCs w:val="20"/>
              </w:rPr>
            </w:pPr>
            <w:r>
              <w:rPr>
                <w:noProof/>
                <w:sz w:val="20"/>
              </w:rPr>
              <w:t>н.п.</w:t>
            </w:r>
          </w:p>
        </w:tc>
        <w:tc>
          <w:tcPr>
            <w:tcW w:w="876" w:type="dxa"/>
            <w:tcBorders>
              <w:top w:val="single" w:sz="4" w:space="0" w:color="auto"/>
              <w:left w:val="double" w:sz="4" w:space="0" w:color="auto"/>
              <w:bottom w:val="double" w:sz="4" w:space="0" w:color="auto"/>
              <w:right w:val="double" w:sz="4" w:space="0" w:color="auto"/>
            </w:tcBorders>
          </w:tcPr>
          <w:p>
            <w:pPr>
              <w:spacing w:before="60" w:after="60"/>
              <w:jc w:val="right"/>
              <w:rPr>
                <w:noProof/>
                <w:sz w:val="20"/>
                <w:szCs w:val="20"/>
              </w:rPr>
            </w:pPr>
            <w:r>
              <w:rPr>
                <w:noProof/>
                <w:sz w:val="20"/>
              </w:rPr>
              <w:t>н.п.</w:t>
            </w:r>
          </w:p>
        </w:tc>
      </w:tr>
    </w:tbl>
    <w:p>
      <w:pPr>
        <w:rPr>
          <w:b/>
          <w:noProof/>
        </w:rPr>
        <w:sectPr>
          <w:pgSz w:w="12240" w:h="15840"/>
          <w:pgMar w:top="1440" w:right="1800" w:bottom="1440" w:left="1800" w:header="708" w:footer="708" w:gutter="0"/>
          <w:cols w:space="708"/>
          <w:docGrid w:linePitch="360"/>
        </w:sectPr>
      </w:pPr>
    </w:p>
    <w:p>
      <w:pPr>
        <w:rPr>
          <w:b/>
          <w:noProof/>
        </w:rPr>
      </w:pPr>
      <w:r>
        <w:rPr>
          <w:b/>
          <w:noProof/>
        </w:rPr>
        <w:t>Подробности за съфинансирането</w:t>
      </w:r>
    </w:p>
    <w:p>
      <w:pPr>
        <w:jc w:val="right"/>
        <w:rPr>
          <w:i/>
          <w:noProof/>
          <w:sz w:val="20"/>
          <w:szCs w:val="20"/>
        </w:rPr>
      </w:pPr>
      <w:r>
        <w:rPr>
          <w:i/>
          <w:noProof/>
          <w:sz w:val="20"/>
        </w:rPr>
        <w:t>в млн. евро (до третия знак след десетичната запетая)</w:t>
      </w:r>
    </w:p>
    <w:tbl>
      <w:tblPr>
        <w:tblW w:w="8076" w:type="dxa"/>
        <w:tblInd w:w="312" w:type="dxa"/>
        <w:tblLayout w:type="fixed"/>
        <w:tblLook w:val="0000" w:firstRow="0" w:lastRow="0" w:firstColumn="0" w:lastColumn="0" w:noHBand="0" w:noVBand="0"/>
      </w:tblPr>
      <w:tblGrid>
        <w:gridCol w:w="2335"/>
        <w:gridCol w:w="584"/>
        <w:gridCol w:w="681"/>
        <w:gridCol w:w="720"/>
        <w:gridCol w:w="720"/>
        <w:gridCol w:w="720"/>
        <w:gridCol w:w="720"/>
        <w:gridCol w:w="720"/>
        <w:gridCol w:w="876"/>
      </w:tblGrid>
      <w:tr>
        <w:trPr>
          <w:cantSplit/>
        </w:trPr>
        <w:tc>
          <w:tcPr>
            <w:tcW w:w="2335" w:type="dxa"/>
            <w:tcBorders>
              <w:top w:val="single" w:sz="12" w:space="0" w:color="auto"/>
              <w:left w:val="single" w:sz="12" w:space="0" w:color="auto"/>
              <w:bottom w:val="single" w:sz="12" w:space="0" w:color="auto"/>
              <w:right w:val="single" w:sz="12" w:space="0" w:color="auto"/>
            </w:tcBorders>
          </w:tcPr>
          <w:p>
            <w:pPr>
              <w:spacing w:before="60" w:after="60"/>
              <w:rPr>
                <w:noProof/>
                <w:sz w:val="20"/>
                <w:szCs w:val="20"/>
              </w:rPr>
            </w:pPr>
            <w:r>
              <w:rPr>
                <w:noProof/>
                <w:sz w:val="20"/>
              </w:rPr>
              <w:t>Съфинансиращ орган</w:t>
            </w:r>
          </w:p>
        </w:tc>
        <w:tc>
          <w:tcPr>
            <w:tcW w:w="584" w:type="dxa"/>
            <w:tcBorders>
              <w:top w:val="single" w:sz="12" w:space="0" w:color="auto"/>
              <w:left w:val="single" w:sz="12" w:space="0" w:color="auto"/>
              <w:bottom w:val="single" w:sz="12" w:space="0" w:color="auto"/>
              <w:right w:val="single" w:sz="12" w:space="0" w:color="auto"/>
            </w:tcBorders>
            <w:vAlign w:val="center"/>
          </w:tcPr>
          <w:p>
            <w:pPr>
              <w:spacing w:before="60" w:after="60"/>
              <w:jc w:val="center"/>
              <w:rPr>
                <w:noProof/>
                <w:sz w:val="20"/>
                <w:szCs w:val="20"/>
              </w:rPr>
            </w:pPr>
          </w:p>
        </w:tc>
        <w:tc>
          <w:tcPr>
            <w:tcW w:w="681"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Година n</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+ 1</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+ 2</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+ 3</w:t>
            </w:r>
          </w:p>
        </w:tc>
        <w:tc>
          <w:tcPr>
            <w:tcW w:w="720"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n + 4</w:t>
            </w:r>
          </w:p>
        </w:tc>
        <w:tc>
          <w:tcPr>
            <w:tcW w:w="720" w:type="dxa"/>
            <w:tcBorders>
              <w:top w:val="single" w:sz="12" w:space="0" w:color="auto"/>
              <w:left w:val="single" w:sz="12" w:space="0" w:color="auto"/>
              <w:bottom w:val="single" w:sz="12" w:space="0" w:color="auto"/>
              <w:right w:val="single" w:sz="12" w:space="0" w:color="auto"/>
            </w:tcBorders>
            <w:vAlign w:val="center"/>
          </w:tcPr>
          <w:p>
            <w:pPr>
              <w:spacing w:before="60" w:after="60"/>
              <w:rPr>
                <w:noProof/>
                <w:sz w:val="20"/>
                <w:szCs w:val="20"/>
              </w:rPr>
            </w:pPr>
            <w:r>
              <w:rPr>
                <w:noProof/>
                <w:sz w:val="20"/>
              </w:rPr>
              <w:t>n + 5 и следващите</w:t>
            </w:r>
          </w:p>
        </w:tc>
        <w:tc>
          <w:tcPr>
            <w:tcW w:w="876" w:type="dxa"/>
            <w:tcBorders>
              <w:top w:val="single" w:sz="12" w:space="0" w:color="auto"/>
              <w:left w:val="single" w:sz="12" w:space="0" w:color="auto"/>
              <w:bottom w:val="single" w:sz="12" w:space="0" w:color="auto"/>
              <w:right w:val="single" w:sz="12" w:space="0" w:color="auto"/>
            </w:tcBorders>
          </w:tcPr>
          <w:p>
            <w:pPr>
              <w:jc w:val="center"/>
              <w:rPr>
                <w:noProof/>
                <w:sz w:val="20"/>
                <w:szCs w:val="20"/>
              </w:rPr>
            </w:pPr>
          </w:p>
          <w:p>
            <w:pPr>
              <w:spacing w:before="60" w:after="60"/>
              <w:rPr>
                <w:noProof/>
                <w:sz w:val="20"/>
                <w:szCs w:val="20"/>
              </w:rPr>
            </w:pPr>
            <w:r>
              <w:rPr>
                <w:noProof/>
                <w:sz w:val="20"/>
              </w:rPr>
              <w:t>Общо</w:t>
            </w:r>
          </w:p>
        </w:tc>
      </w:tr>
      <w:tr>
        <w:trPr>
          <w:cantSplit/>
        </w:trPr>
        <w:tc>
          <w:tcPr>
            <w:tcW w:w="2335" w:type="dxa"/>
            <w:tcBorders>
              <w:top w:val="single" w:sz="12" w:space="0" w:color="auto"/>
              <w:left w:val="single" w:sz="12" w:space="0" w:color="auto"/>
              <w:bottom w:val="single" w:sz="4" w:space="0" w:color="auto"/>
              <w:right w:val="single" w:sz="4" w:space="0" w:color="auto"/>
            </w:tcBorders>
          </w:tcPr>
          <w:p>
            <w:pPr>
              <w:spacing w:before="60" w:after="60"/>
              <w:rPr>
                <w:noProof/>
                <w:sz w:val="20"/>
                <w:szCs w:val="20"/>
              </w:rPr>
            </w:pPr>
            <w:r>
              <w:rPr>
                <w:noProof/>
                <w:sz w:val="20"/>
              </w:rPr>
              <w:t>……………………</w:t>
            </w:r>
          </w:p>
        </w:tc>
        <w:tc>
          <w:tcPr>
            <w:tcW w:w="584" w:type="dxa"/>
            <w:tcBorders>
              <w:top w:val="single" w:sz="12" w:space="0" w:color="auto"/>
              <w:left w:val="single" w:sz="4" w:space="0" w:color="auto"/>
              <w:bottom w:val="single" w:sz="4" w:space="0" w:color="auto"/>
              <w:right w:val="single" w:sz="4" w:space="0" w:color="auto"/>
            </w:tcBorders>
            <w:vAlign w:val="center"/>
          </w:tcPr>
          <w:p>
            <w:pPr>
              <w:spacing w:before="60" w:after="60"/>
              <w:jc w:val="center"/>
              <w:rPr>
                <w:noProof/>
                <w:sz w:val="20"/>
                <w:szCs w:val="20"/>
              </w:rPr>
            </w:pPr>
            <w:r>
              <w:rPr>
                <w:noProof/>
                <w:sz w:val="20"/>
              </w:rPr>
              <w:t>е</w:t>
            </w:r>
          </w:p>
        </w:tc>
        <w:tc>
          <w:tcPr>
            <w:tcW w:w="681"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12" w:space="0" w:color="auto"/>
              <w:left w:val="single" w:sz="4" w:space="0" w:color="auto"/>
              <w:bottom w:val="single" w:sz="4" w:space="0" w:color="auto"/>
              <w:right w:val="single" w:sz="12" w:space="0" w:color="auto"/>
            </w:tcBorders>
          </w:tcPr>
          <w:p>
            <w:pPr>
              <w:spacing w:before="60" w:after="60"/>
              <w:jc w:val="right"/>
              <w:rPr>
                <w:noProof/>
                <w:sz w:val="20"/>
                <w:szCs w:val="20"/>
              </w:rPr>
            </w:pPr>
            <w:r>
              <w:rPr>
                <w:noProof/>
                <w:sz w:val="20"/>
              </w:rPr>
              <w:t>н.п.</w:t>
            </w:r>
          </w:p>
        </w:tc>
        <w:tc>
          <w:tcPr>
            <w:tcW w:w="876" w:type="dxa"/>
            <w:tcBorders>
              <w:top w:val="single" w:sz="12" w:space="0" w:color="auto"/>
              <w:left w:val="nil"/>
              <w:bottom w:val="single" w:sz="12" w:space="0" w:color="auto"/>
              <w:right w:val="single" w:sz="12" w:space="0" w:color="auto"/>
            </w:tcBorders>
          </w:tcPr>
          <w:p>
            <w:pPr>
              <w:spacing w:before="60" w:after="60"/>
              <w:jc w:val="right"/>
              <w:rPr>
                <w:noProof/>
                <w:sz w:val="20"/>
                <w:szCs w:val="20"/>
              </w:rPr>
            </w:pPr>
            <w:r>
              <w:rPr>
                <w:noProof/>
                <w:sz w:val="20"/>
              </w:rPr>
              <w:t>н.п.</w:t>
            </w:r>
          </w:p>
        </w:tc>
      </w:tr>
      <w:tr>
        <w:trPr>
          <w:cantSplit/>
        </w:trPr>
        <w:tc>
          <w:tcPr>
            <w:tcW w:w="2335" w:type="dxa"/>
            <w:tcBorders>
              <w:top w:val="single" w:sz="4" w:space="0" w:color="auto"/>
              <w:left w:val="single" w:sz="12" w:space="0" w:color="auto"/>
              <w:bottom w:val="single" w:sz="12" w:space="0" w:color="auto"/>
              <w:right w:val="single" w:sz="4" w:space="0" w:color="auto"/>
            </w:tcBorders>
          </w:tcPr>
          <w:p>
            <w:pPr>
              <w:spacing w:before="60" w:after="60"/>
              <w:rPr>
                <w:noProof/>
                <w:sz w:val="20"/>
                <w:szCs w:val="20"/>
              </w:rPr>
            </w:pPr>
            <w:r>
              <w:rPr>
                <w:noProof/>
                <w:sz w:val="20"/>
              </w:rPr>
              <w:t>ОБЩО БКПЗ, включително съфинансиране</w:t>
            </w:r>
          </w:p>
        </w:tc>
        <w:tc>
          <w:tcPr>
            <w:tcW w:w="584" w:type="dxa"/>
            <w:tcBorders>
              <w:top w:val="single" w:sz="4" w:space="0" w:color="auto"/>
              <w:left w:val="single" w:sz="4" w:space="0" w:color="auto"/>
              <w:bottom w:val="single" w:sz="12" w:space="0" w:color="auto"/>
              <w:right w:val="single" w:sz="4" w:space="0" w:color="auto"/>
            </w:tcBorders>
            <w:vAlign w:val="center"/>
          </w:tcPr>
          <w:p>
            <w:pPr>
              <w:spacing w:before="60" w:after="60"/>
              <w:jc w:val="center"/>
              <w:rPr>
                <w:noProof/>
                <w:sz w:val="20"/>
                <w:szCs w:val="20"/>
              </w:rPr>
            </w:pPr>
            <w:r>
              <w:rPr>
                <w:noProof/>
                <w:sz w:val="20"/>
              </w:rPr>
              <w:t>а+в+г+д+е</w:t>
            </w:r>
          </w:p>
        </w:tc>
        <w:tc>
          <w:tcPr>
            <w:tcW w:w="681"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4" w:space="0" w:color="auto"/>
            </w:tcBorders>
          </w:tcPr>
          <w:p>
            <w:pPr>
              <w:spacing w:before="60" w:after="60"/>
              <w:jc w:val="right"/>
              <w:rPr>
                <w:noProof/>
                <w:sz w:val="20"/>
                <w:szCs w:val="20"/>
              </w:rPr>
            </w:pPr>
            <w:r>
              <w:rPr>
                <w:noProof/>
                <w:sz w:val="20"/>
              </w:rPr>
              <w:t>н.п.</w:t>
            </w:r>
          </w:p>
        </w:tc>
        <w:tc>
          <w:tcPr>
            <w:tcW w:w="720" w:type="dxa"/>
            <w:tcBorders>
              <w:top w:val="single" w:sz="4" w:space="0" w:color="auto"/>
              <w:left w:val="single" w:sz="4" w:space="0" w:color="auto"/>
              <w:bottom w:val="single" w:sz="12" w:space="0" w:color="auto"/>
              <w:right w:val="single" w:sz="12" w:space="0" w:color="auto"/>
            </w:tcBorders>
          </w:tcPr>
          <w:p>
            <w:pPr>
              <w:spacing w:before="60" w:after="60"/>
              <w:jc w:val="right"/>
              <w:rPr>
                <w:noProof/>
                <w:sz w:val="20"/>
                <w:szCs w:val="20"/>
              </w:rPr>
            </w:pPr>
            <w:r>
              <w:rPr>
                <w:noProof/>
                <w:sz w:val="20"/>
              </w:rPr>
              <w:t>н.п.</w:t>
            </w:r>
          </w:p>
        </w:tc>
        <w:tc>
          <w:tcPr>
            <w:tcW w:w="876" w:type="dxa"/>
            <w:tcBorders>
              <w:top w:val="single" w:sz="12" w:space="0" w:color="auto"/>
              <w:left w:val="nil"/>
              <w:bottom w:val="single" w:sz="12" w:space="0" w:color="auto"/>
              <w:right w:val="single" w:sz="12" w:space="0" w:color="auto"/>
            </w:tcBorders>
          </w:tcPr>
          <w:p>
            <w:pPr>
              <w:spacing w:before="60" w:after="60"/>
              <w:jc w:val="right"/>
              <w:rPr>
                <w:noProof/>
                <w:sz w:val="20"/>
                <w:szCs w:val="20"/>
              </w:rPr>
            </w:pPr>
            <w:r>
              <w:rPr>
                <w:noProof/>
                <w:sz w:val="20"/>
              </w:rPr>
              <w:t>н.п.</w:t>
            </w:r>
          </w:p>
        </w:tc>
      </w:tr>
    </w:tbl>
    <w:p>
      <w:pPr>
        <w:pStyle w:val="ManualHeading3"/>
        <w:spacing w:before="360"/>
        <w:ind w:left="851" w:hanging="851"/>
        <w:rPr>
          <w:noProof/>
        </w:rPr>
      </w:pPr>
      <w:r>
        <w:rPr>
          <w:noProof/>
        </w:rPr>
        <w:t>4.1.2.</w:t>
      </w:r>
      <w:r>
        <w:rPr>
          <w:noProof/>
        </w:rPr>
        <w:tab/>
        <w:t>Съвместимост с финансовото планиране</w:t>
      </w:r>
    </w:p>
    <w:p>
      <w:pPr>
        <w:pStyle w:val="Point1"/>
        <w:rPr>
          <w:noProof/>
        </w:rPr>
      </w:pPr>
      <w:r>
        <w:rPr>
          <w:noProof/>
        </w:rPr>
        <w:sym w:font="Wingdings" w:char="F078"/>
      </w:r>
      <w:r>
        <w:rPr>
          <w:noProof/>
        </w:rPr>
        <w:tab/>
        <w:t>Предложението е съвместимо със съществуващото финансово планиране.</w:t>
      </w:r>
    </w:p>
    <w:p>
      <w:pPr>
        <w:pStyle w:val="Text1"/>
        <w:rPr>
          <w:noProof/>
        </w:rPr>
      </w:pPr>
      <w:r>
        <w:rPr>
          <w:noProof/>
        </w:rPr>
        <w:sym w:font="Wingdings" w:char="F0A8"/>
      </w:r>
      <w:r>
        <w:rPr>
          <w:noProof/>
        </w:rPr>
        <w:tab/>
        <w:t>Предложението налага препрограмиране на съответната функция във финансовата перспектива.</w:t>
      </w:r>
    </w:p>
    <w:p>
      <w:pPr>
        <w:pStyle w:val="Text1"/>
        <w:spacing w:after="240"/>
        <w:rPr>
          <w:noProof/>
        </w:rPr>
      </w:pPr>
      <w:r>
        <w:rPr>
          <w:noProof/>
        </w:rPr>
        <w:sym w:font="Wingdings" w:char="F0A8"/>
      </w:r>
      <w:r>
        <w:rPr>
          <w:noProof/>
        </w:rPr>
        <w:tab/>
        <w:t>Предложението може да изисква прилагането на разпоредби от Междуинституционалното споразумение</w:t>
      </w:r>
      <w:r>
        <w:rPr>
          <w:rStyle w:val="FootnoteReference"/>
          <w:noProof/>
        </w:rPr>
        <w:footnoteReference w:id="9"/>
      </w:r>
      <w:r>
        <w:rPr>
          <w:noProof/>
        </w:rPr>
        <w:t xml:space="preserve"> (т.е. инструмент за гъвкавост или преразглеждане на финансовата перспектива).</w:t>
      </w:r>
    </w:p>
    <w:p>
      <w:pPr>
        <w:pStyle w:val="ManualHeading3"/>
        <w:rPr>
          <w:noProof/>
        </w:rPr>
      </w:pPr>
      <w:r>
        <w:rPr>
          <w:noProof/>
        </w:rPr>
        <w:t>4.1.3.</w:t>
      </w:r>
      <w:r>
        <w:rPr>
          <w:noProof/>
        </w:rPr>
        <w:tab/>
        <w:t>Финансово отражение върху приходите</w:t>
      </w:r>
    </w:p>
    <w:p>
      <w:pPr>
        <w:pStyle w:val="Text1"/>
        <w:rPr>
          <w:noProof/>
        </w:rPr>
      </w:pPr>
      <w:r>
        <w:rPr>
          <w:noProof/>
        </w:rPr>
        <w:sym w:font="Wingdings" w:char="F078"/>
      </w:r>
      <w:r>
        <w:rPr>
          <w:noProof/>
        </w:rPr>
        <w:tab/>
        <w:t>Предложението няма финансово отражение върху приходите.</w:t>
      </w:r>
    </w:p>
    <w:p>
      <w:pPr>
        <w:pStyle w:val="Text1"/>
        <w:rPr>
          <w:noProof/>
        </w:rPr>
      </w:pPr>
      <w:r>
        <w:rPr>
          <w:noProof/>
        </w:rPr>
        <w:sym w:font="Wingdings" w:char="F0A8"/>
      </w:r>
      <w:r>
        <w:rPr>
          <w:noProof/>
        </w:rPr>
        <w:tab/>
        <w:t>Предложението има финансово отражение – отражението върху приходите е следното:</w:t>
      </w:r>
    </w:p>
    <w:p>
      <w:pPr>
        <w:pStyle w:val="NormalRight"/>
        <w:rPr>
          <w:i/>
          <w:noProof/>
          <w:sz w:val="20"/>
        </w:rPr>
      </w:pPr>
      <w:r>
        <w:rPr>
          <w:i/>
          <w:noProof/>
          <w:sz w:val="20"/>
        </w:rPr>
        <w:t>в млн. евро (до първия знак след десетичната запетая)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4"/>
        <w:gridCol w:w="2268"/>
        <w:gridCol w:w="685"/>
        <w:gridCol w:w="141"/>
        <w:gridCol w:w="647"/>
        <w:gridCol w:w="648"/>
        <w:gridCol w:w="648"/>
        <w:gridCol w:w="647"/>
        <w:gridCol w:w="648"/>
        <w:gridCol w:w="648"/>
      </w:tblGrid>
      <w:tr>
        <w:trPr>
          <w:cantSplit/>
        </w:trPr>
        <w:tc>
          <w:tcPr>
            <w:tcW w:w="964" w:type="dxa"/>
            <w:tcBorders>
              <w:right w:val="nil"/>
            </w:tcBorders>
          </w:tcPr>
          <w:p>
            <w:pPr>
              <w:rPr>
                <w:noProof/>
                <w:sz w:val="18"/>
              </w:rPr>
            </w:pPr>
          </w:p>
        </w:tc>
        <w:tc>
          <w:tcPr>
            <w:tcW w:w="2268" w:type="dxa"/>
            <w:tcBorders>
              <w:left w:val="nil"/>
            </w:tcBorders>
          </w:tcPr>
          <w:p>
            <w:pPr>
              <w:rPr>
                <w:noProof/>
                <w:sz w:val="18"/>
              </w:rPr>
            </w:pPr>
          </w:p>
        </w:tc>
        <w:tc>
          <w:tcPr>
            <w:tcW w:w="685" w:type="dxa"/>
            <w:vMerge w:val="restart"/>
            <w:tcBorders>
              <w:left w:val="nil"/>
              <w:bottom w:val="nil"/>
            </w:tcBorders>
          </w:tcPr>
          <w:p>
            <w:pPr>
              <w:jc w:val="center"/>
              <w:rPr>
                <w:noProof/>
                <w:sz w:val="16"/>
              </w:rPr>
            </w:pPr>
            <w:r>
              <w:rPr>
                <w:noProof/>
                <w:sz w:val="16"/>
              </w:rPr>
              <w:t>Преди</w:t>
            </w:r>
            <w:r>
              <w:rPr>
                <w:noProof/>
                <w:sz w:val="16"/>
              </w:rPr>
              <w:br/>
              <w:t xml:space="preserve">действието </w:t>
            </w:r>
            <w:r>
              <w:rPr>
                <w:noProof/>
                <w:sz w:val="16"/>
              </w:rPr>
              <w:br/>
            </w:r>
            <w:r>
              <w:rPr>
                <w:noProof/>
              </w:rPr>
              <w:t>[година n-1]</w:t>
            </w:r>
          </w:p>
        </w:tc>
        <w:tc>
          <w:tcPr>
            <w:tcW w:w="141" w:type="dxa"/>
            <w:tcBorders>
              <w:left w:val="nil"/>
              <w:bottom w:val="nil"/>
              <w:right w:val="nil"/>
            </w:tcBorders>
          </w:tcPr>
          <w:p>
            <w:pPr>
              <w:jc w:val="center"/>
              <w:rPr>
                <w:noProof/>
                <w:sz w:val="18"/>
              </w:rPr>
            </w:pPr>
          </w:p>
        </w:tc>
        <w:tc>
          <w:tcPr>
            <w:tcW w:w="3886" w:type="dxa"/>
            <w:gridSpan w:val="6"/>
            <w:tcBorders>
              <w:bottom w:val="nil"/>
            </w:tcBorders>
          </w:tcPr>
          <w:p>
            <w:pPr>
              <w:jc w:val="center"/>
              <w:rPr>
                <w:noProof/>
                <w:sz w:val="18"/>
              </w:rPr>
            </w:pPr>
            <w:r>
              <w:rPr>
                <w:noProof/>
                <w:sz w:val="18"/>
              </w:rPr>
              <w:t>Положение след действието</w:t>
            </w:r>
          </w:p>
        </w:tc>
      </w:tr>
      <w:tr>
        <w:trPr>
          <w:cantSplit/>
        </w:trPr>
        <w:tc>
          <w:tcPr>
            <w:tcW w:w="964" w:type="dxa"/>
            <w:tcBorders>
              <w:top w:val="nil"/>
              <w:bottom w:val="nil"/>
            </w:tcBorders>
          </w:tcPr>
          <w:p>
            <w:pPr>
              <w:rPr>
                <w:noProof/>
                <w:sz w:val="18"/>
              </w:rPr>
            </w:pPr>
            <w:r>
              <w:rPr>
                <w:noProof/>
                <w:sz w:val="18"/>
              </w:rPr>
              <w:t>Бюджетен ред</w:t>
            </w:r>
          </w:p>
        </w:tc>
        <w:tc>
          <w:tcPr>
            <w:tcW w:w="2268" w:type="dxa"/>
            <w:tcBorders>
              <w:top w:val="nil"/>
              <w:left w:val="nil"/>
              <w:bottom w:val="nil"/>
            </w:tcBorders>
          </w:tcPr>
          <w:p>
            <w:pPr>
              <w:jc w:val="center"/>
              <w:rPr>
                <w:noProof/>
                <w:sz w:val="18"/>
              </w:rPr>
            </w:pPr>
            <w:r>
              <w:rPr>
                <w:noProof/>
                <w:sz w:val="18"/>
              </w:rPr>
              <w:t>Приходи</w:t>
            </w:r>
          </w:p>
        </w:tc>
        <w:tc>
          <w:tcPr>
            <w:tcW w:w="685" w:type="dxa"/>
            <w:vMerge/>
            <w:tcBorders>
              <w:bottom w:val="nil"/>
            </w:tcBorders>
          </w:tcPr>
          <w:p>
            <w:pPr>
              <w:jc w:val="center"/>
              <w:rPr>
                <w:noProof/>
                <w:sz w:val="18"/>
              </w:rPr>
            </w:pPr>
          </w:p>
        </w:tc>
        <w:tc>
          <w:tcPr>
            <w:tcW w:w="141" w:type="dxa"/>
            <w:tcBorders>
              <w:top w:val="nil"/>
              <w:left w:val="nil"/>
              <w:bottom w:val="nil"/>
              <w:right w:val="nil"/>
            </w:tcBorders>
          </w:tcPr>
          <w:p>
            <w:pPr>
              <w:jc w:val="center"/>
              <w:rPr>
                <w:noProof/>
                <w:sz w:val="18"/>
              </w:rPr>
            </w:pPr>
          </w:p>
        </w:tc>
        <w:tc>
          <w:tcPr>
            <w:tcW w:w="647" w:type="dxa"/>
            <w:tcBorders>
              <w:bottom w:val="nil"/>
            </w:tcBorders>
          </w:tcPr>
          <w:p>
            <w:pPr>
              <w:jc w:val="center"/>
              <w:rPr>
                <w:noProof/>
                <w:sz w:val="18"/>
              </w:rPr>
            </w:pPr>
            <w:r>
              <w:rPr>
                <w:noProof/>
              </w:rPr>
              <w:t>[Година n]</w:t>
            </w:r>
          </w:p>
        </w:tc>
        <w:tc>
          <w:tcPr>
            <w:tcW w:w="648" w:type="dxa"/>
            <w:tcBorders>
              <w:bottom w:val="nil"/>
            </w:tcBorders>
          </w:tcPr>
          <w:p>
            <w:pPr>
              <w:jc w:val="center"/>
              <w:rPr>
                <w:noProof/>
                <w:sz w:val="18"/>
              </w:rPr>
            </w:pPr>
            <w:r>
              <w:rPr>
                <w:noProof/>
              </w:rPr>
              <w:t>[n+1]</w:t>
            </w:r>
          </w:p>
        </w:tc>
        <w:tc>
          <w:tcPr>
            <w:tcW w:w="648" w:type="dxa"/>
            <w:tcBorders>
              <w:bottom w:val="nil"/>
            </w:tcBorders>
          </w:tcPr>
          <w:p>
            <w:pPr>
              <w:jc w:val="center"/>
              <w:rPr>
                <w:noProof/>
                <w:sz w:val="18"/>
              </w:rPr>
            </w:pPr>
            <w:r>
              <w:rPr>
                <w:noProof/>
              </w:rPr>
              <w:t>[n+2]</w:t>
            </w:r>
          </w:p>
        </w:tc>
        <w:tc>
          <w:tcPr>
            <w:tcW w:w="647" w:type="dxa"/>
            <w:tcBorders>
              <w:bottom w:val="nil"/>
            </w:tcBorders>
          </w:tcPr>
          <w:p>
            <w:pPr>
              <w:jc w:val="center"/>
              <w:rPr>
                <w:noProof/>
                <w:sz w:val="18"/>
              </w:rPr>
            </w:pPr>
            <w:r>
              <w:rPr>
                <w:noProof/>
              </w:rPr>
              <w:t>[n+3]</w:t>
            </w:r>
          </w:p>
        </w:tc>
        <w:tc>
          <w:tcPr>
            <w:tcW w:w="648" w:type="dxa"/>
            <w:tcBorders>
              <w:bottom w:val="nil"/>
            </w:tcBorders>
          </w:tcPr>
          <w:p>
            <w:pPr>
              <w:jc w:val="center"/>
              <w:rPr>
                <w:noProof/>
                <w:sz w:val="18"/>
              </w:rPr>
            </w:pPr>
            <w:r>
              <w:rPr>
                <w:noProof/>
              </w:rPr>
              <w:t>[n+4]</w:t>
            </w:r>
          </w:p>
        </w:tc>
        <w:tc>
          <w:tcPr>
            <w:tcW w:w="648" w:type="dxa"/>
            <w:tcBorders>
              <w:bottom w:val="nil"/>
            </w:tcBorders>
          </w:tcPr>
          <w:p>
            <w:pPr>
              <w:jc w:val="center"/>
              <w:rPr>
                <w:noProof/>
                <w:sz w:val="18"/>
              </w:rPr>
            </w:pPr>
            <w:r>
              <w:rPr>
                <w:noProof/>
              </w:rPr>
              <w:t>[n+5]</w:t>
            </w:r>
            <w:r>
              <w:rPr>
                <w:rStyle w:val="FootnoteReference"/>
                <w:noProof/>
              </w:rPr>
              <w:footnoteReference w:id="10"/>
            </w:r>
          </w:p>
        </w:tc>
      </w:tr>
      <w:tr>
        <w:trPr>
          <w:cantSplit/>
        </w:trPr>
        <w:tc>
          <w:tcPr>
            <w:tcW w:w="964" w:type="dxa"/>
            <w:vMerge w:val="restart"/>
            <w:tcBorders>
              <w:top w:val="double" w:sz="4" w:space="0" w:color="auto"/>
              <w:left w:val="double" w:sz="4" w:space="0" w:color="auto"/>
              <w:bottom w:val="nil"/>
              <w:right w:val="nil"/>
            </w:tcBorders>
          </w:tcPr>
          <w:p>
            <w:pPr>
              <w:jc w:val="center"/>
              <w:rPr>
                <w:noProof/>
                <w:sz w:val="16"/>
              </w:rPr>
            </w:pPr>
          </w:p>
        </w:tc>
        <w:tc>
          <w:tcPr>
            <w:tcW w:w="2268" w:type="dxa"/>
            <w:tcBorders>
              <w:top w:val="double" w:sz="4" w:space="0" w:color="auto"/>
              <w:bottom w:val="nil"/>
            </w:tcBorders>
          </w:tcPr>
          <w:p>
            <w:pPr>
              <w:rPr>
                <w:i/>
                <w:noProof/>
                <w:sz w:val="18"/>
              </w:rPr>
            </w:pPr>
            <w:r>
              <w:rPr>
                <w:i/>
                <w:noProof/>
                <w:sz w:val="18"/>
              </w:rPr>
              <w:t>а) Абсолютна стойност на приходите</w:t>
            </w:r>
          </w:p>
        </w:tc>
        <w:tc>
          <w:tcPr>
            <w:tcW w:w="685" w:type="dxa"/>
            <w:tcBorders>
              <w:top w:val="double" w:sz="4" w:space="0" w:color="auto"/>
              <w:left w:val="nil"/>
              <w:bottom w:val="nil"/>
              <w:right w:val="double" w:sz="4" w:space="0" w:color="auto"/>
            </w:tcBorders>
          </w:tcPr>
          <w:p>
            <w:pPr>
              <w:rPr>
                <w:noProof/>
              </w:rPr>
            </w:pPr>
          </w:p>
        </w:tc>
        <w:tc>
          <w:tcPr>
            <w:tcW w:w="141" w:type="dxa"/>
            <w:tcBorders>
              <w:top w:val="nil"/>
              <w:left w:val="nil"/>
              <w:bottom w:val="nil"/>
              <w:right w:val="nil"/>
            </w:tcBorders>
          </w:tcPr>
          <w:p>
            <w:pPr>
              <w:rPr>
                <w:noProof/>
              </w:rPr>
            </w:pPr>
          </w:p>
        </w:tc>
        <w:tc>
          <w:tcPr>
            <w:tcW w:w="647" w:type="dxa"/>
            <w:tcBorders>
              <w:bottom w:val="nil"/>
            </w:tcBorders>
          </w:tcPr>
          <w:p>
            <w:pPr>
              <w:jc w:val="right"/>
              <w:rPr>
                <w:noProof/>
                <w:sz w:val="20"/>
                <w:szCs w:val="20"/>
              </w:rPr>
            </w:pPr>
            <w:r>
              <w:rPr>
                <w:noProof/>
                <w:sz w:val="20"/>
              </w:rPr>
              <w:t>н.п.</w:t>
            </w:r>
          </w:p>
        </w:tc>
        <w:tc>
          <w:tcPr>
            <w:tcW w:w="648" w:type="dxa"/>
            <w:tcBorders>
              <w:bottom w:val="nil"/>
            </w:tcBorders>
          </w:tcPr>
          <w:p>
            <w:pPr>
              <w:jc w:val="right"/>
              <w:rPr>
                <w:noProof/>
                <w:sz w:val="20"/>
                <w:szCs w:val="20"/>
              </w:rPr>
            </w:pPr>
            <w:r>
              <w:rPr>
                <w:noProof/>
                <w:sz w:val="20"/>
              </w:rPr>
              <w:t>н.п.</w:t>
            </w:r>
          </w:p>
        </w:tc>
        <w:tc>
          <w:tcPr>
            <w:tcW w:w="648" w:type="dxa"/>
            <w:tcBorders>
              <w:bottom w:val="nil"/>
            </w:tcBorders>
          </w:tcPr>
          <w:p>
            <w:pPr>
              <w:jc w:val="right"/>
              <w:rPr>
                <w:noProof/>
                <w:sz w:val="20"/>
                <w:szCs w:val="20"/>
              </w:rPr>
            </w:pPr>
            <w:r>
              <w:rPr>
                <w:noProof/>
                <w:sz w:val="20"/>
              </w:rPr>
              <w:t>н.п.</w:t>
            </w:r>
          </w:p>
        </w:tc>
        <w:tc>
          <w:tcPr>
            <w:tcW w:w="647" w:type="dxa"/>
            <w:tcBorders>
              <w:bottom w:val="nil"/>
            </w:tcBorders>
          </w:tcPr>
          <w:p>
            <w:pPr>
              <w:jc w:val="right"/>
              <w:rPr>
                <w:noProof/>
                <w:sz w:val="20"/>
                <w:szCs w:val="20"/>
              </w:rPr>
            </w:pPr>
            <w:r>
              <w:rPr>
                <w:noProof/>
                <w:sz w:val="20"/>
              </w:rPr>
              <w:t>н.п.</w:t>
            </w:r>
          </w:p>
        </w:tc>
        <w:tc>
          <w:tcPr>
            <w:tcW w:w="648" w:type="dxa"/>
            <w:tcBorders>
              <w:bottom w:val="nil"/>
            </w:tcBorders>
          </w:tcPr>
          <w:p>
            <w:pPr>
              <w:jc w:val="right"/>
              <w:rPr>
                <w:noProof/>
                <w:sz w:val="20"/>
                <w:szCs w:val="20"/>
              </w:rPr>
            </w:pPr>
            <w:r>
              <w:rPr>
                <w:noProof/>
                <w:sz w:val="20"/>
              </w:rPr>
              <w:t>н.п.</w:t>
            </w:r>
          </w:p>
        </w:tc>
        <w:tc>
          <w:tcPr>
            <w:tcW w:w="648" w:type="dxa"/>
            <w:tcBorders>
              <w:bottom w:val="nil"/>
            </w:tcBorders>
          </w:tcPr>
          <w:p>
            <w:pPr>
              <w:jc w:val="right"/>
              <w:rPr>
                <w:noProof/>
                <w:sz w:val="20"/>
                <w:szCs w:val="20"/>
              </w:rPr>
            </w:pPr>
            <w:r>
              <w:rPr>
                <w:noProof/>
                <w:sz w:val="20"/>
              </w:rPr>
              <w:t>н.п.</w:t>
            </w:r>
          </w:p>
        </w:tc>
      </w:tr>
      <w:tr>
        <w:trPr>
          <w:cantSplit/>
        </w:trPr>
        <w:tc>
          <w:tcPr>
            <w:tcW w:w="964" w:type="dxa"/>
            <w:vMerge/>
            <w:tcBorders>
              <w:top w:val="nil"/>
              <w:left w:val="double" w:sz="4" w:space="0" w:color="auto"/>
              <w:bottom w:val="double" w:sz="4" w:space="0" w:color="auto"/>
              <w:right w:val="nil"/>
            </w:tcBorders>
          </w:tcPr>
          <w:p>
            <w:pPr>
              <w:rPr>
                <w:noProof/>
              </w:rPr>
            </w:pPr>
          </w:p>
        </w:tc>
        <w:tc>
          <w:tcPr>
            <w:tcW w:w="2268" w:type="dxa"/>
            <w:tcBorders>
              <w:top w:val="nil"/>
              <w:bottom w:val="double" w:sz="4" w:space="0" w:color="auto"/>
              <w:right w:val="nil"/>
            </w:tcBorders>
          </w:tcPr>
          <w:p>
            <w:pPr>
              <w:rPr>
                <w:i/>
                <w:noProof/>
                <w:sz w:val="18"/>
              </w:rPr>
            </w:pPr>
            <w:r>
              <w:rPr>
                <w:i/>
                <w:noProof/>
                <w:sz w:val="18"/>
              </w:rPr>
              <w:t>б) Промяна в приходите</w:t>
            </w:r>
          </w:p>
        </w:tc>
        <w:tc>
          <w:tcPr>
            <w:tcW w:w="685" w:type="dxa"/>
            <w:tcBorders>
              <w:left w:val="nil"/>
              <w:bottom w:val="double" w:sz="4" w:space="0" w:color="auto"/>
              <w:right w:val="double" w:sz="4" w:space="0" w:color="auto"/>
            </w:tcBorders>
          </w:tcPr>
          <w:p>
            <w:pPr>
              <w:rPr>
                <w:noProof/>
              </w:rPr>
            </w:pPr>
            <w:r>
              <w:rPr>
                <w:i/>
                <w:noProof/>
                <w:sz w:val="18"/>
              </w:rPr>
              <w:t xml:space="preserve"> </w:t>
            </w:r>
            <w:r>
              <w:rPr>
                <w:i/>
                <w:noProof/>
                <w:sz w:val="18"/>
                <w:szCs w:val="18"/>
              </w:rPr>
              <w:sym w:font="Symbol" w:char="F044"/>
            </w:r>
          </w:p>
        </w:tc>
        <w:tc>
          <w:tcPr>
            <w:tcW w:w="141" w:type="dxa"/>
            <w:tcBorders>
              <w:top w:val="nil"/>
              <w:left w:val="nil"/>
              <w:bottom w:val="nil"/>
              <w:right w:val="nil"/>
            </w:tcBorders>
          </w:tcPr>
          <w:p>
            <w:pPr>
              <w:rPr>
                <w:noProof/>
              </w:rPr>
            </w:pPr>
          </w:p>
        </w:tc>
        <w:tc>
          <w:tcPr>
            <w:tcW w:w="647"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c>
          <w:tcPr>
            <w:tcW w:w="648" w:type="dxa"/>
            <w:tcBorders>
              <w:top w:val="single" w:sz="12" w:space="0" w:color="auto"/>
              <w:left w:val="nil"/>
              <w:bottom w:val="single" w:sz="12" w:space="0" w:color="auto"/>
              <w:right w:val="single" w:sz="12" w:space="0" w:color="auto"/>
            </w:tcBorders>
          </w:tcPr>
          <w:p>
            <w:pPr>
              <w:jc w:val="right"/>
              <w:rPr>
                <w:noProof/>
                <w:sz w:val="20"/>
                <w:szCs w:val="20"/>
              </w:rPr>
            </w:pPr>
            <w:r>
              <w:rPr>
                <w:noProof/>
                <w:sz w:val="20"/>
              </w:rPr>
              <w:t>н.п.</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c>
          <w:tcPr>
            <w:tcW w:w="647"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c>
          <w:tcPr>
            <w:tcW w:w="648" w:type="dxa"/>
            <w:tcBorders>
              <w:top w:val="single" w:sz="12" w:space="0" w:color="auto"/>
              <w:left w:val="single" w:sz="12" w:space="0" w:color="auto"/>
              <w:bottom w:val="single" w:sz="12" w:space="0" w:color="auto"/>
              <w:right w:val="single" w:sz="12" w:space="0" w:color="auto"/>
            </w:tcBorders>
          </w:tcPr>
          <w:p>
            <w:pPr>
              <w:jc w:val="right"/>
              <w:rPr>
                <w:noProof/>
                <w:sz w:val="20"/>
                <w:szCs w:val="20"/>
              </w:rPr>
            </w:pPr>
            <w:r>
              <w:rPr>
                <w:noProof/>
                <w:sz w:val="20"/>
              </w:rPr>
              <w:t>н.п.</w:t>
            </w:r>
          </w:p>
        </w:tc>
      </w:tr>
    </w:tbl>
    <w:p>
      <w:pPr>
        <w:pStyle w:val="Text1"/>
        <w:rPr>
          <w:noProof/>
        </w:rPr>
      </w:pPr>
      <w:r>
        <w:rPr>
          <w:b/>
          <w:i/>
          <w:noProof/>
        </w:rPr>
        <w:t>(Да се посочи всеки засегнат бюджетен ред, като се добави съответният необходим брой редове в таблицата, ако е налице въздействие върху повече от един бюджетен ред)</w:t>
      </w:r>
    </w:p>
    <w:p>
      <w:pPr>
        <w:pStyle w:val="ManualHeading2"/>
        <w:spacing w:after="240"/>
        <w:ind w:left="851" w:hanging="851"/>
        <w:rPr>
          <w:noProof/>
        </w:rPr>
      </w:pPr>
      <w:r>
        <w:rPr>
          <w:noProof/>
        </w:rPr>
        <w:t>4.2.</w:t>
      </w:r>
      <w:r>
        <w:rPr>
          <w:noProof/>
        </w:rPr>
        <w:tab/>
        <w:t>Човешки ресурси (еквивалент на пълно работно време) (включително длъжностни лица, временно наети лица и външен персонал) — вж. подробната информация в точка 8.2.1.</w:t>
      </w:r>
    </w:p>
    <w:tbl>
      <w:tblPr>
        <w:tblW w:w="0" w:type="auto"/>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68"/>
        <w:gridCol w:w="930"/>
        <w:gridCol w:w="772"/>
        <w:gridCol w:w="851"/>
        <w:gridCol w:w="851"/>
        <w:gridCol w:w="851"/>
        <w:gridCol w:w="851"/>
      </w:tblGrid>
      <w:tr>
        <w:trPr>
          <w:cantSplit/>
        </w:trPr>
        <w:tc>
          <w:tcPr>
            <w:tcW w:w="2268" w:type="dxa"/>
            <w:tcBorders>
              <w:top w:val="single" w:sz="12" w:space="0" w:color="auto"/>
            </w:tcBorders>
          </w:tcPr>
          <w:p>
            <w:pPr>
              <w:rPr>
                <w:noProof/>
                <w:sz w:val="20"/>
                <w:szCs w:val="20"/>
              </w:rPr>
            </w:pPr>
          </w:p>
          <w:p>
            <w:pPr>
              <w:rPr>
                <w:b/>
                <w:noProof/>
                <w:sz w:val="20"/>
                <w:szCs w:val="20"/>
              </w:rPr>
            </w:pPr>
            <w:r>
              <w:rPr>
                <w:b/>
                <w:noProof/>
                <w:sz w:val="20"/>
              </w:rPr>
              <w:t>Годишни изисквания</w:t>
            </w:r>
          </w:p>
        </w:tc>
        <w:tc>
          <w:tcPr>
            <w:tcW w:w="930" w:type="dxa"/>
            <w:tcBorders>
              <w:top w:val="single" w:sz="12" w:space="0" w:color="auto"/>
            </w:tcBorders>
          </w:tcPr>
          <w:p>
            <w:pPr>
              <w:jc w:val="center"/>
              <w:rPr>
                <w:noProof/>
                <w:sz w:val="20"/>
                <w:szCs w:val="20"/>
              </w:rPr>
            </w:pPr>
          </w:p>
          <w:p>
            <w:pPr>
              <w:jc w:val="center"/>
              <w:rPr>
                <w:noProof/>
                <w:sz w:val="20"/>
                <w:szCs w:val="20"/>
              </w:rPr>
            </w:pPr>
            <w:r>
              <w:rPr>
                <w:noProof/>
                <w:sz w:val="20"/>
              </w:rPr>
              <w:t>Година n</w:t>
            </w:r>
          </w:p>
        </w:tc>
        <w:tc>
          <w:tcPr>
            <w:tcW w:w="772" w:type="dxa"/>
            <w:tcBorders>
              <w:top w:val="single" w:sz="12" w:space="0" w:color="auto"/>
            </w:tcBorders>
          </w:tcPr>
          <w:p>
            <w:pPr>
              <w:jc w:val="center"/>
              <w:rPr>
                <w:noProof/>
                <w:sz w:val="20"/>
                <w:szCs w:val="20"/>
              </w:rPr>
            </w:pPr>
          </w:p>
          <w:p>
            <w:pPr>
              <w:jc w:val="center"/>
              <w:rPr>
                <w:noProof/>
                <w:sz w:val="20"/>
                <w:szCs w:val="20"/>
              </w:rPr>
            </w:pPr>
            <w:r>
              <w:rPr>
                <w:noProof/>
                <w:sz w:val="20"/>
              </w:rPr>
              <w:t>n + 1</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 + 2</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 + 3</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 + 4</w:t>
            </w:r>
          </w:p>
        </w:tc>
        <w:tc>
          <w:tcPr>
            <w:tcW w:w="851" w:type="dxa"/>
            <w:tcBorders>
              <w:top w:val="single" w:sz="12" w:space="0" w:color="auto"/>
            </w:tcBorders>
          </w:tcPr>
          <w:p>
            <w:pPr>
              <w:jc w:val="center"/>
              <w:rPr>
                <w:noProof/>
                <w:sz w:val="20"/>
                <w:szCs w:val="20"/>
              </w:rPr>
            </w:pPr>
          </w:p>
          <w:p>
            <w:pPr>
              <w:jc w:val="center"/>
              <w:rPr>
                <w:noProof/>
                <w:sz w:val="20"/>
                <w:szCs w:val="20"/>
              </w:rPr>
            </w:pPr>
            <w:r>
              <w:rPr>
                <w:noProof/>
                <w:sz w:val="20"/>
              </w:rPr>
              <w:t>n + 5 и следващите</w:t>
            </w:r>
          </w:p>
        </w:tc>
      </w:tr>
      <w:tr>
        <w:trPr>
          <w:cantSplit/>
        </w:trPr>
        <w:tc>
          <w:tcPr>
            <w:tcW w:w="2268" w:type="dxa"/>
            <w:tcBorders>
              <w:bottom w:val="single" w:sz="12" w:space="0" w:color="auto"/>
            </w:tcBorders>
          </w:tcPr>
          <w:p>
            <w:pPr>
              <w:spacing w:before="60" w:after="60"/>
              <w:rPr>
                <w:noProof/>
                <w:sz w:val="20"/>
                <w:szCs w:val="20"/>
              </w:rPr>
            </w:pPr>
            <w:r>
              <w:rPr>
                <w:noProof/>
                <w:sz w:val="20"/>
              </w:rPr>
              <w:t>Общо човешки ресурси</w:t>
            </w:r>
          </w:p>
        </w:tc>
        <w:tc>
          <w:tcPr>
            <w:tcW w:w="930" w:type="dxa"/>
            <w:tcBorders>
              <w:bottom w:val="single" w:sz="12" w:space="0" w:color="auto"/>
            </w:tcBorders>
          </w:tcPr>
          <w:p>
            <w:pPr>
              <w:spacing w:before="60" w:after="60"/>
              <w:jc w:val="right"/>
              <w:rPr>
                <w:noProof/>
                <w:sz w:val="20"/>
                <w:szCs w:val="20"/>
              </w:rPr>
            </w:pPr>
            <w:r>
              <w:rPr>
                <w:noProof/>
                <w:sz w:val="20"/>
              </w:rPr>
              <w:t>н.п.</w:t>
            </w:r>
          </w:p>
        </w:tc>
        <w:tc>
          <w:tcPr>
            <w:tcW w:w="772" w:type="dxa"/>
            <w:tcBorders>
              <w:bottom w:val="single" w:sz="12" w:space="0" w:color="auto"/>
            </w:tcBorders>
          </w:tcPr>
          <w:p>
            <w:pPr>
              <w:spacing w:before="60" w:after="60"/>
              <w:jc w:val="right"/>
              <w:rPr>
                <w:noProof/>
                <w:sz w:val="20"/>
                <w:szCs w:val="20"/>
              </w:rPr>
            </w:pPr>
            <w:r>
              <w:rPr>
                <w:noProof/>
                <w:sz w:val="20"/>
              </w:rPr>
              <w:t>н.п.</w:t>
            </w:r>
          </w:p>
        </w:tc>
        <w:tc>
          <w:tcPr>
            <w:tcW w:w="851" w:type="dxa"/>
            <w:tcBorders>
              <w:bottom w:val="single" w:sz="12" w:space="0" w:color="auto"/>
            </w:tcBorders>
          </w:tcPr>
          <w:p>
            <w:pPr>
              <w:spacing w:before="60" w:after="60"/>
              <w:jc w:val="right"/>
              <w:rPr>
                <w:noProof/>
                <w:sz w:val="20"/>
                <w:szCs w:val="20"/>
              </w:rPr>
            </w:pPr>
            <w:r>
              <w:rPr>
                <w:noProof/>
                <w:sz w:val="20"/>
              </w:rPr>
              <w:t>н.п.</w:t>
            </w:r>
          </w:p>
        </w:tc>
        <w:tc>
          <w:tcPr>
            <w:tcW w:w="851" w:type="dxa"/>
            <w:tcBorders>
              <w:bottom w:val="single" w:sz="12" w:space="0" w:color="auto"/>
            </w:tcBorders>
          </w:tcPr>
          <w:p>
            <w:pPr>
              <w:spacing w:before="60" w:after="60"/>
              <w:jc w:val="right"/>
              <w:rPr>
                <w:noProof/>
                <w:sz w:val="20"/>
                <w:szCs w:val="20"/>
              </w:rPr>
            </w:pPr>
            <w:r>
              <w:rPr>
                <w:noProof/>
                <w:sz w:val="20"/>
              </w:rPr>
              <w:t>н.п.</w:t>
            </w:r>
          </w:p>
        </w:tc>
        <w:tc>
          <w:tcPr>
            <w:tcW w:w="851" w:type="dxa"/>
            <w:tcBorders>
              <w:bottom w:val="single" w:sz="12" w:space="0" w:color="auto"/>
            </w:tcBorders>
          </w:tcPr>
          <w:p>
            <w:pPr>
              <w:spacing w:before="60" w:after="60"/>
              <w:jc w:val="right"/>
              <w:rPr>
                <w:noProof/>
                <w:sz w:val="20"/>
                <w:szCs w:val="20"/>
              </w:rPr>
            </w:pPr>
            <w:r>
              <w:rPr>
                <w:noProof/>
                <w:sz w:val="20"/>
              </w:rPr>
              <w:t>н.п.</w:t>
            </w:r>
          </w:p>
        </w:tc>
        <w:tc>
          <w:tcPr>
            <w:tcW w:w="851" w:type="dxa"/>
            <w:tcBorders>
              <w:bottom w:val="single" w:sz="12" w:space="0" w:color="auto"/>
            </w:tcBorders>
          </w:tcPr>
          <w:p>
            <w:pPr>
              <w:spacing w:before="60" w:after="60"/>
              <w:jc w:val="right"/>
              <w:rPr>
                <w:noProof/>
                <w:sz w:val="20"/>
                <w:szCs w:val="20"/>
              </w:rPr>
            </w:pPr>
            <w:r>
              <w:rPr>
                <w:noProof/>
                <w:sz w:val="20"/>
              </w:rPr>
              <w:t>н.п.</w:t>
            </w:r>
          </w:p>
        </w:tc>
      </w:tr>
    </w:tbl>
    <w:p>
      <w:pPr>
        <w:pStyle w:val="ManualHeading1"/>
        <w:rPr>
          <w:noProof/>
        </w:rPr>
      </w:pPr>
      <w:r>
        <w:rPr>
          <w:noProof/>
        </w:rPr>
        <w:t>5.</w:t>
      </w:r>
      <w:r>
        <w:rPr>
          <w:noProof/>
        </w:rPr>
        <w:tab/>
        <w:t>ХАРАКТЕРИСТИКИ И ЦЕЛИ</w:t>
      </w:r>
    </w:p>
    <w:p>
      <w:pPr>
        <w:pStyle w:val="ManualHeading2"/>
        <w:rPr>
          <w:noProof/>
        </w:rPr>
      </w:pPr>
      <w:r>
        <w:rPr>
          <w:noProof/>
        </w:rPr>
        <w:t>5.1.</w:t>
      </w:r>
      <w:r>
        <w:rPr>
          <w:noProof/>
        </w:rPr>
        <w:tab/>
        <w:t>Нужда, която трябва да се посрещне в краткосрочен или дългосрочен план</w:t>
      </w:r>
    </w:p>
    <w:p>
      <w:pPr>
        <w:spacing w:after="240"/>
        <w:rPr>
          <w:noProof/>
        </w:rPr>
      </w:pPr>
      <w:r>
        <w:rPr>
          <w:noProof/>
        </w:rPr>
        <w:t xml:space="preserve">Продължаващата финансова и икономическа криза повишава натиска върху националните финансови ресурси в момент, когато държавите членки съкращават бюджетите си. В тази връзка осигуряването на безпрепятствено изпълнение на програмите по ЕСИФ е особено важно, тъй като те представляват инструмент за вливане на средства в икономиката. С цел да се гарантира, че тези държави членки продължават да изпълняват програмите по ЕСИФ, както и че отпускат средства за проекти, предложението позволява на Комисията да увеличи размера на плащанията за държавите членки, при условие че те се ползват от финансова помощ по програма за корекции. </w:t>
      </w:r>
    </w:p>
    <w:p>
      <w:pPr>
        <w:pStyle w:val="ManualHeading2"/>
        <w:rPr>
          <w:noProof/>
        </w:rPr>
      </w:pPr>
      <w:r>
        <w:rPr>
          <w:noProof/>
        </w:rPr>
        <w:t>5.2.</w:t>
      </w:r>
      <w:r>
        <w:rPr>
          <w:noProof/>
        </w:rPr>
        <w:tab/>
        <w:t>Добавена стойност от участието на Съюза, съвместимост на предложението с други финансови инструменти и възможно полезно взаимодействие</w:t>
      </w:r>
    </w:p>
    <w:p>
      <w:pPr>
        <w:spacing w:after="240"/>
        <w:rPr>
          <w:noProof/>
        </w:rPr>
      </w:pPr>
      <w:r>
        <w:rPr>
          <w:noProof/>
        </w:rPr>
        <w:t>Предложението ще позволи да продължи изпълнението на програмите, което ще влее пари в икономиката, като същевременно ще спомогне за намаляване на натиска върху публичните разходи.</w:t>
      </w:r>
    </w:p>
    <w:p>
      <w:pPr>
        <w:pStyle w:val="ManualHeading2"/>
        <w:rPr>
          <w:noProof/>
        </w:rPr>
      </w:pPr>
      <w:r>
        <w:rPr>
          <w:noProof/>
        </w:rPr>
        <w:t>5.3.</w:t>
      </w:r>
      <w:r>
        <w:rPr>
          <w:noProof/>
        </w:rPr>
        <w:tab/>
        <w:t>Цели, очаквани резултати и свързани с тях показатели на предложението в контекста на управлението по дейности (УД)</w:t>
      </w:r>
    </w:p>
    <w:p>
      <w:pPr>
        <w:rPr>
          <w:noProof/>
        </w:rPr>
      </w:pPr>
      <w:r>
        <w:rPr>
          <w:noProof/>
        </w:rPr>
        <w:t>Целта е да се помогне на държавите членки, които са най-силно засегнати от финансовата криза, за да могат да продължават изпълнението на място на програмите, като по този начин се вливат средства в икономиката.</w:t>
      </w:r>
    </w:p>
    <w:p>
      <w:pPr>
        <w:pStyle w:val="ManualHeading2"/>
        <w:rPr>
          <w:noProof/>
        </w:rPr>
      </w:pPr>
      <w:r>
        <w:rPr>
          <w:noProof/>
        </w:rPr>
        <w:t>5.4.</w:t>
      </w:r>
      <w:r>
        <w:rPr>
          <w:noProof/>
        </w:rPr>
        <w:tab/>
        <w:t>Метод на изпълнение (индикативен)</w:t>
      </w:r>
    </w:p>
    <w:p>
      <w:pPr>
        <w:rPr>
          <w:noProof/>
        </w:rPr>
      </w:pPr>
      <w:r>
        <w:rPr>
          <w:noProof/>
        </w:rPr>
        <w:t>Посочете по-долу метода/методите за изпълнение на действието.</w:t>
      </w:r>
    </w:p>
    <w:p>
      <w:pPr>
        <w:pStyle w:val="Bullet0"/>
        <w:numPr>
          <w:ilvl w:val="0"/>
          <w:numId w:val="9"/>
        </w:numPr>
        <w:rPr>
          <w:noProof/>
        </w:rPr>
      </w:pPr>
      <w:r>
        <w:rPr>
          <w:noProof/>
        </w:rPr>
        <w:t>С държавите членки</w:t>
      </w:r>
    </w:p>
    <w:p>
      <w:pPr>
        <w:pStyle w:val="ManualHeading1"/>
        <w:rPr>
          <w:noProof/>
        </w:rPr>
      </w:pPr>
      <w:r>
        <w:rPr>
          <w:noProof/>
        </w:rPr>
        <w:t>6.</w:t>
      </w:r>
      <w:r>
        <w:rPr>
          <w:noProof/>
        </w:rPr>
        <w:tab/>
        <w:t>МОНИТОРИНГ И ОЦЕНКА</w:t>
      </w:r>
    </w:p>
    <w:p>
      <w:pPr>
        <w:pStyle w:val="ManualHeading2"/>
        <w:rPr>
          <w:noProof/>
        </w:rPr>
      </w:pPr>
      <w:r>
        <w:rPr>
          <w:noProof/>
        </w:rPr>
        <w:t>6.1.</w:t>
      </w:r>
      <w:r>
        <w:rPr>
          <w:noProof/>
        </w:rPr>
        <w:tab/>
        <w:t>Система за мониторинг</w:t>
      </w:r>
    </w:p>
    <w:p>
      <w:pPr>
        <w:spacing w:after="240"/>
        <w:rPr>
          <w:noProof/>
        </w:rPr>
      </w:pPr>
      <w:r>
        <w:rPr>
          <w:noProof/>
        </w:rPr>
        <w:t>Не е необходима, тъй като попада в обхвата на установения мониторинг на европейските структурни и инвестиционни фондове.</w:t>
      </w:r>
    </w:p>
    <w:p>
      <w:pPr>
        <w:pStyle w:val="ManualHeading2"/>
        <w:rPr>
          <w:noProof/>
        </w:rPr>
      </w:pPr>
      <w:r>
        <w:rPr>
          <w:noProof/>
        </w:rPr>
        <w:t>6.2.</w:t>
      </w:r>
      <w:r>
        <w:rPr>
          <w:noProof/>
        </w:rPr>
        <w:tab/>
        <w:t>Оценка</w:t>
      </w:r>
    </w:p>
    <w:p>
      <w:pPr>
        <w:pStyle w:val="ManualHeading3"/>
        <w:rPr>
          <w:noProof/>
        </w:rPr>
      </w:pPr>
      <w:r>
        <w:rPr>
          <w:noProof/>
        </w:rPr>
        <w:t>6.2.1.</w:t>
      </w:r>
      <w:r>
        <w:rPr>
          <w:noProof/>
        </w:rPr>
        <w:tab/>
        <w:t>Предварителна оценка</w:t>
      </w:r>
    </w:p>
    <w:p>
      <w:pPr>
        <w:rPr>
          <w:noProof/>
        </w:rPr>
      </w:pPr>
      <w:r>
        <w:rPr>
          <w:noProof/>
        </w:rPr>
        <w:t>Н.П.</w:t>
      </w:r>
    </w:p>
    <w:p>
      <w:pPr>
        <w:pStyle w:val="ManualHeading3"/>
        <w:rPr>
          <w:noProof/>
        </w:rPr>
      </w:pPr>
      <w:r>
        <w:rPr>
          <w:noProof/>
        </w:rPr>
        <w:t>6.2.2.</w:t>
      </w:r>
      <w:r>
        <w:rPr>
          <w:noProof/>
        </w:rPr>
        <w:tab/>
        <w:t>Мерки, взети след междинна/последваща оценка (изводи въз основа на подобен опит в миналото)</w:t>
      </w:r>
    </w:p>
    <w:p>
      <w:pPr>
        <w:rPr>
          <w:noProof/>
        </w:rPr>
      </w:pPr>
      <w:r>
        <w:rPr>
          <w:noProof/>
        </w:rPr>
        <w:t>Н.П.</w:t>
      </w:r>
    </w:p>
    <w:p>
      <w:pPr>
        <w:pStyle w:val="ManualHeading3"/>
        <w:rPr>
          <w:noProof/>
        </w:rPr>
      </w:pPr>
      <w:r>
        <w:rPr>
          <w:noProof/>
        </w:rPr>
        <w:t>6.2.3.</w:t>
      </w:r>
      <w:r>
        <w:rPr>
          <w:noProof/>
        </w:rPr>
        <w:tab/>
        <w:t>Условия и честота на бъдещи оценки</w:t>
      </w:r>
    </w:p>
    <w:p>
      <w:pPr>
        <w:spacing w:after="240"/>
        <w:rPr>
          <w:noProof/>
        </w:rPr>
      </w:pPr>
      <w:r>
        <w:rPr>
          <w:noProof/>
        </w:rPr>
        <w:t>Н.П.</w:t>
      </w:r>
    </w:p>
    <w:p>
      <w:pPr>
        <w:pStyle w:val="ManualHeading1"/>
        <w:spacing w:before="240"/>
        <w:ind w:left="851" w:hanging="851"/>
        <w:rPr>
          <w:smallCaps w:val="0"/>
          <w:noProof/>
        </w:rPr>
      </w:pPr>
      <w:r>
        <w:rPr>
          <w:noProof/>
        </w:rPr>
        <w:t>7.</w:t>
      </w:r>
      <w:r>
        <w:rPr>
          <w:noProof/>
        </w:rPr>
        <w:tab/>
        <w:t xml:space="preserve">МЕРКИ ЗА БОРБА С ИЗМАМИТЕ </w:t>
      </w:r>
    </w:p>
    <w:p>
      <w:pPr>
        <w:rPr>
          <w:b/>
          <w:caps/>
          <w:noProof/>
        </w:rPr>
      </w:pPr>
      <w:r>
        <w:rPr>
          <w:b/>
          <w:caps/>
          <w:noProof/>
        </w:rPr>
        <w:t>Н.П.</w:t>
      </w:r>
    </w:p>
    <w:p>
      <w:pPr>
        <w:rPr>
          <w:i/>
          <w:noProof/>
        </w:rPr>
        <w:sectPr>
          <w:pgSz w:w="12240" w:h="15840"/>
          <w:pgMar w:top="1440" w:right="1800" w:bottom="1440" w:left="1800" w:header="708" w:footer="708" w:gutter="0"/>
          <w:cols w:space="708"/>
          <w:docGrid w:linePitch="360"/>
        </w:sectPr>
      </w:pPr>
    </w:p>
    <w:p>
      <w:pPr>
        <w:pStyle w:val="ManualHeading1"/>
        <w:rPr>
          <w:noProof/>
        </w:rPr>
      </w:pPr>
      <w:r>
        <w:rPr>
          <w:noProof/>
        </w:rPr>
        <w:t>8.</w:t>
      </w:r>
      <w:r>
        <w:rPr>
          <w:noProof/>
        </w:rPr>
        <w:tab/>
        <w:t>ПОДРОБНОСТИ ЗА РЕСУРСИТЕ</w:t>
      </w:r>
    </w:p>
    <w:p>
      <w:pPr>
        <w:pStyle w:val="ManualHeading2"/>
        <w:rPr>
          <w:noProof/>
        </w:rPr>
      </w:pPr>
      <w:r>
        <w:rPr>
          <w:noProof/>
        </w:rPr>
        <w:t>8.1.</w:t>
      </w:r>
      <w:r>
        <w:rPr>
          <w:noProof/>
        </w:rPr>
        <w:tab/>
        <w:t>Цели на предложението, изразени като финансов разход</w:t>
      </w:r>
    </w:p>
    <w:p>
      <w:pPr>
        <w:jc w:val="right"/>
        <w:rPr>
          <w:i/>
          <w:noProof/>
          <w:sz w:val="20"/>
          <w:szCs w:val="20"/>
        </w:rPr>
      </w:pPr>
      <w:r>
        <w:rPr>
          <w:i/>
          <w:noProof/>
          <w:sz w:val="20"/>
        </w:rPr>
        <w:t>Бюджетни кредити за поети задължения в млн. евро (до третия знак след десетичната запетая)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9"/>
        <w:gridCol w:w="770"/>
        <w:gridCol w:w="672"/>
        <w:gridCol w:w="804"/>
        <w:gridCol w:w="691"/>
        <w:gridCol w:w="804"/>
        <w:gridCol w:w="691"/>
        <w:gridCol w:w="803"/>
        <w:gridCol w:w="690"/>
        <w:gridCol w:w="803"/>
        <w:gridCol w:w="690"/>
        <w:gridCol w:w="803"/>
        <w:gridCol w:w="690"/>
        <w:gridCol w:w="803"/>
        <w:gridCol w:w="690"/>
        <w:gridCol w:w="803"/>
        <w:gridCol w:w="690"/>
      </w:tblGrid>
      <w:tr>
        <w:trPr>
          <w:trHeight w:val="378"/>
        </w:trPr>
        <w:tc>
          <w:tcPr>
            <w:tcW w:w="0" w:type="auto"/>
            <w:vMerge w:val="restart"/>
          </w:tcPr>
          <w:p>
            <w:pPr>
              <w:jc w:val="left"/>
              <w:rPr>
                <w:b/>
                <w:noProof/>
                <w:sz w:val="16"/>
                <w:szCs w:val="16"/>
              </w:rPr>
            </w:pPr>
            <w:r>
              <w:rPr>
                <w:b/>
                <w:noProof/>
                <w:sz w:val="16"/>
              </w:rPr>
              <w:t>(Посочете наименованията на целите, дейностите и резултатите)</w:t>
            </w:r>
          </w:p>
        </w:tc>
        <w:tc>
          <w:tcPr>
            <w:tcW w:w="780" w:type="dxa"/>
            <w:vMerge w:val="restart"/>
          </w:tcPr>
          <w:p>
            <w:pPr>
              <w:jc w:val="center"/>
              <w:rPr>
                <w:b/>
                <w:noProof/>
                <w:sz w:val="16"/>
                <w:szCs w:val="16"/>
              </w:rPr>
            </w:pPr>
            <w:r>
              <w:rPr>
                <w:b/>
                <w:noProof/>
                <w:sz w:val="16"/>
              </w:rPr>
              <w:t>Вид резултат</w:t>
            </w:r>
          </w:p>
        </w:tc>
        <w:tc>
          <w:tcPr>
            <w:tcW w:w="537" w:type="dxa"/>
            <w:vMerge w:val="restart"/>
          </w:tcPr>
          <w:p>
            <w:pPr>
              <w:jc w:val="center"/>
              <w:rPr>
                <w:b/>
                <w:noProof/>
                <w:sz w:val="16"/>
                <w:szCs w:val="16"/>
              </w:rPr>
            </w:pPr>
            <w:r>
              <w:rPr>
                <w:b/>
                <w:noProof/>
                <w:sz w:val="16"/>
              </w:rPr>
              <w:t>Среден разход</w:t>
            </w:r>
          </w:p>
        </w:tc>
        <w:tc>
          <w:tcPr>
            <w:tcW w:w="0" w:type="auto"/>
            <w:gridSpan w:val="2"/>
          </w:tcPr>
          <w:p>
            <w:pPr>
              <w:jc w:val="center"/>
              <w:rPr>
                <w:b/>
                <w:noProof/>
                <w:sz w:val="16"/>
                <w:szCs w:val="16"/>
              </w:rPr>
            </w:pPr>
            <w:r>
              <w:rPr>
                <w:b/>
                <w:noProof/>
                <w:sz w:val="16"/>
              </w:rPr>
              <w:t>Година n</w:t>
            </w:r>
          </w:p>
        </w:tc>
        <w:tc>
          <w:tcPr>
            <w:tcW w:w="0" w:type="auto"/>
            <w:gridSpan w:val="2"/>
          </w:tcPr>
          <w:p>
            <w:pPr>
              <w:jc w:val="center"/>
              <w:rPr>
                <w:b/>
                <w:noProof/>
                <w:sz w:val="16"/>
                <w:szCs w:val="16"/>
              </w:rPr>
            </w:pPr>
            <w:r>
              <w:rPr>
                <w:b/>
                <w:noProof/>
                <w:sz w:val="16"/>
              </w:rPr>
              <w:t>Година n+1</w:t>
            </w:r>
          </w:p>
        </w:tc>
        <w:tc>
          <w:tcPr>
            <w:tcW w:w="0" w:type="auto"/>
            <w:gridSpan w:val="2"/>
          </w:tcPr>
          <w:p>
            <w:pPr>
              <w:jc w:val="center"/>
              <w:rPr>
                <w:b/>
                <w:noProof/>
                <w:sz w:val="16"/>
                <w:szCs w:val="16"/>
              </w:rPr>
            </w:pPr>
            <w:r>
              <w:rPr>
                <w:b/>
                <w:noProof/>
                <w:sz w:val="16"/>
              </w:rPr>
              <w:t>Година n+2</w:t>
            </w:r>
          </w:p>
        </w:tc>
        <w:tc>
          <w:tcPr>
            <w:tcW w:w="0" w:type="auto"/>
            <w:gridSpan w:val="2"/>
          </w:tcPr>
          <w:p>
            <w:pPr>
              <w:jc w:val="center"/>
              <w:rPr>
                <w:b/>
                <w:noProof/>
                <w:sz w:val="16"/>
                <w:szCs w:val="16"/>
              </w:rPr>
            </w:pPr>
            <w:r>
              <w:rPr>
                <w:b/>
                <w:noProof/>
                <w:sz w:val="16"/>
              </w:rPr>
              <w:t>Година n+3</w:t>
            </w:r>
          </w:p>
        </w:tc>
        <w:tc>
          <w:tcPr>
            <w:tcW w:w="0" w:type="auto"/>
            <w:gridSpan w:val="2"/>
          </w:tcPr>
          <w:p>
            <w:pPr>
              <w:jc w:val="center"/>
              <w:rPr>
                <w:b/>
                <w:noProof/>
                <w:sz w:val="16"/>
                <w:szCs w:val="16"/>
              </w:rPr>
            </w:pPr>
            <w:r>
              <w:rPr>
                <w:b/>
                <w:noProof/>
                <w:sz w:val="16"/>
              </w:rPr>
              <w:t>Година n+4</w:t>
            </w:r>
          </w:p>
        </w:tc>
        <w:tc>
          <w:tcPr>
            <w:tcW w:w="0" w:type="auto"/>
            <w:gridSpan w:val="2"/>
          </w:tcPr>
          <w:p>
            <w:pPr>
              <w:jc w:val="center"/>
              <w:rPr>
                <w:b/>
                <w:noProof/>
                <w:sz w:val="16"/>
                <w:szCs w:val="16"/>
              </w:rPr>
            </w:pPr>
            <w:r>
              <w:rPr>
                <w:b/>
                <w:noProof/>
                <w:sz w:val="16"/>
              </w:rPr>
              <w:t>Година n + 5 и следващите</w:t>
            </w:r>
          </w:p>
        </w:tc>
        <w:tc>
          <w:tcPr>
            <w:tcW w:w="0" w:type="auto"/>
            <w:gridSpan w:val="2"/>
          </w:tcPr>
          <w:p>
            <w:pPr>
              <w:jc w:val="center"/>
              <w:rPr>
                <w:b/>
                <w:noProof/>
                <w:sz w:val="16"/>
                <w:szCs w:val="16"/>
              </w:rPr>
            </w:pPr>
            <w:r>
              <w:rPr>
                <w:b/>
                <w:noProof/>
                <w:sz w:val="16"/>
              </w:rPr>
              <w:t>ОБЩО</w:t>
            </w:r>
          </w:p>
        </w:tc>
      </w:tr>
      <w:tr>
        <w:trPr>
          <w:trHeight w:val="482"/>
        </w:trPr>
        <w:tc>
          <w:tcPr>
            <w:tcW w:w="0" w:type="auto"/>
            <w:vMerge/>
          </w:tcPr>
          <w:p>
            <w:pPr>
              <w:jc w:val="left"/>
              <w:rPr>
                <w:noProof/>
                <w:sz w:val="16"/>
                <w:szCs w:val="16"/>
              </w:rPr>
            </w:pPr>
          </w:p>
        </w:tc>
        <w:tc>
          <w:tcPr>
            <w:tcW w:w="780" w:type="dxa"/>
            <w:vMerge/>
          </w:tcPr>
          <w:p>
            <w:pPr>
              <w:rPr>
                <w:noProof/>
                <w:sz w:val="16"/>
                <w:szCs w:val="16"/>
              </w:rPr>
            </w:pPr>
          </w:p>
        </w:tc>
        <w:tc>
          <w:tcPr>
            <w:tcW w:w="537" w:type="dxa"/>
            <w:vMerge/>
          </w:tcPr>
          <w:p>
            <w:pPr>
              <w:rPr>
                <w:noProof/>
                <w:sz w:val="16"/>
                <w:szCs w:val="16"/>
              </w:rPr>
            </w:pP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c>
          <w:tcPr>
            <w:tcW w:w="0" w:type="auto"/>
          </w:tcPr>
          <w:p>
            <w:pPr>
              <w:rPr>
                <w:noProof/>
                <w:sz w:val="16"/>
                <w:szCs w:val="16"/>
              </w:rPr>
            </w:pPr>
            <w:r>
              <w:rPr>
                <w:noProof/>
                <w:sz w:val="16"/>
              </w:rPr>
              <w:t>Брой резултати</w:t>
            </w:r>
          </w:p>
        </w:tc>
        <w:tc>
          <w:tcPr>
            <w:tcW w:w="0" w:type="auto"/>
          </w:tcPr>
          <w:p>
            <w:pPr>
              <w:rPr>
                <w:noProof/>
                <w:sz w:val="16"/>
                <w:szCs w:val="16"/>
              </w:rPr>
            </w:pPr>
            <w:r>
              <w:rPr>
                <w:noProof/>
                <w:sz w:val="16"/>
              </w:rPr>
              <w:t>Общо разходи</w:t>
            </w:r>
          </w:p>
        </w:tc>
      </w:tr>
      <w:tr>
        <w:tc>
          <w:tcPr>
            <w:tcW w:w="0" w:type="auto"/>
          </w:tcPr>
          <w:p>
            <w:pPr>
              <w:jc w:val="left"/>
              <w:rPr>
                <w:noProof/>
                <w:sz w:val="16"/>
                <w:szCs w:val="16"/>
              </w:rPr>
            </w:pPr>
            <w:r>
              <w:rPr>
                <w:noProof/>
                <w:sz w:val="16"/>
              </w:rPr>
              <w:t>ОПЕРАТИВНА ЦЕЛ № 1 Устойчивост на изпълнението на оперативните програми</w:t>
            </w:r>
          </w:p>
        </w:tc>
        <w:tc>
          <w:tcPr>
            <w:tcW w:w="780" w:type="dxa"/>
            <w:tcBorders>
              <w:right w:val="nil"/>
            </w:tcBorders>
            <w:shd w:val="pct10" w:color="auto" w:fill="auto"/>
          </w:tcPr>
          <w:p>
            <w:pPr>
              <w:rPr>
                <w:noProof/>
                <w:sz w:val="16"/>
                <w:szCs w:val="16"/>
              </w:rPr>
            </w:pPr>
          </w:p>
        </w:tc>
        <w:tc>
          <w:tcPr>
            <w:tcW w:w="537" w:type="dxa"/>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right w:val="nil"/>
            </w:tcBorders>
            <w:shd w:val="pct10" w:color="auto" w:fill="auto"/>
          </w:tcPr>
          <w:p>
            <w:pPr>
              <w:rPr>
                <w:noProof/>
                <w:sz w:val="16"/>
                <w:szCs w:val="16"/>
              </w:rPr>
            </w:pPr>
          </w:p>
        </w:tc>
        <w:tc>
          <w:tcPr>
            <w:tcW w:w="0" w:type="auto"/>
            <w:tcBorders>
              <w:left w:val="nil"/>
            </w:tcBorders>
            <w:shd w:val="pct10" w:color="auto" w:fill="auto"/>
          </w:tcPr>
          <w:p>
            <w:pPr>
              <w:rPr>
                <w:noProof/>
                <w:sz w:val="16"/>
                <w:szCs w:val="16"/>
              </w:rPr>
            </w:pPr>
          </w:p>
        </w:tc>
      </w:tr>
      <w:tr>
        <w:trPr>
          <w:trHeight w:val="271"/>
        </w:trPr>
        <w:tc>
          <w:tcPr>
            <w:tcW w:w="0" w:type="auto"/>
          </w:tcPr>
          <w:p>
            <w:pPr>
              <w:jc w:val="left"/>
              <w:rPr>
                <w:b/>
                <w:noProof/>
                <w:sz w:val="16"/>
                <w:szCs w:val="16"/>
              </w:rPr>
            </w:pPr>
          </w:p>
        </w:tc>
        <w:tc>
          <w:tcPr>
            <w:tcW w:w="780" w:type="dxa"/>
          </w:tcPr>
          <w:p>
            <w:pPr>
              <w:rPr>
                <w:noProof/>
                <w:sz w:val="16"/>
                <w:szCs w:val="16"/>
              </w:rPr>
            </w:pPr>
          </w:p>
        </w:tc>
        <w:tc>
          <w:tcPr>
            <w:tcW w:w="537" w:type="dxa"/>
          </w:tcPr>
          <w:p>
            <w:pPr>
              <w:rPr>
                <w:noProof/>
                <w:sz w:val="16"/>
                <w:szCs w:val="16"/>
              </w:rPr>
            </w:pPr>
          </w:p>
        </w:tc>
        <w:tc>
          <w:tcPr>
            <w:tcW w:w="0" w:type="auto"/>
          </w:tcPr>
          <w:p>
            <w:pPr>
              <w:rPr>
                <w:noProof/>
                <w:sz w:val="16"/>
                <w:szCs w:val="16"/>
              </w:rPr>
            </w:pPr>
          </w:p>
        </w:tc>
        <w:tc>
          <w:tcPr>
            <w:tcW w:w="0" w:type="auto"/>
          </w:tcPr>
          <w:p>
            <w:pPr>
              <w:jc w:val="right"/>
              <w:rPr>
                <w:noProof/>
                <w:sz w:val="16"/>
                <w:szCs w:val="16"/>
              </w:rPr>
            </w:pPr>
          </w:p>
          <w:p>
            <w:pPr>
              <w:jc w:val="right"/>
              <w:rPr>
                <w:noProof/>
                <w:sz w:val="16"/>
                <w:szCs w:val="16"/>
              </w:rPr>
            </w:pPr>
            <w:r>
              <w:rPr>
                <w:noProof/>
                <w:sz w:val="16"/>
              </w:rPr>
              <w:t>0,000</w:t>
            </w:r>
          </w:p>
        </w:tc>
        <w:tc>
          <w:tcPr>
            <w:tcW w:w="0" w:type="auto"/>
          </w:tcPr>
          <w:p>
            <w:pPr>
              <w:jc w:val="right"/>
              <w:rPr>
                <w:noProof/>
                <w:sz w:val="16"/>
                <w:szCs w:val="16"/>
              </w:rPr>
            </w:pPr>
          </w:p>
        </w:tc>
        <w:tc>
          <w:tcPr>
            <w:tcW w:w="0" w:type="auto"/>
          </w:tcPr>
          <w:p>
            <w:pPr>
              <w:jc w:val="right"/>
              <w:rPr>
                <w:noProof/>
                <w:sz w:val="16"/>
                <w:szCs w:val="16"/>
              </w:rPr>
            </w:pPr>
          </w:p>
          <w:p>
            <w:pPr>
              <w:jc w:val="right"/>
              <w:rPr>
                <w:noProof/>
                <w:sz w:val="16"/>
                <w:szCs w:val="16"/>
              </w:rPr>
            </w:pPr>
            <w:r>
              <w:rPr>
                <w:noProof/>
                <w:sz w:val="16"/>
              </w:rPr>
              <w:t>0,000</w:t>
            </w: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tc>
        <w:tc>
          <w:tcPr>
            <w:tcW w:w="0" w:type="auto"/>
          </w:tcPr>
          <w:p>
            <w:pPr>
              <w:jc w:val="right"/>
              <w:rPr>
                <w:noProof/>
                <w:sz w:val="16"/>
                <w:szCs w:val="16"/>
              </w:rPr>
            </w:pPr>
          </w:p>
          <w:p>
            <w:pPr>
              <w:jc w:val="right"/>
              <w:rPr>
                <w:noProof/>
                <w:sz w:val="16"/>
                <w:szCs w:val="16"/>
              </w:rPr>
            </w:pPr>
            <w:r>
              <w:rPr>
                <w:noProof/>
                <w:sz w:val="16"/>
              </w:rPr>
              <w:t>0,000</w:t>
            </w:r>
          </w:p>
        </w:tc>
      </w:tr>
      <w:tr>
        <w:tc>
          <w:tcPr>
            <w:tcW w:w="0" w:type="auto"/>
          </w:tcPr>
          <w:p>
            <w:pPr>
              <w:rPr>
                <w:b/>
                <w:noProof/>
                <w:sz w:val="16"/>
                <w:szCs w:val="16"/>
              </w:rPr>
            </w:pPr>
            <w:r>
              <w:rPr>
                <w:b/>
                <w:noProof/>
                <w:sz w:val="16"/>
              </w:rPr>
              <w:t>ОБЩО РАЗХОДИ</w:t>
            </w:r>
          </w:p>
        </w:tc>
        <w:tc>
          <w:tcPr>
            <w:tcW w:w="780" w:type="dxa"/>
          </w:tcPr>
          <w:p>
            <w:pPr>
              <w:rPr>
                <w:b/>
                <w:noProof/>
                <w:sz w:val="16"/>
                <w:szCs w:val="16"/>
              </w:rPr>
            </w:pPr>
          </w:p>
        </w:tc>
        <w:tc>
          <w:tcPr>
            <w:tcW w:w="537" w:type="dxa"/>
          </w:tcPr>
          <w:p>
            <w:pPr>
              <w:rPr>
                <w:b/>
                <w:noProof/>
                <w:sz w:val="16"/>
                <w:szCs w:val="16"/>
              </w:rPr>
            </w:pPr>
          </w:p>
        </w:tc>
        <w:tc>
          <w:tcPr>
            <w:tcW w:w="0" w:type="auto"/>
          </w:tcPr>
          <w:p>
            <w:pPr>
              <w:rPr>
                <w:b/>
                <w:noProof/>
                <w:sz w:val="16"/>
                <w:szCs w:val="16"/>
              </w:rPr>
            </w:pPr>
          </w:p>
        </w:tc>
        <w:tc>
          <w:tcPr>
            <w:tcW w:w="0" w:type="auto"/>
          </w:tcPr>
          <w:p>
            <w:pPr>
              <w:jc w:val="right"/>
              <w:rPr>
                <w:b/>
                <w:noProof/>
                <w:sz w:val="16"/>
                <w:szCs w:val="16"/>
              </w:rPr>
            </w:pPr>
          </w:p>
          <w:p>
            <w:pPr>
              <w:jc w:val="right"/>
              <w:rPr>
                <w:b/>
                <w:noProof/>
                <w:sz w:val="16"/>
                <w:szCs w:val="16"/>
              </w:rPr>
            </w:pPr>
            <w:r>
              <w:rPr>
                <w:b/>
                <w:noProof/>
                <w:sz w:val="16"/>
              </w:rPr>
              <w:t>0,000</w:t>
            </w:r>
          </w:p>
        </w:tc>
        <w:tc>
          <w:tcPr>
            <w:tcW w:w="0" w:type="auto"/>
          </w:tcPr>
          <w:p>
            <w:pPr>
              <w:jc w:val="right"/>
              <w:rPr>
                <w:b/>
                <w:noProof/>
                <w:sz w:val="16"/>
                <w:szCs w:val="16"/>
              </w:rPr>
            </w:pPr>
          </w:p>
        </w:tc>
        <w:tc>
          <w:tcPr>
            <w:tcW w:w="0" w:type="auto"/>
          </w:tcPr>
          <w:p>
            <w:pPr>
              <w:jc w:val="right"/>
              <w:rPr>
                <w:b/>
                <w:noProof/>
                <w:sz w:val="16"/>
                <w:szCs w:val="16"/>
              </w:rPr>
            </w:pPr>
          </w:p>
          <w:p>
            <w:pPr>
              <w:jc w:val="right"/>
              <w:rPr>
                <w:b/>
                <w:noProof/>
                <w:sz w:val="16"/>
                <w:szCs w:val="16"/>
              </w:rPr>
            </w:pPr>
            <w:r>
              <w:rPr>
                <w:b/>
                <w:noProof/>
                <w:sz w:val="16"/>
              </w:rPr>
              <w:t>0,000</w:t>
            </w: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tc>
        <w:tc>
          <w:tcPr>
            <w:tcW w:w="0" w:type="auto"/>
          </w:tcPr>
          <w:p>
            <w:pPr>
              <w:jc w:val="right"/>
              <w:rPr>
                <w:b/>
                <w:noProof/>
                <w:sz w:val="16"/>
                <w:szCs w:val="16"/>
              </w:rPr>
            </w:pPr>
          </w:p>
          <w:p>
            <w:pPr>
              <w:jc w:val="right"/>
              <w:rPr>
                <w:b/>
                <w:noProof/>
                <w:sz w:val="16"/>
                <w:szCs w:val="16"/>
              </w:rPr>
            </w:pPr>
            <w:r>
              <w:rPr>
                <w:b/>
                <w:noProof/>
                <w:sz w:val="16"/>
              </w:rPr>
              <w:t>0,000</w:t>
            </w:r>
          </w:p>
        </w:tc>
      </w:tr>
    </w:tbl>
    <w:p>
      <w:pPr>
        <w:rPr>
          <w:noProof/>
        </w:rPr>
        <w:sectPr>
          <w:headerReference w:type="default" r:id="rId13"/>
          <w:footerReference w:type="default" r:id="rId14"/>
          <w:headerReference w:type="first" r:id="rId15"/>
          <w:footerReference w:type="first" r:id="rId16"/>
          <w:pgSz w:w="15840" w:h="12240" w:orient="landscape"/>
          <w:pgMar w:top="1259" w:right="1440" w:bottom="1259" w:left="1440" w:header="709" w:footer="709" w:gutter="0"/>
          <w:cols w:space="708"/>
          <w:docGrid w:linePitch="360"/>
        </w:sectPr>
      </w:pPr>
    </w:p>
    <w:p>
      <w:pPr>
        <w:pStyle w:val="ManualHeading2"/>
        <w:rPr>
          <w:noProof/>
        </w:rPr>
      </w:pPr>
      <w:r>
        <w:rPr>
          <w:noProof/>
        </w:rPr>
        <w:t>8.2.</w:t>
      </w:r>
      <w:r>
        <w:rPr>
          <w:noProof/>
        </w:rPr>
        <w:tab/>
        <w:t>Административни разходи</w:t>
      </w:r>
    </w:p>
    <w:p>
      <w:pPr>
        <w:pStyle w:val="ManualHeading3"/>
        <w:rPr>
          <w:noProof/>
        </w:rPr>
      </w:pPr>
      <w:r>
        <w:rPr>
          <w:noProof/>
        </w:rPr>
        <w:t>8.2.1.</w:t>
      </w:r>
      <w:r>
        <w:rPr>
          <w:noProof/>
        </w:rPr>
        <w:tab/>
        <w:t>Брой и вид човешки ресурси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884"/>
        <w:gridCol w:w="1112"/>
        <w:gridCol w:w="1112"/>
        <w:gridCol w:w="1114"/>
        <w:gridCol w:w="1114"/>
        <w:gridCol w:w="1114"/>
        <w:gridCol w:w="1114"/>
      </w:tblGrid>
      <w:tr>
        <w:trPr>
          <w:trHeight w:val="678"/>
        </w:trPr>
        <w:tc>
          <w:tcPr>
            <w:tcW w:w="1040" w:type="dxa"/>
            <w:vAlign w:val="center"/>
          </w:tcPr>
          <w:p>
            <w:pPr>
              <w:jc w:val="center"/>
              <w:rPr>
                <w:noProof/>
                <w:sz w:val="20"/>
                <w:szCs w:val="20"/>
              </w:rPr>
            </w:pPr>
            <w:r>
              <w:rPr>
                <w:noProof/>
                <w:sz w:val="20"/>
              </w:rPr>
              <w:t>Видове длъжности</w:t>
            </w:r>
          </w:p>
        </w:tc>
        <w:tc>
          <w:tcPr>
            <w:tcW w:w="884" w:type="dxa"/>
          </w:tcPr>
          <w:p>
            <w:pPr>
              <w:rPr>
                <w:noProof/>
                <w:sz w:val="20"/>
                <w:szCs w:val="20"/>
              </w:rPr>
            </w:pPr>
          </w:p>
        </w:tc>
        <w:tc>
          <w:tcPr>
            <w:tcW w:w="6932" w:type="dxa"/>
            <w:gridSpan w:val="6"/>
            <w:vAlign w:val="center"/>
          </w:tcPr>
          <w:p>
            <w:pPr>
              <w:jc w:val="center"/>
              <w:rPr>
                <w:noProof/>
                <w:sz w:val="20"/>
                <w:szCs w:val="20"/>
              </w:rPr>
            </w:pPr>
            <w:r>
              <w:rPr>
                <w:noProof/>
                <w:sz w:val="20"/>
              </w:rPr>
              <w:t>Персонал, който трябва да бъде назначен за управление на дейността, като се използват налични и/или допълнителни ресурси (</w:t>
            </w:r>
            <w:r>
              <w:rPr>
                <w:b/>
                <w:noProof/>
                <w:sz w:val="20"/>
              </w:rPr>
              <w:t>брой длъжности/еквивалент на пълно работно време</w:t>
            </w:r>
            <w:r>
              <w:rPr>
                <w:noProof/>
                <w:sz w:val="20"/>
              </w:rPr>
              <w:t>)</w:t>
            </w:r>
          </w:p>
        </w:tc>
      </w:tr>
      <w:tr>
        <w:trPr>
          <w:trHeight w:val="383"/>
        </w:trPr>
        <w:tc>
          <w:tcPr>
            <w:tcW w:w="1040" w:type="dxa"/>
          </w:tcPr>
          <w:p>
            <w:pPr>
              <w:rPr>
                <w:noProof/>
                <w:sz w:val="20"/>
                <w:szCs w:val="20"/>
              </w:rPr>
            </w:pPr>
          </w:p>
        </w:tc>
        <w:tc>
          <w:tcPr>
            <w:tcW w:w="884" w:type="dxa"/>
          </w:tcPr>
          <w:p>
            <w:pPr>
              <w:rPr>
                <w:noProof/>
                <w:sz w:val="20"/>
                <w:szCs w:val="20"/>
              </w:rPr>
            </w:pPr>
          </w:p>
        </w:tc>
        <w:tc>
          <w:tcPr>
            <w:tcW w:w="1154" w:type="dxa"/>
            <w:vAlign w:val="center"/>
          </w:tcPr>
          <w:p>
            <w:pPr>
              <w:jc w:val="center"/>
              <w:rPr>
                <w:noProof/>
                <w:sz w:val="20"/>
                <w:szCs w:val="20"/>
              </w:rPr>
            </w:pPr>
            <w:r>
              <w:rPr>
                <w:noProof/>
                <w:sz w:val="20"/>
              </w:rPr>
              <w:t>Година n</w:t>
            </w:r>
          </w:p>
        </w:tc>
        <w:tc>
          <w:tcPr>
            <w:tcW w:w="1154" w:type="dxa"/>
            <w:vAlign w:val="center"/>
          </w:tcPr>
          <w:p>
            <w:pPr>
              <w:jc w:val="center"/>
              <w:rPr>
                <w:noProof/>
                <w:sz w:val="20"/>
                <w:szCs w:val="20"/>
              </w:rPr>
            </w:pPr>
            <w:r>
              <w:rPr>
                <w:noProof/>
                <w:sz w:val="20"/>
              </w:rPr>
              <w:t>Година n+1</w:t>
            </w:r>
          </w:p>
        </w:tc>
        <w:tc>
          <w:tcPr>
            <w:tcW w:w="1156" w:type="dxa"/>
            <w:vAlign w:val="center"/>
          </w:tcPr>
          <w:p>
            <w:pPr>
              <w:jc w:val="center"/>
              <w:rPr>
                <w:noProof/>
                <w:sz w:val="20"/>
                <w:szCs w:val="20"/>
              </w:rPr>
            </w:pPr>
            <w:r>
              <w:rPr>
                <w:noProof/>
                <w:sz w:val="20"/>
              </w:rPr>
              <w:t>Година n+2</w:t>
            </w:r>
          </w:p>
        </w:tc>
        <w:tc>
          <w:tcPr>
            <w:tcW w:w="1156" w:type="dxa"/>
            <w:vAlign w:val="center"/>
          </w:tcPr>
          <w:p>
            <w:pPr>
              <w:jc w:val="center"/>
              <w:rPr>
                <w:noProof/>
                <w:sz w:val="20"/>
                <w:szCs w:val="20"/>
              </w:rPr>
            </w:pPr>
            <w:r>
              <w:rPr>
                <w:noProof/>
                <w:sz w:val="20"/>
              </w:rPr>
              <w:t>Година n+3</w:t>
            </w:r>
          </w:p>
        </w:tc>
        <w:tc>
          <w:tcPr>
            <w:tcW w:w="1156" w:type="dxa"/>
            <w:vAlign w:val="center"/>
          </w:tcPr>
          <w:p>
            <w:pPr>
              <w:jc w:val="center"/>
              <w:rPr>
                <w:noProof/>
                <w:sz w:val="20"/>
                <w:szCs w:val="20"/>
              </w:rPr>
            </w:pPr>
            <w:r>
              <w:rPr>
                <w:noProof/>
                <w:sz w:val="20"/>
              </w:rPr>
              <w:t>Година n+4</w:t>
            </w:r>
          </w:p>
        </w:tc>
        <w:tc>
          <w:tcPr>
            <w:tcW w:w="1156" w:type="dxa"/>
            <w:vAlign w:val="center"/>
          </w:tcPr>
          <w:p>
            <w:pPr>
              <w:jc w:val="center"/>
              <w:rPr>
                <w:noProof/>
                <w:sz w:val="20"/>
                <w:szCs w:val="20"/>
              </w:rPr>
            </w:pPr>
            <w:r>
              <w:rPr>
                <w:noProof/>
                <w:sz w:val="20"/>
              </w:rPr>
              <w:t>Година n+5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val="restart"/>
          </w:tcPr>
          <w:p>
            <w:pPr>
              <w:jc w:val="center"/>
              <w:rPr>
                <w:noProof/>
                <w:sz w:val="20"/>
                <w:szCs w:val="20"/>
              </w:rPr>
            </w:pPr>
            <w:r>
              <w:rPr>
                <w:noProof/>
                <w:sz w:val="20"/>
              </w:rPr>
              <w:t>Длъжностни лица или временно наети лица</w:t>
            </w:r>
            <w:r>
              <w:rPr>
                <w:noProof/>
              </w:rPr>
              <w:t xml:space="preserve"> </w:t>
            </w:r>
            <w:r>
              <w:rPr>
                <w:noProof/>
                <w:sz w:val="20"/>
              </w:rPr>
              <w:t>(XX 01 01)</w:t>
            </w:r>
          </w:p>
        </w:tc>
        <w:tc>
          <w:tcPr>
            <w:tcW w:w="884" w:type="dxa"/>
          </w:tcPr>
          <w:p>
            <w:pPr>
              <w:rPr>
                <w:noProof/>
                <w:sz w:val="20"/>
                <w:szCs w:val="20"/>
              </w:rPr>
            </w:pPr>
            <w:r>
              <w:rPr>
                <w:noProof/>
                <w:sz w:val="20"/>
              </w:rPr>
              <w:t>A*/AD</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040" w:type="dxa"/>
            <w:vMerge/>
          </w:tcPr>
          <w:p>
            <w:pPr>
              <w:rPr>
                <w:noProof/>
                <w:sz w:val="20"/>
                <w:szCs w:val="20"/>
              </w:rPr>
            </w:pPr>
          </w:p>
        </w:tc>
        <w:tc>
          <w:tcPr>
            <w:tcW w:w="884" w:type="dxa"/>
          </w:tcPr>
          <w:p>
            <w:pPr>
              <w:rPr>
                <w:noProof/>
                <w:sz w:val="20"/>
                <w:szCs w:val="20"/>
              </w:rPr>
            </w:pPr>
            <w:r>
              <w:rPr>
                <w:noProof/>
                <w:sz w:val="20"/>
              </w:rPr>
              <w:t>B*, C*/AST</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r>
        <w:tc>
          <w:tcPr>
            <w:tcW w:w="1924" w:type="dxa"/>
            <w:gridSpan w:val="2"/>
          </w:tcPr>
          <w:p>
            <w:pPr>
              <w:rPr>
                <w:noProof/>
                <w:sz w:val="20"/>
                <w:szCs w:val="20"/>
              </w:rPr>
            </w:pPr>
            <w:r>
              <w:rPr>
                <w:noProof/>
                <w:sz w:val="20"/>
              </w:rPr>
              <w:t>Персонал, финансиран по статия XX 01 02</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r>
        <w:tc>
          <w:tcPr>
            <w:tcW w:w="1924" w:type="dxa"/>
            <w:gridSpan w:val="2"/>
          </w:tcPr>
          <w:p>
            <w:pPr>
              <w:rPr>
                <w:noProof/>
                <w:sz w:val="20"/>
                <w:szCs w:val="20"/>
              </w:rPr>
            </w:pPr>
            <w:r>
              <w:rPr>
                <w:noProof/>
                <w:sz w:val="20"/>
              </w:rPr>
              <w:t>Друг персонал, финансиран по статия XX 01 04/05</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r>
        <w:trPr>
          <w:trHeight w:val="547"/>
        </w:trPr>
        <w:tc>
          <w:tcPr>
            <w:tcW w:w="1924" w:type="dxa"/>
            <w:gridSpan w:val="2"/>
            <w:vAlign w:val="center"/>
          </w:tcPr>
          <w:p>
            <w:pPr>
              <w:rPr>
                <w:noProof/>
                <w:sz w:val="20"/>
                <w:szCs w:val="20"/>
              </w:rPr>
            </w:pPr>
            <w:r>
              <w:rPr>
                <w:b/>
                <w:noProof/>
                <w:sz w:val="20"/>
              </w:rPr>
              <w:t>ОБЩО</w:t>
            </w:r>
          </w:p>
        </w:tc>
        <w:tc>
          <w:tcPr>
            <w:tcW w:w="1154" w:type="dxa"/>
          </w:tcPr>
          <w:p>
            <w:pPr>
              <w:jc w:val="right"/>
              <w:rPr>
                <w:noProof/>
                <w:sz w:val="20"/>
                <w:szCs w:val="20"/>
              </w:rPr>
            </w:pPr>
            <w:r>
              <w:rPr>
                <w:noProof/>
                <w:sz w:val="20"/>
              </w:rPr>
              <w:t>н.п.</w:t>
            </w:r>
          </w:p>
        </w:tc>
        <w:tc>
          <w:tcPr>
            <w:tcW w:w="1154"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c>
          <w:tcPr>
            <w:tcW w:w="1156" w:type="dxa"/>
          </w:tcPr>
          <w:p>
            <w:pPr>
              <w:jc w:val="right"/>
              <w:rPr>
                <w:noProof/>
                <w:sz w:val="20"/>
                <w:szCs w:val="20"/>
              </w:rPr>
            </w:pPr>
            <w:r>
              <w:rPr>
                <w:noProof/>
                <w:sz w:val="20"/>
              </w:rPr>
              <w:t>н.п.</w:t>
            </w:r>
          </w:p>
        </w:tc>
      </w:tr>
    </w:tbl>
    <w:p>
      <w:pPr>
        <w:pStyle w:val="ManualHeading3"/>
        <w:spacing w:before="360"/>
        <w:ind w:left="851" w:hanging="851"/>
        <w:rPr>
          <w:noProof/>
        </w:rPr>
      </w:pPr>
      <w:r>
        <w:rPr>
          <w:noProof/>
        </w:rPr>
        <w:t>8.2.2.</w:t>
      </w:r>
      <w:r>
        <w:rPr>
          <w:noProof/>
        </w:rPr>
        <w:tab/>
        <w:t>Описание на задачите, произтичащи от действието</w:t>
      </w:r>
    </w:p>
    <w:p>
      <w:pPr>
        <w:rPr>
          <w:noProof/>
        </w:rPr>
      </w:pPr>
      <w:r>
        <w:rPr>
          <w:noProof/>
        </w:rPr>
        <w:t>Н.П.</w:t>
      </w:r>
    </w:p>
    <w:p>
      <w:pPr>
        <w:pStyle w:val="ManualHeading3"/>
        <w:rPr>
          <w:noProof/>
        </w:rPr>
      </w:pPr>
      <w:r>
        <w:rPr>
          <w:noProof/>
        </w:rPr>
        <w:t>8.2.3.</w:t>
      </w:r>
      <w:r>
        <w:rPr>
          <w:noProof/>
        </w:rPr>
        <w:tab/>
        <w:t>Източници на човешки ресурси (законово установени)</w:t>
      </w:r>
    </w:p>
    <w:p>
      <w:pPr>
        <w:rPr>
          <w:i/>
          <w:noProof/>
        </w:rPr>
      </w:pPr>
      <w:r>
        <w:rPr>
          <w:i/>
          <w:noProof/>
        </w:rPr>
        <w:t>(Когато са дадени повече източници, да се посочи броят на длъжностите, свързани с всеки от тях).</w:t>
      </w:r>
    </w:p>
    <w:p>
      <w:pPr>
        <w:pStyle w:val="Text1"/>
        <w:rPr>
          <w:noProof/>
        </w:rPr>
      </w:pPr>
      <w:r>
        <w:rPr>
          <w:noProof/>
        </w:rPr>
        <w:sym w:font="Wingdings" w:char="F0A8"/>
      </w:r>
      <w:r>
        <w:rPr>
          <w:noProof/>
        </w:rPr>
        <w:tab/>
        <w:t>Длъжности, понастоящем разпределени за управлението на програмата, които трябва да бъдат заменени или чийто срок трябва да се удължи</w:t>
      </w:r>
    </w:p>
    <w:p>
      <w:pPr>
        <w:pStyle w:val="Text1"/>
        <w:rPr>
          <w:noProof/>
          <w:sz w:val="20"/>
          <w:szCs w:val="20"/>
        </w:rPr>
      </w:pPr>
      <w:r>
        <w:rPr>
          <w:noProof/>
        </w:rPr>
        <w:sym w:font="Wingdings" w:char="F0A8"/>
      </w:r>
      <w:r>
        <w:rPr>
          <w:noProof/>
        </w:rPr>
        <w:tab/>
        <w:t>Длъжности, предварително разпределени в рамките на Годишната политическа стратегия (ГПС)/Предварителния проектобюджет (ППБ) за година n</w:t>
      </w:r>
    </w:p>
    <w:p>
      <w:pPr>
        <w:pStyle w:val="Text1"/>
        <w:rPr>
          <w:noProof/>
        </w:rPr>
      </w:pPr>
      <w:r>
        <w:rPr>
          <w:noProof/>
        </w:rPr>
        <w:sym w:font="Wingdings" w:char="F0A8"/>
      </w:r>
      <w:r>
        <w:rPr>
          <w:noProof/>
        </w:rPr>
        <w:tab/>
        <w:t>Длъжности, които трябва да бъдат поискани в рамките на следващата процедура за ГПС/ППБ</w:t>
      </w:r>
    </w:p>
    <w:p>
      <w:pPr>
        <w:pStyle w:val="Text1"/>
        <w:rPr>
          <w:noProof/>
        </w:rPr>
      </w:pPr>
      <w:r>
        <w:rPr>
          <w:noProof/>
        </w:rPr>
        <w:sym w:font="Wingdings" w:char="F0A8"/>
      </w:r>
      <w:r>
        <w:rPr>
          <w:noProof/>
        </w:rPr>
        <w:tab/>
        <w:t>Длъжности, които трябва да бъдат преразпределени, като се използват съществуващите ресурси в управляващата служба (вътрешно преназначаване)</w:t>
      </w:r>
    </w:p>
    <w:p>
      <w:pPr>
        <w:pStyle w:val="Text1"/>
        <w:rPr>
          <w:noProof/>
        </w:rPr>
      </w:pPr>
      <w:r>
        <w:rPr>
          <w:noProof/>
        </w:rPr>
        <w:sym w:font="Wingdings" w:char="F0A8"/>
      </w:r>
      <w:r>
        <w:rPr>
          <w:noProof/>
        </w:rPr>
        <w:tab/>
        <w:t>Длъжности, необходими за година n, но непредвидени в ГПС/ППБ за съответната година</w:t>
      </w:r>
    </w:p>
    <w:p>
      <w:pPr>
        <w:pStyle w:val="Text1"/>
        <w:spacing w:after="0"/>
        <w:rPr>
          <w:noProof/>
        </w:rPr>
        <w:sectPr>
          <w:headerReference w:type="default" r:id="rId17"/>
          <w:footerReference w:type="default" r:id="rId18"/>
          <w:headerReference w:type="first" r:id="rId19"/>
          <w:footerReference w:type="first" r:id="rId20"/>
          <w:pgSz w:w="12240" w:h="15840"/>
          <w:pgMar w:top="1440" w:right="1800" w:bottom="1440" w:left="1800" w:header="708" w:footer="708" w:gutter="0"/>
          <w:cols w:space="708"/>
          <w:docGrid w:linePitch="360"/>
        </w:sectPr>
      </w:pPr>
    </w:p>
    <w:p>
      <w:pPr>
        <w:pStyle w:val="ManualHeading3"/>
        <w:rPr>
          <w:noProof/>
        </w:rPr>
      </w:pPr>
      <w:r>
        <w:rPr>
          <w:noProof/>
        </w:rPr>
        <w:t>8.2.4.</w:t>
      </w:r>
      <w:r>
        <w:rPr>
          <w:noProof/>
        </w:rPr>
        <w:tab/>
        <w:t>Други административни разходи, включени в референтната сума (XX 01 04/05 – Разходи за административно управление)</w:t>
      </w:r>
    </w:p>
    <w:p>
      <w:pPr>
        <w:jc w:val="right"/>
        <w:rPr>
          <w:i/>
          <w:noProof/>
          <w:sz w:val="20"/>
          <w:szCs w:val="20"/>
        </w:rPr>
      </w:pPr>
      <w:r>
        <w:rPr>
          <w:i/>
          <w:noProof/>
          <w:sz w:val="20"/>
        </w:rPr>
        <w:t>в млн. евро (до третия знак след десетичната запетая)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3"/>
        <w:gridCol w:w="837"/>
        <w:gridCol w:w="837"/>
        <w:gridCol w:w="837"/>
        <w:gridCol w:w="837"/>
        <w:gridCol w:w="837"/>
        <w:gridCol w:w="1216"/>
        <w:gridCol w:w="822"/>
      </w:tblGrid>
      <w:tr>
        <w:trPr>
          <w:trHeight w:val="625"/>
        </w:trPr>
        <w:tc>
          <w:tcPr>
            <w:tcW w:w="3688" w:type="dxa"/>
          </w:tcPr>
          <w:p>
            <w:pPr>
              <w:rPr>
                <w:noProof/>
                <w:sz w:val="20"/>
              </w:rPr>
            </w:pPr>
            <w:r>
              <w:rPr>
                <w:noProof/>
                <w:sz w:val="20"/>
              </w:rPr>
              <w:t>Бюджетен ред</w:t>
            </w:r>
          </w:p>
          <w:p>
            <w:pPr>
              <w:rPr>
                <w:noProof/>
                <w:sz w:val="20"/>
              </w:rPr>
            </w:pPr>
            <w:r>
              <w:rPr>
                <w:noProof/>
                <w:sz w:val="20"/>
              </w:rPr>
              <w:t>(№ и наименование)</w:t>
            </w:r>
          </w:p>
        </w:tc>
        <w:tc>
          <w:tcPr>
            <w:tcW w:w="701" w:type="dxa"/>
            <w:vAlign w:val="center"/>
          </w:tcPr>
          <w:p>
            <w:pPr>
              <w:jc w:val="center"/>
              <w:rPr>
                <w:noProof/>
                <w:sz w:val="20"/>
              </w:rPr>
            </w:pPr>
            <w:r>
              <w:rPr>
                <w:noProof/>
                <w:sz w:val="20"/>
              </w:rPr>
              <w:t>Година n</w:t>
            </w:r>
          </w:p>
        </w:tc>
        <w:tc>
          <w:tcPr>
            <w:tcW w:w="0" w:type="auto"/>
            <w:vAlign w:val="center"/>
          </w:tcPr>
          <w:p>
            <w:pPr>
              <w:jc w:val="center"/>
              <w:rPr>
                <w:noProof/>
                <w:sz w:val="20"/>
              </w:rPr>
            </w:pPr>
            <w:r>
              <w:rPr>
                <w:noProof/>
                <w:sz w:val="20"/>
              </w:rPr>
              <w:t>Година n+1</w:t>
            </w:r>
          </w:p>
        </w:tc>
        <w:tc>
          <w:tcPr>
            <w:tcW w:w="0" w:type="auto"/>
            <w:vAlign w:val="center"/>
          </w:tcPr>
          <w:p>
            <w:pPr>
              <w:jc w:val="center"/>
              <w:rPr>
                <w:noProof/>
                <w:sz w:val="20"/>
              </w:rPr>
            </w:pPr>
            <w:r>
              <w:rPr>
                <w:noProof/>
                <w:sz w:val="20"/>
              </w:rPr>
              <w:t>Година n+2</w:t>
            </w:r>
          </w:p>
        </w:tc>
        <w:tc>
          <w:tcPr>
            <w:tcW w:w="0" w:type="auto"/>
            <w:vAlign w:val="center"/>
          </w:tcPr>
          <w:p>
            <w:pPr>
              <w:jc w:val="center"/>
              <w:rPr>
                <w:noProof/>
                <w:sz w:val="20"/>
              </w:rPr>
            </w:pPr>
            <w:r>
              <w:rPr>
                <w:noProof/>
                <w:sz w:val="20"/>
              </w:rPr>
              <w:t>Година n+3</w:t>
            </w:r>
          </w:p>
        </w:tc>
        <w:tc>
          <w:tcPr>
            <w:tcW w:w="0" w:type="auto"/>
            <w:vAlign w:val="center"/>
          </w:tcPr>
          <w:p>
            <w:pPr>
              <w:jc w:val="center"/>
              <w:rPr>
                <w:noProof/>
                <w:sz w:val="20"/>
              </w:rPr>
            </w:pPr>
            <w:r>
              <w:rPr>
                <w:noProof/>
                <w:sz w:val="20"/>
              </w:rPr>
              <w:t>Година n+4</w:t>
            </w:r>
          </w:p>
        </w:tc>
        <w:tc>
          <w:tcPr>
            <w:tcW w:w="0" w:type="auto"/>
          </w:tcPr>
          <w:p>
            <w:pPr>
              <w:jc w:val="center"/>
              <w:rPr>
                <w:noProof/>
                <w:sz w:val="20"/>
              </w:rPr>
            </w:pPr>
            <w:r>
              <w:rPr>
                <w:noProof/>
                <w:sz w:val="20"/>
              </w:rPr>
              <w:t xml:space="preserve">Година n+5 </w:t>
            </w:r>
          </w:p>
          <w:p>
            <w:pPr>
              <w:jc w:val="center"/>
              <w:rPr>
                <w:noProof/>
                <w:sz w:val="20"/>
              </w:rPr>
            </w:pPr>
            <w:r>
              <w:rPr>
                <w:noProof/>
                <w:sz w:val="20"/>
              </w:rPr>
              <w:t>и следващите</w:t>
            </w:r>
          </w:p>
        </w:tc>
        <w:tc>
          <w:tcPr>
            <w:tcW w:w="0" w:type="auto"/>
            <w:vAlign w:val="center"/>
          </w:tcPr>
          <w:p>
            <w:pPr>
              <w:jc w:val="center"/>
              <w:rPr>
                <w:noProof/>
                <w:sz w:val="20"/>
              </w:rPr>
            </w:pPr>
            <w:r>
              <w:rPr>
                <w:noProof/>
                <w:sz w:val="20"/>
              </w:rPr>
              <w:t>ОБЩО</w:t>
            </w:r>
          </w:p>
        </w:tc>
      </w:tr>
      <w:tr>
        <w:trPr>
          <w:trHeight w:val="420"/>
        </w:trPr>
        <w:tc>
          <w:tcPr>
            <w:tcW w:w="3688" w:type="dxa"/>
            <w:vAlign w:val="center"/>
          </w:tcPr>
          <w:p>
            <w:pPr>
              <w:ind w:left="360" w:hanging="360"/>
              <w:jc w:val="left"/>
              <w:rPr>
                <w:b/>
                <w:noProof/>
                <w:sz w:val="20"/>
              </w:rPr>
            </w:pPr>
            <w:r>
              <w:rPr>
                <w:b/>
                <w:noProof/>
                <w:sz w:val="20"/>
              </w:rPr>
              <w:t>1</w:t>
            </w:r>
            <w:r>
              <w:rPr>
                <w:noProof/>
              </w:rPr>
              <w:tab/>
            </w:r>
            <w:r>
              <w:rPr>
                <w:b/>
                <w:noProof/>
                <w:sz w:val="20"/>
              </w:rPr>
              <w:t>Техническа и административна помощ (включително съответните разходи за персонал)</w:t>
            </w:r>
          </w:p>
        </w:tc>
        <w:tc>
          <w:tcPr>
            <w:tcW w:w="701" w:type="dxa"/>
            <w:tcBorders>
              <w:right w:val="nil"/>
            </w:tcBorders>
            <w:shd w:val="pct10" w:color="auto" w:fill="auto"/>
            <w:vAlign w:val="center"/>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right w:val="nil"/>
            </w:tcBorders>
            <w:shd w:val="pct10" w:color="auto" w:fill="auto"/>
          </w:tcPr>
          <w:p>
            <w:pPr>
              <w:rPr>
                <w:noProof/>
                <w:sz w:val="20"/>
              </w:rPr>
            </w:pPr>
          </w:p>
        </w:tc>
        <w:tc>
          <w:tcPr>
            <w:tcW w:w="0" w:type="auto"/>
            <w:tcBorders>
              <w:left w:val="nil"/>
            </w:tcBorders>
            <w:shd w:val="pct10" w:color="auto" w:fill="auto"/>
            <w:vAlign w:val="center"/>
          </w:tcPr>
          <w:p>
            <w:pPr>
              <w:rPr>
                <w:noProof/>
                <w:sz w:val="20"/>
              </w:rPr>
            </w:pPr>
          </w:p>
        </w:tc>
      </w:tr>
      <w:tr>
        <w:trPr>
          <w:trHeight w:val="420"/>
        </w:trPr>
        <w:tc>
          <w:tcPr>
            <w:tcW w:w="3688" w:type="dxa"/>
            <w:vAlign w:val="center"/>
          </w:tcPr>
          <w:p>
            <w:pPr>
              <w:jc w:val="left"/>
              <w:rPr>
                <w:noProof/>
                <w:sz w:val="20"/>
              </w:rPr>
            </w:pPr>
            <w:r>
              <w:rPr>
                <w:noProof/>
                <w:sz w:val="20"/>
              </w:rPr>
              <w:t>Изпълнителни агенции</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r>
        <w:trPr>
          <w:trHeight w:val="420"/>
        </w:trPr>
        <w:tc>
          <w:tcPr>
            <w:tcW w:w="3688" w:type="dxa"/>
            <w:vAlign w:val="center"/>
          </w:tcPr>
          <w:p>
            <w:pPr>
              <w:jc w:val="left"/>
              <w:rPr>
                <w:noProof/>
                <w:sz w:val="20"/>
              </w:rPr>
            </w:pPr>
            <w:r>
              <w:rPr>
                <w:noProof/>
                <w:sz w:val="20"/>
              </w:rPr>
              <w:t>Друга техническа и административна помощ</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r>
        <w:trPr>
          <w:trHeight w:val="420"/>
        </w:trPr>
        <w:tc>
          <w:tcPr>
            <w:tcW w:w="3688" w:type="dxa"/>
            <w:vAlign w:val="center"/>
          </w:tcPr>
          <w:p>
            <w:pPr>
              <w:pStyle w:val="Text1"/>
              <w:ind w:left="600"/>
              <w:rPr>
                <w:b/>
                <w:noProof/>
              </w:rPr>
            </w:pPr>
            <w:r>
              <w:rPr>
                <w:b/>
                <w:noProof/>
              </w:rPr>
              <w:t xml:space="preserve">- </w:t>
            </w:r>
            <w:r>
              <w:rPr>
                <w:noProof/>
              </w:rPr>
              <w:t>intra muros</w:t>
            </w:r>
            <w:r>
              <w:rPr>
                <w:b/>
                <w:noProof/>
              </w:rPr>
              <w:t xml:space="preserve"> </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r>
        <w:trPr>
          <w:trHeight w:val="420"/>
        </w:trPr>
        <w:tc>
          <w:tcPr>
            <w:tcW w:w="3688" w:type="dxa"/>
            <w:vAlign w:val="center"/>
          </w:tcPr>
          <w:p>
            <w:pPr>
              <w:pStyle w:val="Text1"/>
              <w:ind w:left="600"/>
              <w:rPr>
                <w:b/>
                <w:noProof/>
              </w:rPr>
            </w:pPr>
            <w:r>
              <w:rPr>
                <w:b/>
                <w:noProof/>
              </w:rPr>
              <w:t xml:space="preserve">- </w:t>
            </w:r>
            <w:r>
              <w:rPr>
                <w:noProof/>
              </w:rPr>
              <w:t>extra muros</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r>
        <w:trPr>
          <w:trHeight w:val="420"/>
        </w:trPr>
        <w:tc>
          <w:tcPr>
            <w:tcW w:w="3688" w:type="dxa"/>
            <w:vAlign w:val="center"/>
          </w:tcPr>
          <w:p>
            <w:pPr>
              <w:jc w:val="left"/>
              <w:rPr>
                <w:b/>
                <w:noProof/>
                <w:sz w:val="20"/>
              </w:rPr>
            </w:pPr>
            <w:r>
              <w:rPr>
                <w:b/>
                <w:noProof/>
                <w:sz w:val="20"/>
              </w:rPr>
              <w:t>Общо техническа и административна помощ</w:t>
            </w:r>
          </w:p>
        </w:tc>
        <w:tc>
          <w:tcPr>
            <w:tcW w:w="701" w:type="dxa"/>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c>
          <w:tcPr>
            <w:tcW w:w="0" w:type="auto"/>
            <w:vAlign w:val="center"/>
          </w:tcPr>
          <w:p>
            <w:pPr>
              <w:jc w:val="right"/>
              <w:rPr>
                <w:noProof/>
                <w:sz w:val="20"/>
                <w:szCs w:val="20"/>
              </w:rPr>
            </w:pPr>
            <w:r>
              <w:rPr>
                <w:noProof/>
                <w:sz w:val="20"/>
              </w:rPr>
              <w:t>н.п.</w:t>
            </w:r>
          </w:p>
        </w:tc>
      </w:tr>
    </w:tbl>
    <w:p>
      <w:pPr>
        <w:pStyle w:val="ManualHeading3"/>
        <w:spacing w:before="360"/>
        <w:ind w:left="851" w:hanging="851"/>
        <w:rPr>
          <w:noProof/>
        </w:rPr>
      </w:pPr>
      <w:r>
        <w:rPr>
          <w:noProof/>
        </w:rPr>
        <w:t>8.2.5.</w:t>
      </w:r>
      <w:r>
        <w:rPr>
          <w:noProof/>
        </w:rPr>
        <w:tab/>
        <w:t>Разходи за човешки ресурси и свързаните с тях разходи, които не са включени в референтната сума</w:t>
      </w:r>
    </w:p>
    <w:p>
      <w:pPr>
        <w:jc w:val="right"/>
        <w:rPr>
          <w:i/>
          <w:noProof/>
          <w:sz w:val="20"/>
          <w:szCs w:val="20"/>
        </w:rPr>
      </w:pPr>
      <w:r>
        <w:rPr>
          <w:i/>
          <w:noProof/>
          <w:sz w:val="20"/>
        </w:rPr>
        <w:t>в млн. евро (до третия знак след десетичната запетая)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008"/>
        <w:gridCol w:w="1009"/>
        <w:gridCol w:w="1008"/>
        <w:gridCol w:w="1009"/>
        <w:gridCol w:w="1008"/>
        <w:gridCol w:w="1216"/>
      </w:tblGrid>
      <w:tr>
        <w:trPr>
          <w:trHeight w:val="391"/>
        </w:trPr>
        <w:tc>
          <w:tcPr>
            <w:tcW w:w="0" w:type="auto"/>
            <w:vAlign w:val="center"/>
          </w:tcPr>
          <w:p>
            <w:pPr>
              <w:jc w:val="center"/>
              <w:rPr>
                <w:noProof/>
                <w:sz w:val="20"/>
              </w:rPr>
            </w:pPr>
            <w:r>
              <w:rPr>
                <w:noProof/>
                <w:sz w:val="20"/>
              </w:rPr>
              <w:t>Вид човешки ресурси</w:t>
            </w:r>
          </w:p>
        </w:tc>
        <w:tc>
          <w:tcPr>
            <w:tcW w:w="1008" w:type="dxa"/>
            <w:vAlign w:val="center"/>
          </w:tcPr>
          <w:p>
            <w:pPr>
              <w:jc w:val="center"/>
              <w:rPr>
                <w:noProof/>
                <w:sz w:val="20"/>
              </w:rPr>
            </w:pPr>
            <w:r>
              <w:rPr>
                <w:noProof/>
                <w:sz w:val="20"/>
              </w:rPr>
              <w:t>Година n</w:t>
            </w:r>
          </w:p>
        </w:tc>
        <w:tc>
          <w:tcPr>
            <w:tcW w:w="1009" w:type="dxa"/>
            <w:vAlign w:val="center"/>
          </w:tcPr>
          <w:p>
            <w:pPr>
              <w:jc w:val="center"/>
              <w:rPr>
                <w:noProof/>
                <w:sz w:val="20"/>
              </w:rPr>
            </w:pPr>
            <w:r>
              <w:rPr>
                <w:noProof/>
                <w:sz w:val="20"/>
              </w:rPr>
              <w:t>Година n+1</w:t>
            </w:r>
          </w:p>
        </w:tc>
        <w:tc>
          <w:tcPr>
            <w:tcW w:w="1008" w:type="dxa"/>
            <w:vAlign w:val="center"/>
          </w:tcPr>
          <w:p>
            <w:pPr>
              <w:jc w:val="center"/>
              <w:rPr>
                <w:noProof/>
                <w:sz w:val="20"/>
              </w:rPr>
            </w:pPr>
            <w:r>
              <w:rPr>
                <w:noProof/>
                <w:sz w:val="20"/>
              </w:rPr>
              <w:t>Година n+2</w:t>
            </w:r>
          </w:p>
        </w:tc>
        <w:tc>
          <w:tcPr>
            <w:tcW w:w="1009" w:type="dxa"/>
            <w:vAlign w:val="center"/>
          </w:tcPr>
          <w:p>
            <w:pPr>
              <w:jc w:val="center"/>
              <w:rPr>
                <w:noProof/>
                <w:sz w:val="20"/>
              </w:rPr>
            </w:pPr>
            <w:r>
              <w:rPr>
                <w:noProof/>
                <w:sz w:val="20"/>
              </w:rPr>
              <w:t>Година n+3</w:t>
            </w:r>
          </w:p>
        </w:tc>
        <w:tc>
          <w:tcPr>
            <w:tcW w:w="1008" w:type="dxa"/>
            <w:vAlign w:val="center"/>
          </w:tcPr>
          <w:p>
            <w:pPr>
              <w:jc w:val="center"/>
              <w:rPr>
                <w:noProof/>
                <w:sz w:val="20"/>
              </w:rPr>
            </w:pPr>
            <w:r>
              <w:rPr>
                <w:noProof/>
                <w:sz w:val="20"/>
              </w:rPr>
              <w:t>Година n+4</w:t>
            </w:r>
          </w:p>
        </w:tc>
        <w:tc>
          <w:tcPr>
            <w:tcW w:w="1009" w:type="dxa"/>
          </w:tcPr>
          <w:p>
            <w:pPr>
              <w:jc w:val="center"/>
              <w:rPr>
                <w:noProof/>
                <w:sz w:val="20"/>
              </w:rPr>
            </w:pPr>
            <w:r>
              <w:rPr>
                <w:noProof/>
                <w:sz w:val="20"/>
              </w:rPr>
              <w:t xml:space="preserve">Година n+5 </w:t>
            </w:r>
          </w:p>
          <w:p>
            <w:pPr>
              <w:jc w:val="center"/>
              <w:rPr>
                <w:noProof/>
                <w:sz w:val="20"/>
              </w:rPr>
            </w:pPr>
            <w:r>
              <w:rPr>
                <w:noProof/>
                <w:sz w:val="20"/>
              </w:rPr>
              <w:t>и следващите</w:t>
            </w:r>
          </w:p>
        </w:tc>
      </w:tr>
      <w:tr>
        <w:trPr>
          <w:cantSplit/>
          <w:trHeight w:val="684"/>
        </w:trPr>
        <w:tc>
          <w:tcPr>
            <w:tcW w:w="0" w:type="auto"/>
            <w:vAlign w:val="center"/>
          </w:tcPr>
          <w:p>
            <w:pPr>
              <w:rPr>
                <w:noProof/>
                <w:sz w:val="20"/>
              </w:rPr>
            </w:pPr>
            <w:r>
              <w:rPr>
                <w:noProof/>
                <w:sz w:val="20"/>
              </w:rPr>
              <w:t>Длъжностни лица и временно наети лица (ХХ 01 01)</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c>
          <w:tcPr>
            <w:tcW w:w="0" w:type="auto"/>
          </w:tcPr>
          <w:p>
            <w:pPr>
              <w:jc w:val="right"/>
              <w:rPr>
                <w:noProof/>
                <w:sz w:val="20"/>
                <w:szCs w:val="20"/>
              </w:rPr>
            </w:pPr>
            <w:r>
              <w:rPr>
                <w:noProof/>
                <w:sz w:val="20"/>
              </w:rPr>
              <w:t>н.п.</w:t>
            </w:r>
          </w:p>
        </w:tc>
      </w:tr>
      <w:tr>
        <w:trPr>
          <w:cantSplit/>
          <w:trHeight w:val="684"/>
        </w:trPr>
        <w:tc>
          <w:tcPr>
            <w:tcW w:w="0" w:type="auto"/>
            <w:vAlign w:val="center"/>
          </w:tcPr>
          <w:p>
            <w:pPr>
              <w:rPr>
                <w:noProof/>
                <w:sz w:val="20"/>
              </w:rPr>
            </w:pPr>
            <w:r>
              <w:rPr>
                <w:noProof/>
                <w:sz w:val="20"/>
              </w:rPr>
              <w:t>Персонал, финансиран по статия XX 01 02 (помощен персонал, външни национални експерти, договорно нает персонал и др.)</w:t>
            </w:r>
          </w:p>
          <w:p>
            <w:pPr>
              <w:jc w:val="right"/>
              <w:rPr>
                <w:noProof/>
                <w:sz w:val="20"/>
              </w:rPr>
            </w:pPr>
            <w:r>
              <w:rPr>
                <w:noProof/>
                <w:sz w:val="20"/>
              </w:rPr>
              <w:t>(посочете бюджетния ред)</w:t>
            </w:r>
          </w:p>
        </w:tc>
        <w:tc>
          <w:tcPr>
            <w:tcW w:w="1008" w:type="dxa"/>
          </w:tcPr>
          <w:p>
            <w:pPr>
              <w:jc w:val="right"/>
              <w:rPr>
                <w:noProof/>
                <w:sz w:val="20"/>
                <w:szCs w:val="20"/>
              </w:rPr>
            </w:pPr>
            <w:r>
              <w:rPr>
                <w:noProof/>
                <w:sz w:val="20"/>
              </w:rPr>
              <w:t>н.п.</w:t>
            </w:r>
          </w:p>
        </w:tc>
        <w:tc>
          <w:tcPr>
            <w:tcW w:w="1009" w:type="dxa"/>
          </w:tcPr>
          <w:p>
            <w:pPr>
              <w:jc w:val="right"/>
              <w:rPr>
                <w:noProof/>
                <w:sz w:val="20"/>
                <w:szCs w:val="20"/>
              </w:rPr>
            </w:pPr>
            <w:r>
              <w:rPr>
                <w:noProof/>
                <w:sz w:val="20"/>
              </w:rPr>
              <w:t>н.п.</w:t>
            </w:r>
          </w:p>
        </w:tc>
        <w:tc>
          <w:tcPr>
            <w:tcW w:w="1008" w:type="dxa"/>
          </w:tcPr>
          <w:p>
            <w:pPr>
              <w:jc w:val="right"/>
              <w:rPr>
                <w:noProof/>
                <w:sz w:val="20"/>
                <w:szCs w:val="20"/>
              </w:rPr>
            </w:pPr>
            <w:r>
              <w:rPr>
                <w:noProof/>
                <w:sz w:val="20"/>
              </w:rPr>
              <w:t>н.п.</w:t>
            </w:r>
          </w:p>
        </w:tc>
        <w:tc>
          <w:tcPr>
            <w:tcW w:w="1009" w:type="dxa"/>
          </w:tcPr>
          <w:p>
            <w:pPr>
              <w:jc w:val="right"/>
              <w:rPr>
                <w:noProof/>
                <w:sz w:val="20"/>
                <w:szCs w:val="20"/>
              </w:rPr>
            </w:pPr>
            <w:r>
              <w:rPr>
                <w:noProof/>
                <w:sz w:val="20"/>
              </w:rPr>
              <w:t>н.п.</w:t>
            </w:r>
          </w:p>
        </w:tc>
        <w:tc>
          <w:tcPr>
            <w:tcW w:w="1008" w:type="dxa"/>
          </w:tcPr>
          <w:p>
            <w:pPr>
              <w:jc w:val="right"/>
              <w:rPr>
                <w:noProof/>
                <w:sz w:val="20"/>
                <w:szCs w:val="20"/>
              </w:rPr>
            </w:pPr>
            <w:r>
              <w:rPr>
                <w:noProof/>
                <w:sz w:val="20"/>
              </w:rPr>
              <w:t>н.п.</w:t>
            </w:r>
          </w:p>
        </w:tc>
        <w:tc>
          <w:tcPr>
            <w:tcW w:w="1009" w:type="dxa"/>
          </w:tcPr>
          <w:p>
            <w:pPr>
              <w:jc w:val="right"/>
              <w:rPr>
                <w:noProof/>
                <w:sz w:val="20"/>
                <w:szCs w:val="20"/>
              </w:rPr>
            </w:pPr>
            <w:r>
              <w:rPr>
                <w:noProof/>
                <w:sz w:val="20"/>
              </w:rPr>
              <w:t>н.п.</w:t>
            </w:r>
          </w:p>
        </w:tc>
      </w:tr>
      <w:tr>
        <w:trPr>
          <w:cantSplit/>
          <w:trHeight w:val="303"/>
        </w:trPr>
        <w:tc>
          <w:tcPr>
            <w:tcW w:w="0" w:type="auto"/>
            <w:vAlign w:val="center"/>
          </w:tcPr>
          <w:p>
            <w:pPr>
              <w:jc w:val="left"/>
              <w:rPr>
                <w:b/>
                <w:noProof/>
                <w:sz w:val="20"/>
              </w:rPr>
            </w:pPr>
            <w:r>
              <w:rPr>
                <w:b/>
                <w:noProof/>
                <w:sz w:val="20"/>
              </w:rPr>
              <w:t>Общо разходи за човешки ресурси и свързаните с тях разходи (които НЕ са включени в референтната сума)</w:t>
            </w:r>
          </w:p>
        </w:tc>
        <w:tc>
          <w:tcPr>
            <w:tcW w:w="1008" w:type="dxa"/>
          </w:tcPr>
          <w:p>
            <w:pPr>
              <w:jc w:val="right"/>
              <w:rPr>
                <w:b/>
                <w:noProof/>
                <w:sz w:val="20"/>
                <w:szCs w:val="20"/>
              </w:rPr>
            </w:pPr>
            <w:r>
              <w:rPr>
                <w:noProof/>
                <w:sz w:val="20"/>
              </w:rPr>
              <w:t>н.п.</w:t>
            </w:r>
          </w:p>
        </w:tc>
        <w:tc>
          <w:tcPr>
            <w:tcW w:w="1009" w:type="dxa"/>
          </w:tcPr>
          <w:p>
            <w:pPr>
              <w:jc w:val="right"/>
              <w:rPr>
                <w:b/>
                <w:noProof/>
                <w:sz w:val="20"/>
                <w:szCs w:val="20"/>
              </w:rPr>
            </w:pPr>
            <w:r>
              <w:rPr>
                <w:noProof/>
                <w:sz w:val="20"/>
              </w:rPr>
              <w:t>н.п.</w:t>
            </w:r>
          </w:p>
        </w:tc>
        <w:tc>
          <w:tcPr>
            <w:tcW w:w="1008" w:type="dxa"/>
          </w:tcPr>
          <w:p>
            <w:pPr>
              <w:jc w:val="right"/>
              <w:rPr>
                <w:b/>
                <w:noProof/>
                <w:sz w:val="20"/>
                <w:szCs w:val="20"/>
              </w:rPr>
            </w:pPr>
            <w:r>
              <w:rPr>
                <w:noProof/>
                <w:sz w:val="20"/>
              </w:rPr>
              <w:t>н.п.</w:t>
            </w:r>
          </w:p>
        </w:tc>
        <w:tc>
          <w:tcPr>
            <w:tcW w:w="1009" w:type="dxa"/>
          </w:tcPr>
          <w:p>
            <w:pPr>
              <w:jc w:val="right"/>
              <w:rPr>
                <w:b/>
                <w:noProof/>
                <w:sz w:val="20"/>
                <w:szCs w:val="20"/>
              </w:rPr>
            </w:pPr>
            <w:r>
              <w:rPr>
                <w:noProof/>
                <w:sz w:val="20"/>
              </w:rPr>
              <w:t>н.п.</w:t>
            </w:r>
          </w:p>
        </w:tc>
        <w:tc>
          <w:tcPr>
            <w:tcW w:w="1008" w:type="dxa"/>
          </w:tcPr>
          <w:p>
            <w:pPr>
              <w:jc w:val="right"/>
              <w:rPr>
                <w:b/>
                <w:noProof/>
                <w:sz w:val="20"/>
                <w:szCs w:val="20"/>
              </w:rPr>
            </w:pPr>
            <w:r>
              <w:rPr>
                <w:noProof/>
                <w:sz w:val="20"/>
              </w:rPr>
              <w:t>н.п.</w:t>
            </w:r>
          </w:p>
        </w:tc>
        <w:tc>
          <w:tcPr>
            <w:tcW w:w="1009" w:type="dxa"/>
          </w:tcPr>
          <w:p>
            <w:pPr>
              <w:jc w:val="right"/>
              <w:rPr>
                <w:b/>
                <w:noProof/>
                <w:sz w:val="20"/>
                <w:szCs w:val="20"/>
              </w:rPr>
            </w:pPr>
            <w:r>
              <w:rPr>
                <w:noProof/>
                <w:sz w:val="20"/>
              </w:rPr>
              <w:t>н.п.</w:t>
            </w:r>
          </w:p>
        </w:tc>
      </w:tr>
    </w:tbl>
    <w:p>
      <w:pPr>
        <w:rPr>
          <w:noProof/>
        </w:rPr>
        <w:sectPr>
          <w:pgSz w:w="12240" w:h="15840"/>
          <w:pgMar w:top="1440" w:right="1800" w:bottom="1440" w:left="1800" w:header="708" w:footer="708" w:gutter="0"/>
          <w:cols w:space="708"/>
          <w:docGrid w:linePitch="360"/>
        </w:sectPr>
      </w:pPr>
    </w:p>
    <w:p>
      <w:pPr>
        <w:pBdr>
          <w:top w:val="single" w:sz="4" w:space="1" w:color="auto"/>
          <w:left w:val="single" w:sz="4" w:space="4" w:color="auto"/>
          <w:bottom w:val="single" w:sz="4" w:space="1" w:color="auto"/>
          <w:right w:val="single" w:sz="4" w:space="4" w:color="auto"/>
        </w:pBdr>
        <w:rPr>
          <w:noProof/>
        </w:rPr>
      </w:pPr>
      <w:r>
        <w:rPr>
          <w:noProof/>
        </w:rPr>
        <w:t xml:space="preserve">Изчисление— </w:t>
      </w:r>
      <w:r>
        <w:rPr>
          <w:b/>
          <w:i/>
          <w:noProof/>
        </w:rPr>
        <w:t>Длъжностни лица и временно наети лица</w:t>
      </w:r>
    </w:p>
    <w:p>
      <w:pPr>
        <w:pBdr>
          <w:top w:val="single" w:sz="4" w:space="1" w:color="auto"/>
          <w:left w:val="single" w:sz="4" w:space="4" w:color="auto"/>
          <w:bottom w:val="single" w:sz="4" w:space="1" w:color="auto"/>
          <w:right w:val="single" w:sz="4" w:space="4" w:color="auto"/>
        </w:pBdr>
        <w:rPr>
          <w:i/>
          <w:noProof/>
        </w:rPr>
      </w:pPr>
      <w:r>
        <w:rPr>
          <w:i/>
          <w:noProof/>
        </w:rPr>
        <w:t>Препратка към точка 8.2.1, ако е приложимо</w:t>
      </w:r>
    </w:p>
    <w:p>
      <w:pPr>
        <w:pBdr>
          <w:top w:val="single" w:sz="4" w:space="1" w:color="auto"/>
          <w:left w:val="single" w:sz="4" w:space="4" w:color="auto"/>
          <w:bottom w:val="single" w:sz="4" w:space="1" w:color="auto"/>
          <w:right w:val="single" w:sz="4" w:space="4" w:color="auto"/>
        </w:pBdr>
        <w:rPr>
          <w:i/>
          <w:noProof/>
        </w:rPr>
      </w:pPr>
      <w:r>
        <w:rPr>
          <w:noProof/>
        </w:rPr>
        <w:t>н.п.</w:t>
      </w:r>
    </w:p>
    <w:p>
      <w:pPr>
        <w:pBdr>
          <w:top w:val="single" w:sz="4" w:space="1" w:color="auto"/>
          <w:left w:val="single" w:sz="4" w:space="4" w:color="auto"/>
          <w:bottom w:val="single" w:sz="4" w:space="1" w:color="auto"/>
          <w:right w:val="single" w:sz="4" w:space="4" w:color="auto"/>
        </w:pBdr>
        <w:rPr>
          <w:noProof/>
        </w:rPr>
      </w:pPr>
      <w:r>
        <w:rPr>
          <w:noProof/>
        </w:rPr>
        <w:t xml:space="preserve">Изчисление — </w:t>
      </w:r>
      <w:r>
        <w:rPr>
          <w:b/>
          <w:i/>
          <w:noProof/>
        </w:rPr>
        <w:t>Персонал, финансиран по статия ХХ 01 02</w:t>
      </w:r>
    </w:p>
    <w:p>
      <w:pPr>
        <w:pBdr>
          <w:top w:val="single" w:sz="4" w:space="1" w:color="auto"/>
          <w:left w:val="single" w:sz="4" w:space="4" w:color="auto"/>
          <w:bottom w:val="single" w:sz="4" w:space="1" w:color="auto"/>
          <w:right w:val="single" w:sz="4" w:space="4" w:color="auto"/>
        </w:pBdr>
        <w:rPr>
          <w:i/>
          <w:noProof/>
        </w:rPr>
      </w:pPr>
      <w:r>
        <w:rPr>
          <w:i/>
          <w:noProof/>
        </w:rPr>
        <w:t>Препратка към точка 8.2.1, ако е приложимо</w:t>
      </w:r>
    </w:p>
    <w:p>
      <w:pPr>
        <w:pBdr>
          <w:top w:val="single" w:sz="4" w:space="1" w:color="auto"/>
          <w:left w:val="single" w:sz="4" w:space="4" w:color="auto"/>
          <w:bottom w:val="single" w:sz="4" w:space="1" w:color="auto"/>
          <w:right w:val="single" w:sz="4" w:space="4" w:color="auto"/>
        </w:pBdr>
        <w:rPr>
          <w:noProof/>
        </w:rPr>
      </w:pPr>
      <w:r>
        <w:rPr>
          <w:noProof/>
        </w:rPr>
        <w:t>н.п.</w:t>
      </w:r>
    </w:p>
    <w:p>
      <w:pPr>
        <w:pStyle w:val="ManualHeading3"/>
        <w:rPr>
          <w:noProof/>
        </w:rPr>
      </w:pPr>
      <w:r>
        <w:rPr>
          <w:noProof/>
        </w:rPr>
        <w:t>8.2.6.</w:t>
      </w:r>
      <w:r>
        <w:rPr>
          <w:noProof/>
        </w:rPr>
        <w:tab/>
        <w:t>Други административни разходи, които не са включени в референтната сума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03"/>
        <w:gridCol w:w="703"/>
        <w:gridCol w:w="703"/>
        <w:gridCol w:w="703"/>
        <w:gridCol w:w="703"/>
        <w:gridCol w:w="703"/>
        <w:gridCol w:w="907"/>
      </w:tblGrid>
      <w:tr>
        <w:trPr>
          <w:trHeight w:val="420"/>
        </w:trPr>
        <w:tc>
          <w:tcPr>
            <w:tcW w:w="8811" w:type="dxa"/>
            <w:gridSpan w:val="8"/>
            <w:tcBorders>
              <w:top w:val="nil"/>
              <w:left w:val="nil"/>
              <w:right w:val="nil"/>
            </w:tcBorders>
            <w:vAlign w:val="center"/>
          </w:tcPr>
          <w:p>
            <w:pPr>
              <w:jc w:val="right"/>
              <w:rPr>
                <w:i/>
                <w:noProof/>
                <w:sz w:val="20"/>
                <w:szCs w:val="20"/>
              </w:rPr>
            </w:pPr>
            <w:r>
              <w:rPr>
                <w:i/>
                <w:noProof/>
                <w:sz w:val="20"/>
              </w:rPr>
              <w:t>в млн. евро (до третия знак след десетичната запетая)</w:t>
            </w:r>
          </w:p>
        </w:tc>
      </w:tr>
      <w:tr>
        <w:trPr>
          <w:trHeight w:val="420"/>
        </w:trPr>
        <w:tc>
          <w:tcPr>
            <w:tcW w:w="3686" w:type="dxa"/>
            <w:vAlign w:val="center"/>
          </w:tcPr>
          <w:p>
            <w:pPr>
              <w:ind w:left="360" w:hanging="360"/>
              <w:rPr>
                <w:b/>
                <w:noProof/>
                <w:sz w:val="20"/>
              </w:rPr>
            </w:pPr>
          </w:p>
        </w:tc>
        <w:tc>
          <w:tcPr>
            <w:tcW w:w="703" w:type="dxa"/>
            <w:vAlign w:val="center"/>
          </w:tcPr>
          <w:p>
            <w:pPr>
              <w:jc w:val="center"/>
              <w:rPr>
                <w:noProof/>
                <w:sz w:val="20"/>
              </w:rPr>
            </w:pPr>
          </w:p>
          <w:p>
            <w:pPr>
              <w:jc w:val="center"/>
              <w:rPr>
                <w:noProof/>
                <w:sz w:val="20"/>
              </w:rPr>
            </w:pPr>
            <w:r>
              <w:rPr>
                <w:noProof/>
                <w:sz w:val="20"/>
              </w:rPr>
              <w:t>Година n</w:t>
            </w:r>
          </w:p>
        </w:tc>
        <w:tc>
          <w:tcPr>
            <w:tcW w:w="703" w:type="dxa"/>
            <w:vAlign w:val="center"/>
          </w:tcPr>
          <w:p>
            <w:pPr>
              <w:jc w:val="center"/>
              <w:rPr>
                <w:noProof/>
                <w:sz w:val="20"/>
              </w:rPr>
            </w:pPr>
            <w:r>
              <w:rPr>
                <w:noProof/>
                <w:sz w:val="20"/>
              </w:rPr>
              <w:t>Година n+1</w:t>
            </w:r>
          </w:p>
        </w:tc>
        <w:tc>
          <w:tcPr>
            <w:tcW w:w="703" w:type="dxa"/>
            <w:vAlign w:val="center"/>
          </w:tcPr>
          <w:p>
            <w:pPr>
              <w:jc w:val="center"/>
              <w:rPr>
                <w:noProof/>
                <w:sz w:val="20"/>
              </w:rPr>
            </w:pPr>
            <w:r>
              <w:rPr>
                <w:noProof/>
                <w:sz w:val="20"/>
              </w:rPr>
              <w:t>Година n+2</w:t>
            </w:r>
          </w:p>
        </w:tc>
        <w:tc>
          <w:tcPr>
            <w:tcW w:w="703" w:type="dxa"/>
            <w:vAlign w:val="center"/>
          </w:tcPr>
          <w:p>
            <w:pPr>
              <w:jc w:val="center"/>
              <w:rPr>
                <w:noProof/>
                <w:sz w:val="20"/>
              </w:rPr>
            </w:pPr>
            <w:r>
              <w:rPr>
                <w:noProof/>
                <w:sz w:val="20"/>
              </w:rPr>
              <w:t>Година n+3</w:t>
            </w:r>
          </w:p>
        </w:tc>
        <w:tc>
          <w:tcPr>
            <w:tcW w:w="703" w:type="dxa"/>
            <w:vAlign w:val="center"/>
          </w:tcPr>
          <w:p>
            <w:pPr>
              <w:jc w:val="center"/>
              <w:rPr>
                <w:noProof/>
                <w:sz w:val="20"/>
              </w:rPr>
            </w:pPr>
            <w:r>
              <w:rPr>
                <w:noProof/>
                <w:sz w:val="20"/>
              </w:rPr>
              <w:t>Година n+4</w:t>
            </w:r>
          </w:p>
        </w:tc>
        <w:tc>
          <w:tcPr>
            <w:tcW w:w="703" w:type="dxa"/>
          </w:tcPr>
          <w:p>
            <w:pPr>
              <w:jc w:val="center"/>
              <w:rPr>
                <w:noProof/>
                <w:sz w:val="20"/>
              </w:rPr>
            </w:pPr>
            <w:r>
              <w:rPr>
                <w:noProof/>
                <w:sz w:val="20"/>
              </w:rPr>
              <w:t>Година n+5</w:t>
            </w:r>
          </w:p>
          <w:p>
            <w:pPr>
              <w:jc w:val="center"/>
              <w:rPr>
                <w:noProof/>
                <w:sz w:val="20"/>
              </w:rPr>
            </w:pPr>
            <w:r>
              <w:rPr>
                <w:noProof/>
                <w:sz w:val="20"/>
              </w:rPr>
              <w:t>и следващите</w:t>
            </w:r>
          </w:p>
        </w:tc>
        <w:tc>
          <w:tcPr>
            <w:tcW w:w="907" w:type="dxa"/>
            <w:vAlign w:val="center"/>
          </w:tcPr>
          <w:p>
            <w:pPr>
              <w:jc w:val="center"/>
              <w:rPr>
                <w:noProof/>
                <w:sz w:val="20"/>
              </w:rPr>
            </w:pPr>
            <w:r>
              <w:rPr>
                <w:noProof/>
                <w:sz w:val="20"/>
              </w:rPr>
              <w:t>ОБЩО</w:t>
            </w:r>
          </w:p>
        </w:tc>
      </w:tr>
      <w:tr>
        <w:trPr>
          <w:trHeight w:val="455"/>
        </w:trPr>
        <w:tc>
          <w:tcPr>
            <w:tcW w:w="3686" w:type="dxa"/>
            <w:vAlign w:val="center"/>
          </w:tcPr>
          <w:p>
            <w:pPr>
              <w:rPr>
                <w:noProof/>
                <w:sz w:val="18"/>
                <w:szCs w:val="18"/>
              </w:rPr>
            </w:pPr>
            <w:r>
              <w:rPr>
                <w:noProof/>
                <w:sz w:val="18"/>
              </w:rPr>
              <w:t>XX 01 02 11 01 — Командировки</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907" w:type="dxa"/>
            <w:vAlign w:val="center"/>
          </w:tcPr>
          <w:p>
            <w:pPr>
              <w:jc w:val="right"/>
              <w:rPr>
                <w:noProof/>
                <w:sz w:val="20"/>
                <w:szCs w:val="20"/>
              </w:rPr>
            </w:pPr>
            <w:r>
              <w:rPr>
                <w:noProof/>
                <w:sz w:val="20"/>
              </w:rPr>
              <w:t>н.п.</w:t>
            </w:r>
          </w:p>
        </w:tc>
      </w:tr>
      <w:tr>
        <w:trPr>
          <w:trHeight w:val="454"/>
        </w:trPr>
        <w:tc>
          <w:tcPr>
            <w:tcW w:w="3686" w:type="dxa"/>
            <w:vAlign w:val="center"/>
          </w:tcPr>
          <w:p>
            <w:pPr>
              <w:rPr>
                <w:noProof/>
                <w:sz w:val="18"/>
                <w:szCs w:val="18"/>
              </w:rPr>
            </w:pPr>
            <w:r>
              <w:rPr>
                <w:noProof/>
                <w:sz w:val="18"/>
              </w:rPr>
              <w:t>XX 01 02 11 02 — Заседания и конференции</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54"/>
        </w:trPr>
        <w:tc>
          <w:tcPr>
            <w:tcW w:w="3686" w:type="dxa"/>
            <w:vAlign w:val="center"/>
          </w:tcPr>
          <w:p>
            <w:pPr>
              <w:rPr>
                <w:noProof/>
                <w:sz w:val="18"/>
                <w:szCs w:val="18"/>
              </w:rPr>
            </w:pPr>
            <w:r>
              <w:rPr>
                <w:noProof/>
                <w:sz w:val="18"/>
              </w:rPr>
              <w:t xml:space="preserve">XX 01 02 11 03 — Комитети </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54"/>
        </w:trPr>
        <w:tc>
          <w:tcPr>
            <w:tcW w:w="3686" w:type="dxa"/>
            <w:vAlign w:val="center"/>
          </w:tcPr>
          <w:p>
            <w:pPr>
              <w:rPr>
                <w:noProof/>
                <w:sz w:val="18"/>
                <w:szCs w:val="18"/>
              </w:rPr>
            </w:pPr>
            <w:r>
              <w:rPr>
                <w:noProof/>
                <w:sz w:val="18"/>
              </w:rPr>
              <w:t>XX 01 02 11 04 — Проучвания и консултации</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35"/>
        </w:trPr>
        <w:tc>
          <w:tcPr>
            <w:tcW w:w="3686" w:type="dxa"/>
            <w:vAlign w:val="center"/>
          </w:tcPr>
          <w:p>
            <w:pPr>
              <w:rPr>
                <w:noProof/>
                <w:sz w:val="18"/>
                <w:szCs w:val="18"/>
              </w:rPr>
            </w:pPr>
            <w:r>
              <w:rPr>
                <w:noProof/>
                <w:sz w:val="18"/>
              </w:rPr>
              <w:t>XX 01 02 11 05 — Информационни системи</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26"/>
        </w:trPr>
        <w:tc>
          <w:tcPr>
            <w:tcW w:w="3686" w:type="dxa"/>
            <w:vAlign w:val="center"/>
          </w:tcPr>
          <w:p>
            <w:pPr>
              <w:ind w:left="360" w:hanging="360"/>
              <w:jc w:val="left"/>
              <w:rPr>
                <w:b/>
                <w:noProof/>
                <w:sz w:val="20"/>
              </w:rPr>
            </w:pPr>
            <w:r>
              <w:rPr>
                <w:b/>
                <w:noProof/>
                <w:sz w:val="20"/>
              </w:rPr>
              <w:t xml:space="preserve"> 2</w:t>
            </w:r>
            <w:r>
              <w:rPr>
                <w:noProof/>
              </w:rPr>
              <w:tab/>
            </w:r>
            <w:r>
              <w:rPr>
                <w:b/>
                <w:noProof/>
                <w:sz w:val="20"/>
              </w:rPr>
              <w:t>Общо други разходи за управление (XX 01 02 11)</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26"/>
        </w:trPr>
        <w:tc>
          <w:tcPr>
            <w:tcW w:w="3686" w:type="dxa"/>
            <w:vAlign w:val="center"/>
          </w:tcPr>
          <w:p>
            <w:pPr>
              <w:ind w:left="360" w:hanging="360"/>
              <w:jc w:val="left"/>
              <w:rPr>
                <w:noProof/>
                <w:sz w:val="20"/>
              </w:rPr>
            </w:pPr>
            <w:r>
              <w:rPr>
                <w:b/>
                <w:noProof/>
                <w:sz w:val="20"/>
              </w:rPr>
              <w:t>3</w:t>
            </w:r>
            <w:r>
              <w:rPr>
                <w:noProof/>
              </w:rPr>
              <w:tab/>
            </w:r>
            <w:r>
              <w:rPr>
                <w:b/>
                <w:noProof/>
                <w:sz w:val="20"/>
              </w:rPr>
              <w:t xml:space="preserve">Други разходи от административен характер </w:t>
            </w:r>
            <w:r>
              <w:rPr>
                <w:noProof/>
                <w:sz w:val="18"/>
              </w:rPr>
              <w:t>(уточнете, като посочите и бюджетния ред)</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703" w:type="dxa"/>
          </w:tcPr>
          <w:p>
            <w:pPr>
              <w:jc w:val="right"/>
              <w:rPr>
                <w:noProof/>
                <w:sz w:val="20"/>
                <w:szCs w:val="20"/>
              </w:rPr>
            </w:pPr>
            <w:r>
              <w:rPr>
                <w:noProof/>
                <w:sz w:val="20"/>
              </w:rPr>
              <w:t>н.п.</w:t>
            </w:r>
          </w:p>
        </w:tc>
        <w:tc>
          <w:tcPr>
            <w:tcW w:w="907" w:type="dxa"/>
          </w:tcPr>
          <w:p>
            <w:pPr>
              <w:jc w:val="right"/>
              <w:rPr>
                <w:noProof/>
                <w:sz w:val="20"/>
                <w:szCs w:val="20"/>
              </w:rPr>
            </w:pPr>
            <w:r>
              <w:rPr>
                <w:noProof/>
                <w:sz w:val="20"/>
              </w:rPr>
              <w:t>н.п.</w:t>
            </w:r>
          </w:p>
        </w:tc>
      </w:tr>
      <w:tr>
        <w:trPr>
          <w:trHeight w:val="473"/>
        </w:trPr>
        <w:tc>
          <w:tcPr>
            <w:tcW w:w="3686" w:type="dxa"/>
            <w:vAlign w:val="center"/>
          </w:tcPr>
          <w:p>
            <w:pPr>
              <w:jc w:val="left"/>
              <w:rPr>
                <w:b/>
                <w:noProof/>
                <w:sz w:val="20"/>
              </w:rPr>
            </w:pPr>
            <w:r>
              <w:rPr>
                <w:b/>
                <w:noProof/>
                <w:sz w:val="20"/>
              </w:rPr>
              <w:t>Общо административни разходи, без тези за човешки ресурси и свързаните с тях разходи (които НЕ са включени в референтната сума)</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703" w:type="dxa"/>
            <w:vAlign w:val="center"/>
          </w:tcPr>
          <w:p>
            <w:pPr>
              <w:jc w:val="right"/>
              <w:rPr>
                <w:noProof/>
                <w:sz w:val="20"/>
                <w:szCs w:val="20"/>
              </w:rPr>
            </w:pPr>
            <w:r>
              <w:rPr>
                <w:noProof/>
                <w:sz w:val="20"/>
              </w:rPr>
              <w:t>н.п.</w:t>
            </w:r>
          </w:p>
        </w:tc>
        <w:tc>
          <w:tcPr>
            <w:tcW w:w="907" w:type="dxa"/>
            <w:vAlign w:val="center"/>
          </w:tcPr>
          <w:p>
            <w:pPr>
              <w:jc w:val="right"/>
              <w:rPr>
                <w:noProof/>
                <w:sz w:val="20"/>
                <w:szCs w:val="20"/>
              </w:rPr>
            </w:pPr>
            <w:r>
              <w:rPr>
                <w:noProof/>
                <w:sz w:val="20"/>
              </w:rPr>
              <w:t>н.п.</w:t>
            </w:r>
          </w:p>
        </w:tc>
      </w:tr>
    </w:tbl>
    <w:p>
      <w:pPr>
        <w:pBdr>
          <w:top w:val="single" w:sz="4" w:space="1" w:color="auto"/>
          <w:left w:val="single" w:sz="4" w:space="4" w:color="auto"/>
          <w:bottom w:val="single" w:sz="4" w:space="1" w:color="auto"/>
          <w:right w:val="single" w:sz="4" w:space="4" w:color="auto"/>
        </w:pBdr>
        <w:rPr>
          <w:noProof/>
        </w:rPr>
      </w:pPr>
      <w:r>
        <w:rPr>
          <w:noProof/>
        </w:rPr>
        <w:t xml:space="preserve">Изчисление — </w:t>
      </w:r>
      <w:r>
        <w:rPr>
          <w:b/>
          <w:i/>
          <w:noProof/>
        </w:rPr>
        <w:t xml:space="preserve">Други административни разходи, които </w:t>
      </w:r>
      <w:r>
        <w:rPr>
          <w:b/>
          <w:i/>
          <w:noProof/>
          <w:u w:val="single"/>
        </w:rPr>
        <w:t>не</w:t>
      </w:r>
      <w:r>
        <w:rPr>
          <w:b/>
          <w:i/>
          <w:noProof/>
        </w:rPr>
        <w:t xml:space="preserve"> са включени в референтната сума</w:t>
      </w:r>
    </w:p>
    <w:p>
      <w:pPr>
        <w:pBdr>
          <w:top w:val="single" w:sz="4" w:space="1" w:color="auto"/>
          <w:left w:val="single" w:sz="4" w:space="4" w:color="auto"/>
          <w:bottom w:val="single" w:sz="4" w:space="1" w:color="auto"/>
          <w:right w:val="single" w:sz="4" w:space="4" w:color="auto"/>
        </w:pBdr>
        <w:rPr>
          <w:noProof/>
          <w:u w:val="single"/>
        </w:rPr>
      </w:pPr>
      <w:r>
        <w:rPr>
          <w:noProof/>
        </w:rPr>
        <w:t>н.п.</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851" w:hanging="851"/>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2">
    <w:p>
      <w:pPr>
        <w:pStyle w:val="FootnoteText"/>
        <w:ind w:left="851" w:hanging="851"/>
      </w:pPr>
      <w:r>
        <w:rPr>
          <w:rStyle w:val="FootnoteReference"/>
        </w:rPr>
        <w:footnoteRef/>
      </w:r>
      <w:r>
        <w:tab/>
        <w:t>Вж. член 120, параграф 3, буква д) от Регламент (ЕС) № 1303/2013. За програмния период 2014—2020 г. Кипър е класифициран като по-развит регион. Вж.: Приложение III към Решение за изпълнение на Комисията от 18 февруари 2014 г. за определяне на списъка на регионите, които отговарят на критериите за финансиране по Европейския фонд за регионално развитие и Европейския социален фонд, и на държавите членки, които отговарят на критериите за финансиране по Кохезионния фонд за периода 2014—2020 г. (нотифицирано под номер C(2014) 974), ОВ L 50, 20.2.2014 г., стр. 22.</w:t>
      </w:r>
    </w:p>
  </w:footnote>
  <w:footnote w:id="3">
    <w:p>
      <w:pPr>
        <w:pStyle w:val="FootnoteText"/>
      </w:pPr>
      <w:r>
        <w:rPr>
          <w:rStyle w:val="FootnoteReference"/>
        </w:rPr>
        <w:footnoteRef/>
      </w:r>
      <w:r>
        <w:tab/>
      </w:r>
      <w:r>
        <w:rPr>
          <w:rStyle w:val="FootnoteReference"/>
        </w:rPr>
        <w:footnoteRef/>
      </w:r>
      <w:r>
        <w:t>ОВ C , , стр. .</w:t>
      </w:r>
    </w:p>
  </w:footnote>
  <w:footnote w:id="4">
    <w:p>
      <w:pPr>
        <w:pStyle w:val="FootnoteText"/>
      </w:pPr>
      <w:r>
        <w:rPr>
          <w:rStyle w:val="FootnoteReference"/>
        </w:rPr>
        <w:footnoteRef/>
      </w:r>
      <w:r>
        <w:tab/>
      </w:r>
      <w:r>
        <w:rPr>
          <w:rStyle w:val="FootnoteReference"/>
        </w:rPr>
        <w:footnoteRef/>
      </w:r>
      <w:r>
        <w:t>ОВ C , , стр. .</w:t>
      </w:r>
    </w:p>
  </w:footnote>
  <w:footnote w:id="5">
    <w:p>
      <w:pPr>
        <w:pStyle w:val="FootnoteText"/>
      </w:pPr>
      <w:r>
        <w:rPr>
          <w:rStyle w:val="FootnoteReference"/>
        </w:rPr>
        <w:footnoteRef/>
      </w:r>
      <w:r>
        <w:tab/>
        <w:t>COM (2016) 414 final.</w:t>
      </w:r>
    </w:p>
  </w:footnote>
  <w:footnote w:id="6">
    <w:p>
      <w:pPr>
        <w:pStyle w:val="FootnoteText"/>
      </w:pPr>
      <w:r>
        <w:rPr>
          <w:rStyle w:val="FootnoteReference"/>
        </w:rPr>
        <w:footnoteRef/>
      </w:r>
      <w:r>
        <w:tab/>
        <w:t>Разходи, които не спадат към глава xx 01 от съответния дял xx.</w:t>
      </w:r>
    </w:p>
  </w:footnote>
  <w:footnote w:id="7">
    <w:p>
      <w:pPr>
        <w:pStyle w:val="FootnoteText"/>
      </w:pPr>
      <w:r>
        <w:rPr>
          <w:rStyle w:val="FootnoteReference"/>
        </w:rPr>
        <w:footnoteRef/>
      </w:r>
      <w:r>
        <w:tab/>
        <w:t>Разходи по статия xx 01 04 от дял xx.</w:t>
      </w:r>
    </w:p>
  </w:footnote>
  <w:footnote w:id="8">
    <w:p>
      <w:pPr>
        <w:pStyle w:val="FootnoteText"/>
      </w:pPr>
      <w:r>
        <w:rPr>
          <w:rStyle w:val="FootnoteReference"/>
        </w:rPr>
        <w:footnoteRef/>
      </w:r>
      <w:r>
        <w:tab/>
        <w:t>Разходи по глава xx 01, различни от тези по статия xx 01 04 или статия xx 01 05.</w:t>
      </w:r>
    </w:p>
  </w:footnote>
  <w:footnote w:id="9">
    <w:p>
      <w:pPr>
        <w:pStyle w:val="FootnoteText"/>
      </w:pPr>
      <w:r>
        <w:rPr>
          <w:rStyle w:val="FootnoteReference"/>
        </w:rPr>
        <w:footnoteRef/>
      </w:r>
      <w:r>
        <w:tab/>
        <w:t>Вж. точки 19 и 24 от Междуинституционалното споразумение.</w:t>
      </w:r>
    </w:p>
  </w:footnote>
  <w:footnote w:id="10">
    <w:p>
      <w:pPr>
        <w:pStyle w:val="FootnoteText"/>
      </w:pPr>
      <w:r>
        <w:rPr>
          <w:rStyle w:val="FootnoteReference"/>
        </w:rPr>
        <w:footnoteRef/>
      </w:r>
      <w:r>
        <w:tab/>
        <w:t>При необходимост следва да се добавят допълнителни колони, т.е. ако срокът на действието надвишава 6 години.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DABCB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6CE8E4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1ADD1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BA95F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1EF3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66EF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88896C4"/>
    <w:lvl w:ilvl="0">
      <w:start w:val="1"/>
      <w:numFmt w:val="decimal"/>
      <w:pStyle w:val="ListNumber"/>
      <w:lvlText w:val="%1."/>
      <w:lvlJc w:val="left"/>
      <w:pPr>
        <w:tabs>
          <w:tab w:val="num" w:pos="360"/>
        </w:tabs>
        <w:ind w:left="360" w:hanging="360"/>
      </w:pPr>
    </w:lvl>
  </w:abstractNum>
  <w:abstractNum w:abstractNumId="7">
    <w:nsid w:val="FFFFFF89"/>
    <w:multiLevelType w:val="singleLevel"/>
    <w:tmpl w:val="C0CCD2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A6901C1"/>
    <w:multiLevelType w:val="singleLevel"/>
    <w:tmpl w:val="208841AE"/>
    <w:name w:val="0.12712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num>
  <w:num w:numId="11">
    <w:abstractNumId w:val="22"/>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7 18:31: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F3B742FCF5D4F73A1B677E6D5EC88DD"/>
    <w:docVar w:name="LW_CROSSREFERENCE" w:val="&lt;UNUSED&gt;"/>
    <w:docVar w:name="LW_DocType" w:val="COM"/>
    <w:docVar w:name="LW_EMISSION" w:val="27.6.2016"/>
    <w:docVar w:name="LW_EMISSION_ISODATE" w:val="2016-06-2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3"/>
    <w:docVar w:name="LW_REF.II.NEW.CP_YEAR" w:val="2016"/>
    <w:docVar w:name="LW_REF.INST.NEW" w:val="COM"/>
    <w:docVar w:name="LW_REF.INST.NEW_ADOPTED" w:val="final"/>
    <w:docVar w:name="LW_REF.INST.NEW_TEXT" w:val="(2016) 418"/>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03/2013 \u1087?\u1086? \u1086?\u1090?\u1085?\u1086?\u1096?\u1077?\u1085?\u1080?\u1077? \u1085?\u1072? \u1085?\u1103?\u1082?\u1086?\u1080? \u1088?\u1072?\u1079?\u1087?\u1086?\u1088?\u1077?\u1076?\u1073?\u1080? \u1086?\u1090?\u1085?\u1086?\u1089?\u1085?\u1086? \u1092?\u1080?\u1085?\u1072?\u1085?\u1089?\u1086?\u1074?\u1086?\u1090?\u1086? \u1091?\u1087?\u1088?\u1072?\u1074?\u1083?\u1077?\u1085?\u1080?\u1077? \u1079?\u1072? \u1086?\u1087?\u1088?\u1077?\u1076?\u1077?\u1083?\u1077?\u1085?\u1080? \u1076?\u1098?\u1088?\u1078?\u1072?\u1074?\u1080? \u1095?\u1083?\u1077?\u1085?\u1082?\u1080?, \u1082?\u1086?\u1080?\u1090?\u1086? \u1080?\u1079?\u1087?\u1080?\u1090?\u1074?\u1072?\u1090? \u1089?\u1077?\u1088?\u1080?\u1086?\u1079?\u1085?\u1080? \u1079?\u1072?\u1090?\u1088?\u1091?\u1076?\u1085?\u1077?\u1085?\u1080?\u1103? \u1074?\u1098?\u1074? \u1074?\u1088?\u1098?\u1079?\u1082?\u1072? \u1089? \u1092?\u1080?\u1085?\u1072?\u1085?\u1089?\u1086?\u1074?\u1072?\u1090?\u1072? \u1089?\u1080? \u1089?\u1090?\u1072?\u1073?\u1080?\u1083?\u1085?\u1086?\u1089?\u1090? \u1080?\u1083?\u1080? \u1089?\u1072? \u1079?\u1072?\u1089?\u1090?\u1088?\u1072?\u1096?\u1077?\u1085?\u1080? \u1086?\u1090? \u1090?\u1072?\u1082?\u1080?\u1074?\u1072? \u1079?\u1072?\u1090?\u1088?\u1091?\u1076?\u1085?\u1077?\u1085?\u1080?\u1103?"/>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ListBullet1">
    <w:name w:val="List Bullet 1"/>
    <w:basedOn w:val="Normal"/>
    <w:pPr>
      <w:numPr>
        <w:numId w:val="10"/>
      </w:numPr>
    </w:pPr>
    <w:rPr>
      <w:rFonts w:eastAsia="Times New Roman"/>
      <w:szCs w:val="24"/>
    </w:rPr>
  </w:style>
  <w:style w:type="paragraph" w:customStyle="1" w:styleId="ListNumberLevel2">
    <w:name w:val="List Number (Level 2)"/>
    <w:basedOn w:val="Normal"/>
    <w:pPr>
      <w:tabs>
        <w:tab w:val="num" w:pos="1417"/>
      </w:tabs>
      <w:ind w:left="1417" w:hanging="708"/>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stitle-article-norm">
    <w:name w:val="stitle-article-norm"/>
    <w:basedOn w:val="Normal"/>
    <w:pPr>
      <w:spacing w:before="100" w:beforeAutospacing="1" w:after="100" w:afterAutospacing="1"/>
      <w:jc w:val="left"/>
    </w:pPr>
    <w:rPr>
      <w:rFonts w:eastAsia="Times New Roman"/>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12162">
      <w:bodyDiv w:val="1"/>
      <w:marLeft w:val="0"/>
      <w:marRight w:val="0"/>
      <w:marTop w:val="0"/>
      <w:marBottom w:val="0"/>
      <w:divBdr>
        <w:top w:val="none" w:sz="0" w:space="0" w:color="auto"/>
        <w:left w:val="none" w:sz="0" w:space="0" w:color="auto"/>
        <w:bottom w:val="none" w:sz="0" w:space="0" w:color="auto"/>
        <w:right w:val="none" w:sz="0" w:space="0" w:color="auto"/>
      </w:divBdr>
      <w:divsChild>
        <w:div w:id="1045376724">
          <w:marLeft w:val="600"/>
          <w:marRight w:val="0"/>
          <w:marTop w:val="0"/>
          <w:marBottom w:val="0"/>
          <w:divBdr>
            <w:top w:val="none" w:sz="0" w:space="0" w:color="auto"/>
            <w:left w:val="none" w:sz="0" w:space="0" w:color="auto"/>
            <w:bottom w:val="none" w:sz="0" w:space="0" w:color="auto"/>
            <w:right w:val="none" w:sz="0" w:space="0" w:color="auto"/>
          </w:divBdr>
        </w:div>
        <w:div w:id="566036875">
          <w:marLeft w:val="600"/>
          <w:marRight w:val="0"/>
          <w:marTop w:val="0"/>
          <w:marBottom w:val="0"/>
          <w:divBdr>
            <w:top w:val="none" w:sz="0" w:space="0" w:color="auto"/>
            <w:left w:val="none" w:sz="0" w:space="0" w:color="auto"/>
            <w:bottom w:val="none" w:sz="0" w:space="0" w:color="auto"/>
            <w:right w:val="none" w:sz="0" w:space="0" w:color="auto"/>
          </w:divBdr>
        </w:div>
        <w:div w:id="770048975">
          <w:marLeft w:val="600"/>
          <w:marRight w:val="0"/>
          <w:marTop w:val="0"/>
          <w:marBottom w:val="0"/>
          <w:divBdr>
            <w:top w:val="none" w:sz="0" w:space="0" w:color="auto"/>
            <w:left w:val="none" w:sz="0" w:space="0" w:color="auto"/>
            <w:bottom w:val="none" w:sz="0" w:space="0" w:color="auto"/>
            <w:right w:val="none" w:sz="0" w:space="0" w:color="auto"/>
          </w:divBdr>
        </w:div>
      </w:divsChild>
    </w:div>
    <w:div w:id="799225877">
      <w:bodyDiv w:val="1"/>
      <w:marLeft w:val="0"/>
      <w:marRight w:val="0"/>
      <w:marTop w:val="0"/>
      <w:marBottom w:val="0"/>
      <w:divBdr>
        <w:top w:val="none" w:sz="0" w:space="0" w:color="auto"/>
        <w:left w:val="none" w:sz="0" w:space="0" w:color="auto"/>
        <w:bottom w:val="none" w:sz="0" w:space="0" w:color="auto"/>
        <w:right w:val="none" w:sz="0" w:space="0" w:color="auto"/>
      </w:divBdr>
      <w:divsChild>
        <w:div w:id="905339269">
          <w:marLeft w:val="600"/>
          <w:marRight w:val="0"/>
          <w:marTop w:val="0"/>
          <w:marBottom w:val="0"/>
          <w:divBdr>
            <w:top w:val="none" w:sz="0" w:space="0" w:color="auto"/>
            <w:left w:val="none" w:sz="0" w:space="0" w:color="auto"/>
            <w:bottom w:val="none" w:sz="0" w:space="0" w:color="auto"/>
            <w:right w:val="none" w:sz="0" w:space="0" w:color="auto"/>
          </w:divBdr>
        </w:div>
        <w:div w:id="1585993108">
          <w:marLeft w:val="600"/>
          <w:marRight w:val="0"/>
          <w:marTop w:val="0"/>
          <w:marBottom w:val="0"/>
          <w:divBdr>
            <w:top w:val="none" w:sz="0" w:space="0" w:color="auto"/>
            <w:left w:val="none" w:sz="0" w:space="0" w:color="auto"/>
            <w:bottom w:val="none" w:sz="0" w:space="0" w:color="auto"/>
            <w:right w:val="none" w:sz="0" w:space="0" w:color="auto"/>
          </w:divBdr>
        </w:div>
        <w:div w:id="898395721">
          <w:marLeft w:val="600"/>
          <w:marRight w:val="0"/>
          <w:marTop w:val="0"/>
          <w:marBottom w:val="0"/>
          <w:divBdr>
            <w:top w:val="none" w:sz="0" w:space="0" w:color="auto"/>
            <w:left w:val="none" w:sz="0" w:space="0" w:color="auto"/>
            <w:bottom w:val="none" w:sz="0" w:space="0" w:color="auto"/>
            <w:right w:val="none" w:sz="0" w:space="0" w:color="auto"/>
          </w:divBdr>
        </w:div>
        <w:div w:id="121116899">
          <w:marLeft w:val="600"/>
          <w:marRight w:val="0"/>
          <w:marTop w:val="0"/>
          <w:marBottom w:val="0"/>
          <w:divBdr>
            <w:top w:val="none" w:sz="0" w:space="0" w:color="auto"/>
            <w:left w:val="none" w:sz="0" w:space="0" w:color="auto"/>
            <w:bottom w:val="none" w:sz="0" w:space="0" w:color="auto"/>
            <w:right w:val="none" w:sz="0" w:space="0" w:color="auto"/>
          </w:divBdr>
        </w:div>
        <w:div w:id="125712889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0D34-BD33-4419-8772-A8A34FFF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24</Pages>
  <Words>4652</Words>
  <Characters>26057</Characters>
  <Application>Microsoft Office Word</Application>
  <DocSecurity>0</DocSecurity>
  <Lines>1240</Lines>
  <Paragraphs>731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2016-05-17T07:36:00Z</cp:lastPrinted>
  <dcterms:created xsi:type="dcterms:W3CDTF">2016-06-17T08:54:00Z</dcterms:created>
  <dcterms:modified xsi:type="dcterms:W3CDTF">2016-06-17T16:31:00Z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