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064B86DCBEA4DCAB67EC453F70543F2" style="width:450.75pt;height:407.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Основания и цели на предложението</w:t>
      </w:r>
    </w:p>
    <w:p>
      <w:pPr>
        <w:rPr>
          <w:i/>
          <w:noProof/>
          <w:szCs w:val="24"/>
        </w:rPr>
      </w:pPr>
      <w:r>
        <w:rPr>
          <w:noProof/>
        </w:rPr>
        <w:t>С настоящото предложение се цели да се установи позицията, която да заеме Европейският съюз в рамките на Общия съвет на Световната търговска организация (СТО) по искането на Съединените американски щати за подновяване на освобождаването им от конкретни техни задължения в рамките на СТО, като по този начин се даде възможност Европейският съюз да подкрепи това искане.</w:t>
      </w:r>
      <w:r>
        <w:rPr>
          <w:i/>
          <w:noProof/>
        </w:rPr>
        <w:t xml:space="preserve"> </w:t>
      </w:r>
    </w:p>
    <w:p>
      <w:pPr>
        <w:rPr>
          <w:noProof/>
        </w:rPr>
      </w:pPr>
      <w:r>
        <w:rPr>
          <w:noProof/>
        </w:rPr>
        <w:t xml:space="preserve">Удовлетворяването на искането на САЩ за подновяване на освобождаването от конкретни техни задължения в рамките на СТО ще позволи на САЩ да продължат да предоставят преференциално третиране на допустими продукти от бившата територия под попечителство на тихоокеанските острови (Република Маршалови острови, Федеративни щати Микронезия, Общността Северни Мариански острови, и Република Палау), внасяни на митническата територия на Съединените американски щати, до 31 декември 2026 г.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 xml:space="preserve">Не е приложимо.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Не е приложимо.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szCs w:val="24"/>
        </w:rPr>
      </w:pPr>
      <w:r>
        <w:rPr>
          <w:noProof/>
        </w:rPr>
        <w:t>В член 218, параграф 9 от Договора за функционирането на Европейския съюз (ДФЕС) е предвидено, че когато в рамките на орган, създаден с международно споразумение, трябва да бъде взето решение с правно действие, Съветът, по предложение на Комисията или на върховния представител на Съюза по въпросите на външните работи и политиката на сигурност, приема решение за установяване на позицията, която да се заеме от името на Европейския съюз. Предоставянето на освобождаване от задължения, с което се дава възможност на Съединените американски щати да предоставят преференциално третиране на допустими продукти от бившата територия под попечителство на тихоокеанските острови, попада в обхвата на въпросната разпоредба, тъй като решението се взима в рамките на орган, създаден по силата на международно споразумение (Общия съвет на СТО или Министерската конференция), което засяга правата и задълженията на Европейския съюз.</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autoSpaceDE w:val="0"/>
        <w:autoSpaceDN w:val="0"/>
        <w:adjustRightInd w:val="0"/>
        <w:spacing w:before="0" w:after="0"/>
        <w:rPr>
          <w:noProof/>
        </w:rPr>
      </w:pPr>
      <w:r>
        <w:rPr>
          <w:noProof/>
        </w:rPr>
        <w:t>Не е приложимо.</w:t>
      </w:r>
    </w:p>
    <w:p>
      <w:pPr>
        <w:pStyle w:val="ManualHeading2"/>
        <w:rPr>
          <w:rFonts w:eastAsia="Arial Unicode MS"/>
          <w:noProof/>
          <w:u w:color="000000"/>
          <w:bdr w:val="nil"/>
        </w:rPr>
      </w:pPr>
      <w:r>
        <w:rPr>
          <w:noProof/>
        </w:rPr>
        <w:t>•</w:t>
      </w:r>
      <w:r>
        <w:rPr>
          <w:noProof/>
        </w:rPr>
        <w:tab/>
        <w:t>Пропорционалност</w:t>
      </w:r>
    </w:p>
    <w:p>
      <w:pPr>
        <w:autoSpaceDE w:val="0"/>
        <w:autoSpaceDN w:val="0"/>
        <w:adjustRightInd w:val="0"/>
        <w:spacing w:before="0" w:after="0"/>
        <w:rPr>
          <w:noProof/>
        </w:rPr>
      </w:pPr>
      <w:r>
        <w:rPr>
          <w:noProof/>
        </w:rPr>
        <w:t>Не е приложимо.</w:t>
      </w:r>
    </w:p>
    <w:p>
      <w:pPr>
        <w:pStyle w:val="ManualHeading2"/>
        <w:rPr>
          <w:rFonts w:eastAsia="Arial Unicode MS"/>
          <w:noProof/>
          <w:u w:color="000000"/>
          <w:bdr w:val="nil"/>
        </w:rPr>
      </w:pPr>
      <w:r>
        <w:rPr>
          <w:noProof/>
        </w:rPr>
        <w:t>•</w:t>
      </w:r>
      <w:r>
        <w:rPr>
          <w:noProof/>
        </w:rPr>
        <w:tab/>
        <w:t>Избор на инструмент</w:t>
      </w:r>
    </w:p>
    <w:p>
      <w:pPr>
        <w:autoSpaceDE w:val="0"/>
        <w:autoSpaceDN w:val="0"/>
        <w:adjustRightInd w:val="0"/>
        <w:spacing w:before="0" w:after="0"/>
        <w:rPr>
          <w:noProof/>
        </w:rPr>
      </w:pPr>
      <w:r>
        <w:rPr>
          <w:noProof/>
        </w:rPr>
        <w:t>Не е приложимо.</w:t>
      </w:r>
    </w:p>
    <w:p>
      <w:pPr>
        <w:pStyle w:val="ManualHeading1"/>
        <w:rPr>
          <w:noProof/>
        </w:rPr>
      </w:pPr>
      <w:r>
        <w:rPr>
          <w:noProof/>
        </w:rPr>
        <w:lastRenderedPageBreak/>
        <w:t>3.</w:t>
      </w:r>
      <w:r>
        <w:rPr>
          <w:noProof/>
        </w:rPr>
        <w:tab/>
        <w:t xml:space="preserve">РЕЗУЛТАТИ ОТ ПОСЛЕДВАЩИТЕ ОЦЕНКИ, КОНСУЛТАЦИИ СЪС ЗАИНТЕРЕСОВАНИТЕ СТРАНИ И ОЦЕНКИ НА ВЪЗДЕЙСТВИЕТО </w:t>
      </w:r>
    </w:p>
    <w:p>
      <w:pPr>
        <w:autoSpaceDE w:val="0"/>
        <w:autoSpaceDN w:val="0"/>
        <w:adjustRightInd w:val="0"/>
        <w:spacing w:before="0" w:after="0"/>
        <w:rPr>
          <w:noProof/>
        </w:rPr>
      </w:pPr>
      <w:r>
        <w:rPr>
          <w:noProof/>
        </w:rPr>
        <w:t>Не е приложимо.</w:t>
      </w:r>
    </w:p>
    <w:p>
      <w:pPr>
        <w:pStyle w:val="ManualHeading1"/>
        <w:rPr>
          <w:noProof/>
        </w:rPr>
      </w:pPr>
      <w:r>
        <w:rPr>
          <w:noProof/>
        </w:rPr>
        <w:t>4.</w:t>
      </w:r>
      <w:r>
        <w:rPr>
          <w:noProof/>
        </w:rPr>
        <w:tab/>
        <w:t>ОТРАЖЕНИЕ ВЪРХУ БЮДЖЕТА</w:t>
      </w:r>
    </w:p>
    <w:p>
      <w:pPr>
        <w:autoSpaceDE w:val="0"/>
        <w:autoSpaceDN w:val="0"/>
        <w:adjustRightInd w:val="0"/>
        <w:spacing w:before="0" w:after="0"/>
        <w:rPr>
          <w:noProof/>
        </w:rPr>
      </w:pPr>
      <w:r>
        <w:rPr>
          <w:noProof/>
        </w:rPr>
        <w:t>Не е приложимо.</w:t>
      </w:r>
    </w:p>
    <w:p>
      <w:pPr>
        <w:pStyle w:val="ManualHeading1"/>
        <w:rPr>
          <w:noProof/>
        </w:rPr>
      </w:pPr>
      <w:r>
        <w:rPr>
          <w:noProof/>
        </w:rPr>
        <w:t>5.</w:t>
      </w:r>
      <w:r>
        <w:rPr>
          <w:noProof/>
        </w:rPr>
        <w:tab/>
        <w:t>ДРУГИ ЕЛЕМЕНТИ</w:t>
      </w:r>
    </w:p>
    <w:p>
      <w:pPr>
        <w:rPr>
          <w:noProof/>
        </w:rPr>
      </w:pPr>
      <w:r>
        <w:rPr>
          <w:noProof/>
        </w:rPr>
        <w:t xml:space="preserve">Комисията ще бъде упълномощена да заеме позиция от името на Европейския съюз, с която да се подкрепи искането на Съединените американски щати за освобождаване от задължения в рамките на СТО в необходимата степен, което да позволи на Съединените американски щати да предоставят преференциално третиране на допустими продукти от бившата територия под попечителство на тихоокеанските острови до 31 декември 2026 г. </w:t>
      </w:r>
    </w:p>
    <w:p>
      <w:pPr>
        <w:rPr>
          <w:noProof/>
        </w:rPr>
      </w:pPr>
      <w:r>
        <w:rPr>
          <w:noProof/>
        </w:rPr>
        <w:t xml:space="preserve">Съединените американски щати искат удължаване на освобождаването им от техните задължения (WT/L/694 от 1 август 2007 г.) по член I, алинея 1 от ГАТТ (1994), за да продължат да предоставят традиционно предоставяните преференции на бившата територия под попечителство на тихоокеанските острови (TTPI) в съответствие с международните си задължения. </w:t>
      </w:r>
    </w:p>
    <w:p>
      <w:pPr>
        <w:rPr>
          <w:noProof/>
        </w:rPr>
      </w:pPr>
      <w:r>
        <w:rPr>
          <w:noProof/>
        </w:rPr>
        <w:t>Според Съединените американски щати режимът на преференциален достъп за износа от тези острови за пазара на Съединените американски щати се обуславя едновременно от исторически и икономически причини.</w:t>
      </w:r>
    </w:p>
    <w:p>
      <w:pPr>
        <w:rPr>
          <w:noProof/>
        </w:rPr>
      </w:pPr>
      <w:r>
        <w:rPr>
          <w:noProof/>
        </w:rPr>
        <w:t>Съединените американски щати са поели задълженията за осигуряване на сигурността и икономическото развитие на бившите държави от TTPI по силата на споразумение за попечителство със Съвета за сигурност на ООН през 1947 г.</w:t>
      </w:r>
    </w:p>
    <w:p>
      <w:pPr>
        <w:rPr>
          <w:noProof/>
        </w:rPr>
      </w:pPr>
      <w:r>
        <w:rPr>
          <w:noProof/>
        </w:rPr>
        <w:t>Въз основа на споразумение за попечителство, САЩ създаде дългогодишни исторически връзки с бившата TTPI и от икономическа гледна точка, в дългосрочен план, основната цел на въпросния режим е да насърчава разширяването на търговията и икономическото развитие на бенефициентите по начин, съвместим с целите на ГАТТ и с търговските и финансовите нужди и нуждите от развитие на държавите бенефициенти. В искането си Съединените американски щати отбелязват също така, че тази цел е придобила първостепенно значение, тъй като всяка от бившите зони под попечителство е придобила статут на самоуправляващ се субект.</w:t>
      </w:r>
    </w:p>
    <w:p>
      <w:pPr>
        <w:rPr>
          <w:noProof/>
        </w:rPr>
      </w:pPr>
      <w:r>
        <w:rPr>
          <w:noProof/>
        </w:rPr>
        <w:t>Въпросното искане за освобождаване от задължения би довело до третото по ред удължаване на срока на прилагане на преференциалното тарифно третиране. На 8 септември 1948 г. на Съединените американски щати е предоставено освобождаване от задълженията им по член I, алинея 1 от ГАТТ (1947) за неопределен период.На основание алинея 1, буква б), подточка iii) от ГАТТ (1994) клаузата за освобождаване е преработена и инкорпорирана в ГАТТ (1994) с двугодишен срок на действие, когато Маракешкото споразумение за създаване на Световната търговска организация („Споразумението за СТО“) влезе в сила на 1 януари 1995 г. Отчитайки факта, че съгласно предвиденото в алинея 2 от Договореността относно освобождаването от задължения в съответствие с Общото споразумение за митата и търговията (1994), при положение че не бъде удължен, срокът на действие на освобождаването от задължения от 8 септември 1948 г. щеше да изтече на 31 декември 1996 г., той бе удължен на 14 октомври 1996 г. Впоследствие той бе удължен за втори път на 1 август 2007 г., обхващайки периода до 31 декември 2016 г.</w:t>
      </w:r>
    </w:p>
    <w:p>
      <w:pPr>
        <w:rPr>
          <w:noProof/>
        </w:rPr>
      </w:pPr>
      <w:r>
        <w:rPr>
          <w:noProof/>
        </w:rPr>
        <w:t xml:space="preserve">Въпросното искане за освобождаване от задължения не предизвиква опасения от икономически характер за Европейския съюз, тъй като не се очаква преференциалното третиране да се отрази неблагоприятно на търговията на ЕС с държавите бенефициенти. </w:t>
      </w:r>
    </w:p>
    <w:p>
      <w:pPr>
        <w:rPr>
          <w:noProof/>
        </w:rPr>
      </w:pPr>
      <w:r>
        <w:rPr>
          <w:noProof/>
        </w:rPr>
        <w:t xml:space="preserve">В светлината на тези съображения Европейският съюз следва да се присъедини към оформящия се консенсус в рамките на Общия съвет на СТО в подкрепа на искането за освобождаване от задължения. </w:t>
      </w:r>
    </w:p>
    <w:p>
      <w:pPr>
        <w:autoSpaceDE w:val="0"/>
        <w:autoSpaceDN w:val="0"/>
        <w:adjustRightInd w:val="0"/>
        <w:spacing w:before="0" w:after="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2016/0191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установяване на позицията, която да се заеме от името на Европейския съюз в рамките на Общия съвет на Световната търговска организация по искането на Съединените американски щати за освобождаване от задължения в рамките на СТО с оглед удължаване на срока на прилагане на режима на преференциално третиране, предоставено на бившата територия под попечителство на тихоокеанските острови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color w:val="000000"/>
        </w:rPr>
      </w:pPr>
      <w:r>
        <w:rPr>
          <w:noProof/>
        </w:rPr>
        <w:t>като взе предвид предложението на Европейската комисия,</w:t>
      </w:r>
      <w:r>
        <w:rPr>
          <w:noProof/>
          <w:color w:val="000000"/>
        </w:rPr>
        <w:t xml:space="preserve"> </w:t>
      </w:r>
    </w:p>
    <w:p>
      <w:pPr>
        <w:rPr>
          <w:noProof/>
        </w:rPr>
      </w:pPr>
      <w:r>
        <w:rPr>
          <w:noProof/>
        </w:rPr>
        <w:t>като има предвид, че:</w:t>
      </w:r>
    </w:p>
    <w:p>
      <w:pPr>
        <w:pStyle w:val="ManualConsidrant"/>
        <w:rPr>
          <w:noProof/>
        </w:rPr>
      </w:pPr>
      <w:r>
        <w:rPr>
          <w:noProof/>
        </w:rPr>
        <w:t>(1)</w:t>
      </w:r>
      <w:r>
        <w:rPr>
          <w:noProof/>
        </w:rPr>
        <w:tab/>
        <w:t xml:space="preserve">В член IX, алинеи 3 и 4 от Маракешкото споразумение за създаване на Световната търговска организация („Споразумението за СТО“) се установяват процедурите за освобождаване на отделна държава членка от задължение, произтичащо от Споразумението за СТО или от многостранните търговски споразумения. </w:t>
      </w:r>
    </w:p>
    <w:p>
      <w:pPr>
        <w:pStyle w:val="ManualConsidrant"/>
        <w:rPr>
          <w:noProof/>
        </w:rPr>
      </w:pPr>
      <w:r>
        <w:rPr>
          <w:noProof/>
        </w:rPr>
        <w:t>(2)</w:t>
      </w:r>
      <w:r>
        <w:rPr>
          <w:noProof/>
        </w:rPr>
        <w:tab/>
        <w:t>На Съединените американски щати е предоставено освобождаване от задълженията им по член І, алинея 1 от Общото споразумение за митата и търговията от 1994 г. („ГАТТ (1994)“), чието последно подновяване датира от 1 август 2007 г. и обхваща периода до 31 декември 2016 г.</w:t>
      </w:r>
    </w:p>
    <w:p>
      <w:pPr>
        <w:pStyle w:val="ManualConsidrant"/>
        <w:rPr>
          <w:noProof/>
        </w:rPr>
      </w:pPr>
      <w:r>
        <w:rPr>
          <w:noProof/>
        </w:rPr>
        <w:t>(3)</w:t>
      </w:r>
      <w:r>
        <w:rPr>
          <w:noProof/>
        </w:rPr>
        <w:tab/>
        <w:t>На основание член ІХ, алинея 3 от Споразумението за СТО, Съединените американски щати подадоха искане за освобождаване в необходимата степен, за периода до 31 декември 2026 г., от задълженията им по член І, алинея 1 от ГАТТ (1994), което ще позволи на Съединените американски щати да продължат да предоставят преференциално третиране на допустими продукти от бившата територия под попечителство на тихоокеанските острови (Република Маршалови острови, Федеративни щати Микронезия, Общността Северни Мариански острови, и Република Палау), внасяни на митническата територия на Съединените американски щати.</w:t>
      </w:r>
    </w:p>
    <w:p>
      <w:pPr>
        <w:pStyle w:val="ManualConsidrant"/>
        <w:rPr>
          <w:noProof/>
        </w:rPr>
      </w:pPr>
      <w:r>
        <w:rPr>
          <w:noProof/>
        </w:rPr>
        <w:t>(4)</w:t>
      </w:r>
      <w:r>
        <w:rPr>
          <w:noProof/>
        </w:rPr>
        <w:tab/>
        <w:t xml:space="preserve">Удовлетворяването на искането на Съединените американски щати за освобождаване от задължения в рамките на СТО не се очаква да се отрази неблагоприятно нито на икономиката на Европейския съюз, нито на търговските връзки с бенефициентите в рамките на въпросното освобождаване от задължения. </w:t>
      </w:r>
    </w:p>
    <w:p>
      <w:pPr>
        <w:pStyle w:val="ManualConsidrant"/>
        <w:rPr>
          <w:noProof/>
        </w:rPr>
      </w:pPr>
      <w:r>
        <w:rPr>
          <w:noProof/>
        </w:rPr>
        <w:t>(5)</w:t>
      </w:r>
      <w:r>
        <w:rPr>
          <w:noProof/>
        </w:rPr>
        <w:tab/>
        <w:t>Поради това е целесъобразно да се установи позицията, която да се заеме от името на Европейския съюз в рамките на Общия съвет на СТО, а именно да се подкрепи искането на Съединените американски щати за освобождаване от задължения,</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следва да се заеме от името на Европейския съюз в рамките на Общия съвет на Световната търговска организация, е да се подкрепи искането на Съединените американски щати за освобождаване от задълженията по член I, алинея 1 от Общото споразумение за митата и търговията от 1994 г. до 31 декември 2026 г., в съответствие с условията на искането на Съединените американски щати за освобождаване от задължения.</w:t>
      </w:r>
    </w:p>
    <w:p>
      <w:pPr>
        <w:rPr>
          <w:noProof/>
        </w:rPr>
      </w:pPr>
      <w:r>
        <w:rPr>
          <w:noProof/>
        </w:rPr>
        <w:t xml:space="preserve">Въпросната позиция следва да бъде изразена от Комисията. </w:t>
      </w:r>
    </w:p>
    <w:p>
      <w:pPr>
        <w:pStyle w:val="Titrearticle"/>
        <w:rPr>
          <w:noProof/>
        </w:rPr>
      </w:pPr>
      <w:r>
        <w:rPr>
          <w:noProof/>
        </w:rPr>
        <w:t>Член 2</w:t>
      </w:r>
    </w:p>
    <w:p>
      <w:pPr>
        <w:rPr>
          <w:noProof/>
          <w:color w:val="000000"/>
        </w:rPr>
      </w:pPr>
      <w:r>
        <w:rPr>
          <w:noProof/>
        </w:rPr>
        <w:t>Настоящото решение влиза в сила в деня на приемането му.</w:t>
      </w:r>
      <w:r>
        <w:rPr>
          <w:noProof/>
          <w:color w:val="000000"/>
        </w:rPr>
        <w:t xml:space="preserve">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8EC8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06CB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4028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68AC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64B3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3AA5C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22A81E4"/>
    <w:lvl w:ilvl="0">
      <w:start w:val="1"/>
      <w:numFmt w:val="decimal"/>
      <w:pStyle w:val="ListNumber"/>
      <w:lvlText w:val="%1."/>
      <w:lvlJc w:val="left"/>
      <w:pPr>
        <w:tabs>
          <w:tab w:val="num" w:pos="360"/>
        </w:tabs>
        <w:ind w:left="360" w:hanging="360"/>
      </w:pPr>
    </w:lvl>
  </w:abstractNum>
  <w:abstractNum w:abstractNumId="7">
    <w:nsid w:val="FFFFFF89"/>
    <w:multiLevelType w:val="singleLevel"/>
    <w:tmpl w:val="5D54EE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7 13:05: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064B86DCBEA4DCAB67EC453F70543F2"/>
    <w:docVar w:name="LW_CROSSREFERENCE" w:val="&lt;UNUSED&gt;"/>
    <w:docVar w:name="LW_DocType" w:val="COM"/>
    <w:docVar w:name="LW_EMISSION" w:val="24.6.2016"/>
    <w:docVar w:name="LW_EMISSION_ISODATE" w:val="2016-06-2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1"/>
    <w:docVar w:name="LW_REF.II.NEW.CP_YEAR" w:val="2016"/>
    <w:docVar w:name="LW_REF.INST.NEW" w:val="COM"/>
    <w:docVar w:name="LW_REF.INST.NEW_ADOPTED" w:val="final"/>
    <w:docVar w:name="LW_REF.INST.NEW_TEXT" w:val="(2016) 412"/>
    <w:docVar w:name="LW_REF.INTERNE" w:val="&lt;UNUSED&gt;"/>
    <w:docVar w:name="LW_SOUS.TITRE.OBJ.CP" w:val="&lt;UNUSED&gt;"/>
    <w:docVar w:name="LW_STATUT.CP" w:val="\u1055?\u1088?\u1077?\u1076?\u1083?\u1086?\u1078?\u1077?\u1085?\u1080?\u1077? \u1079?\u1072?"/>
    <w:docVar w:name="LW_SUPERTITRE" w:val="&lt;UNUSED&gt;"/>
    <w:docVar w:name="LW_TITRE.OBJ.CP" w:val="\u1079?\u1072? \u1091?\u1089?\u1090?\u1072?\u1085?\u1086?\u1074?\u1103?\u1074?\u1072?\u1085?\u1077? \u1085?\u1072?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4?\u1073?\u1097?\u1080?\u1103? \u1089?\u1098?\u1074?\u1077?\u1090? \u1085?\u1072? \u1057?\u1074?\u1077?\u1090?\u1086?\u1074?\u1085?\u1072?\u1090?\u1072? \u1090?\u1098?\u1088?\u1075?\u1086?\u1074?\u1089?\u1082?\u1072? \u1086?\u1088?\u1075?\u1072?\u1085?\u1080?\u1079?\u1072?\u1094?\u1080?\u1103? \u1087?\u1086? \u1080?\u1089?\u1082?\u1072?\u1085?\u1077?\u1090?\u1086? \u1085?\u1072? \u1057?\u1098?\u1077?\u1076?\u1080?\u1085?\u1077?\u1085?\u1080?\u1090?\u1077? \u1072?\u1084?\u1077?\u1088?\u1080?\u1082?\u1072?\u1085?\u1089?\u1082?\u1080? \u1097?\u1072?\u1090?\u1080? \u1079?\u1072? \u1086?\u1089?\u1074?\u1086?\u1073?\u1086?\u1078?\u1076?\u1072?\u1074?\u1072?\u1085?\u1077? \u1086?\u1090? \u1079?\u1072?\u1076?\u1098?\u1083?\u1078?\u1077?\u1085?\u1080?\u1103? \u1074? \u1088?\u1072?\u1084?\u1082?\u1080?\u1090?\u1077? \u1085?\u1072? \u1057?\u1058?\u1054? \u1089? \u1086?\u1075?\u1083?\u1077?\u1076? \u1091?\u1076?\u1098?\u1083?\u1078?\u1072?\u1074?\u1072?\u1085?\u1077? \u1085?\u1072? \u1089?\u1088?\u1086?\u1082?\u1072? \u1085?\u1072? \u1087?\u1088?\u1080?\u1083?\u1072?\u1075?\u1072?\u1085?\u1077? \u1085?\u1072? \u1088?\u1077?\u1078?\u1080?\u1084?\u1072? \u1085?\u1072? \u1087?\u1088?\u1077?\u1092?\u1077?\u1088?\u1077?\u1085?\u1094?\u1080?\u1072?\u1083?\u1085?\u1086? \u1090?\u1088?\u1077?\u1090?\u1080?\u1088?\u1072?\u1085?\u1077?, \u1087?\u1088?\u1077?\u1076?\u1086?\u1089?\u1090?\u1072?\u1074?\u1077?\u1085?\u1086? \u1085?\u1072? \u1073?\u1080?\u1074?\u1096?\u1072?\u1090?\u1072? \u1090?\u1077?\u1088?\u1080?\u1090?\u1086?\u1088?\u1080?\u1103? \u1087?\u1086?\u1076? \u1087?\u1086?\u1087?\u1077?\u1095?\u1080?\u1090?\u1077?\u1083?\u1089?\u1090?\u1074?\u1086? \u1085?\u1072? \u1090?\u1080?\u1093?\u1086?\u1086?\u1082?\u1077?\u1072?\u1085?\u1089?\u1082?\u1080?\u1090?\u1077? \u1086?\u1089?\u1090?\u1088?\u1086?\u1074?\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905960">
      <w:bodyDiv w:val="1"/>
      <w:marLeft w:val="0"/>
      <w:marRight w:val="0"/>
      <w:marTop w:val="0"/>
      <w:marBottom w:val="0"/>
      <w:divBdr>
        <w:top w:val="none" w:sz="0" w:space="0" w:color="auto"/>
        <w:left w:val="none" w:sz="0" w:space="0" w:color="auto"/>
        <w:bottom w:val="none" w:sz="0" w:space="0" w:color="auto"/>
        <w:right w:val="none" w:sz="0" w:space="0" w:color="auto"/>
      </w:divBdr>
    </w:div>
    <w:div w:id="1449399150">
      <w:bodyDiv w:val="1"/>
      <w:marLeft w:val="0"/>
      <w:marRight w:val="0"/>
      <w:marTop w:val="0"/>
      <w:marBottom w:val="0"/>
      <w:divBdr>
        <w:top w:val="none" w:sz="0" w:space="0" w:color="auto"/>
        <w:left w:val="none" w:sz="0" w:space="0" w:color="auto"/>
        <w:bottom w:val="none" w:sz="0" w:space="0" w:color="auto"/>
        <w:right w:val="none" w:sz="0" w:space="0" w:color="auto"/>
      </w:divBdr>
    </w:div>
    <w:div w:id="1517159987">
      <w:bodyDiv w:val="1"/>
      <w:marLeft w:val="0"/>
      <w:marRight w:val="0"/>
      <w:marTop w:val="0"/>
      <w:marBottom w:val="0"/>
      <w:divBdr>
        <w:top w:val="none" w:sz="0" w:space="0" w:color="auto"/>
        <w:left w:val="none" w:sz="0" w:space="0" w:color="auto"/>
        <w:bottom w:val="none" w:sz="0" w:space="0" w:color="auto"/>
        <w:right w:val="none" w:sz="0" w:space="0" w:color="auto"/>
      </w:divBdr>
      <w:divsChild>
        <w:div w:id="871185641">
          <w:marLeft w:val="0"/>
          <w:marRight w:val="0"/>
          <w:marTop w:val="0"/>
          <w:marBottom w:val="0"/>
          <w:divBdr>
            <w:top w:val="none" w:sz="0" w:space="0" w:color="auto"/>
            <w:left w:val="none" w:sz="0" w:space="0" w:color="auto"/>
            <w:bottom w:val="none" w:sz="0" w:space="0" w:color="auto"/>
            <w:right w:val="none" w:sz="0" w:space="0" w:color="auto"/>
          </w:divBdr>
          <w:divsChild>
            <w:div w:id="1429618860">
              <w:marLeft w:val="0"/>
              <w:marRight w:val="0"/>
              <w:marTop w:val="0"/>
              <w:marBottom w:val="0"/>
              <w:divBdr>
                <w:top w:val="none" w:sz="0" w:space="0" w:color="auto"/>
                <w:left w:val="none" w:sz="0" w:space="0" w:color="auto"/>
                <w:bottom w:val="none" w:sz="0" w:space="0" w:color="auto"/>
                <w:right w:val="none" w:sz="0" w:space="0" w:color="auto"/>
              </w:divBdr>
              <w:divsChild>
                <w:div w:id="223613668">
                  <w:marLeft w:val="0"/>
                  <w:marRight w:val="0"/>
                  <w:marTop w:val="0"/>
                  <w:marBottom w:val="0"/>
                  <w:divBdr>
                    <w:top w:val="none" w:sz="0" w:space="0" w:color="auto"/>
                    <w:left w:val="none" w:sz="0" w:space="0" w:color="auto"/>
                    <w:bottom w:val="none" w:sz="0" w:space="0" w:color="auto"/>
                    <w:right w:val="none" w:sz="0" w:space="0" w:color="auto"/>
                  </w:divBdr>
                  <w:divsChild>
                    <w:div w:id="17897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1F266-A64D-49FC-B1F2-68AB7FA5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1286</Words>
  <Characters>7476</Characters>
  <Application>Microsoft Office Word</Application>
  <DocSecurity>0</DocSecurity>
  <Lines>152</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2016-04-26T13:47:00Z</cp:lastPrinted>
  <dcterms:created xsi:type="dcterms:W3CDTF">2016-06-14T15:45:00Z</dcterms:created>
  <dcterms:modified xsi:type="dcterms:W3CDTF">2016-06-17T11:05:00Z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