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06434364EDDF4888A8A5666935B3AB32" style="width:450.75pt;height:321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Обобщение на годишните доклади за изпълнение на оперативните програми, съфинансирани от Фонда за европейско подпомагане на най-нуждаещите се лица през 2014 година</w:t>
      </w:r>
    </w:p>
    <w:p>
      <w:pPr>
        <w:rPr>
          <w:rFonts w:ascii="Times New Roman" w:hAnsi="Times New Roman"/>
          <w:b/>
          <w:noProof/>
          <w:sz w:val="24"/>
          <w:szCs w:val="24"/>
        </w:rPr>
      </w:pPr>
    </w:p>
    <w:p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I. Въведение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Фондът за европейско подпомагане на най-нуждаещите се лица (FEAD) е създаден с Регламент (ЕС) № 223/2014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 xml:space="preserve"> с цел да допринесе за премахване на най-тежките форми на бедност в ЕС, като например бездомността, детската бедност и хранителния недоимък. Съгласно условията на регламента FEAD може да бъде използван за подпомагане на групите в обществото в най-неравностойно положение чрез предоставяне на храни, основни потребителски стоки като облекло, обувки, продукти за хигиенни цели, или чрез организиране на дейности за социално приобщаване. FEAD може да бъде използван също и за финансиране на събирането и разпределянето на даренията на храни като мярка за борба с разхищението на храни.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Общата сума на средствата по FEAD на разположение възлиза на 3,813 милиона евро по текущи цени</w:t>
      </w:r>
      <w:r>
        <w:rPr>
          <w:rFonts w:ascii="Times New Roman" w:hAnsi="Times New Roman"/>
          <w:noProof/>
          <w:sz w:val="24"/>
        </w:rPr>
        <w:t>, а предоставянето на средства на всички държави членки е изложено в приложение III към Регламент (ЕС) № 223/2014.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FEAD се прилага във всички държави — членки на ЕС, през програмния период 2014—2020 г. Фондът се прилага чрез </w:t>
      </w:r>
      <w:r>
        <w:rPr>
          <w:rFonts w:ascii="Times New Roman" w:hAnsi="Times New Roman"/>
          <w:b/>
          <w:noProof/>
          <w:sz w:val="24"/>
        </w:rPr>
        <w:t>оперативни програми</w:t>
      </w:r>
      <w:r>
        <w:rPr>
          <w:rFonts w:ascii="Times New Roman" w:hAnsi="Times New Roman"/>
          <w:noProof/>
          <w:sz w:val="24"/>
        </w:rPr>
        <w:t>, одобрени от Комисията. Държавите членки могат да решат как по най-добър начин да се възползват от средствата, като изберат да разработят оперативна програма за храни и/или основно материално подпомагане (наричана „ОП I“) и/или оперативна програма за социално приобщаване на най-нуждаещите се лица (наричана „ОП II“). Държавите членки също така имат свобода при определяне на целевите групи, специфичните видове подкрепа, която се предоставя, и географското покритие на техните програми.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Макар че </w:t>
      </w:r>
      <w:r>
        <w:rPr>
          <w:rFonts w:ascii="Times New Roman" w:hAnsi="Times New Roman"/>
          <w:b/>
          <w:noProof/>
          <w:sz w:val="24"/>
        </w:rPr>
        <w:t>социалното приобщаване на най-нуждаещите се лица</w:t>
      </w:r>
      <w:r>
        <w:rPr>
          <w:rFonts w:ascii="Times New Roman" w:hAnsi="Times New Roman"/>
          <w:noProof/>
          <w:sz w:val="24"/>
        </w:rPr>
        <w:t xml:space="preserve"> е от централно значение за ОП II, то е също така съществена част от ОП I. Осигуряването на материално подпомагане трябва да бъде допълнено от съпътстващи мерки, предназначени да насърчават социалното приобщаване на крайните получатели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(например насочването им към съответните служби, предлагането на насоки за балансиран режим на хранене и консултации във връзка с управлението на бюджета). Следователно чрез ОП І се отговаря на основните материални нужди на лицата в най-неравностойно положение и освен това им се помага да направят стъпка към реинтеграция в обществото.  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Държавите членки си сътрудничат с </w:t>
      </w:r>
      <w:r>
        <w:rPr>
          <w:rFonts w:ascii="Times New Roman" w:hAnsi="Times New Roman"/>
          <w:b/>
          <w:noProof/>
          <w:sz w:val="24"/>
        </w:rPr>
        <w:t>партньорски организации</w:t>
      </w:r>
      <w:r>
        <w:rPr>
          <w:rFonts w:ascii="Times New Roman" w:hAnsi="Times New Roman"/>
          <w:noProof/>
          <w:sz w:val="24"/>
        </w:rPr>
        <w:t xml:space="preserve"> за изпълнение на програмите по FEAD. Тези организации, които могат да бъдат публични органи или организации с нестопанска цел, предоставят материалното подпомагане (ОП I) или създават и управляват мерките за социално приобщаване (ОП II), в съответствие с описаното в програмите. Това сътрудничество означава, че по линия на Фонда се подпомага също изграждането на капацитет в рамките на партньорските организации в областта на социалната политика.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разпоредбите за мониторинг на Фонда се уточнява, че държавите членки трябва да представят </w:t>
      </w:r>
      <w:r>
        <w:rPr>
          <w:rFonts w:ascii="Times New Roman" w:hAnsi="Times New Roman"/>
          <w:b/>
          <w:noProof/>
          <w:sz w:val="24"/>
        </w:rPr>
        <w:t>на Комисията</w:t>
      </w:r>
      <w:r>
        <w:rPr>
          <w:rFonts w:ascii="Times New Roman" w:hAnsi="Times New Roman"/>
          <w:noProof/>
          <w:sz w:val="24"/>
        </w:rPr>
        <w:t xml:space="preserve"> до 30 юни всяка година годишен </w:t>
      </w:r>
      <w:r>
        <w:rPr>
          <w:rFonts w:ascii="Times New Roman" w:hAnsi="Times New Roman"/>
          <w:b/>
          <w:noProof/>
          <w:sz w:val="24"/>
        </w:rPr>
        <w:t>доклад</w:t>
      </w:r>
      <w:r>
        <w:rPr>
          <w:rFonts w:ascii="Times New Roman" w:hAnsi="Times New Roman"/>
          <w:noProof/>
          <w:sz w:val="24"/>
        </w:rPr>
        <w:t xml:space="preserve"> за изпълнението на техните програми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>. Комисията оценява докладите за изпълнение и, ако е необходимо, иска от съответната държава членка да внесе промени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</w:rPr>
        <w:t xml:space="preserve">. Комисията също така е задължена своевременно да представя </w:t>
      </w:r>
      <w:r>
        <w:rPr>
          <w:rFonts w:ascii="Times New Roman" w:hAnsi="Times New Roman"/>
          <w:b/>
          <w:noProof/>
          <w:sz w:val="24"/>
        </w:rPr>
        <w:t>обобщение</w:t>
      </w:r>
      <w:r>
        <w:rPr>
          <w:rFonts w:ascii="Times New Roman" w:hAnsi="Times New Roman"/>
          <w:noProof/>
          <w:sz w:val="24"/>
        </w:rPr>
        <w:t xml:space="preserve"> на докладите, подадени от държавите членки, на Европейския Парламент и на Съвета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noProof/>
          <w:sz w:val="24"/>
        </w:rPr>
        <w:t>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настоящото обобщение е отразена информацията, съдържаща се в докладите за изпълнение за 2014 г., във формата, в която са били приети от Комисията</w:t>
      </w:r>
      <w:r>
        <w:rPr>
          <w:rStyle w:val="FootnoteReference"/>
          <w:rFonts w:ascii="Times New Roman" w:hAnsi="Times New Roman"/>
          <w:noProof/>
          <w:sz w:val="24"/>
        </w:rPr>
        <w:footnoteReference w:id="6"/>
      </w:r>
      <w:r>
        <w:rPr>
          <w:rFonts w:ascii="Times New Roman" w:hAnsi="Times New Roman"/>
          <w:noProof/>
          <w:sz w:val="24"/>
        </w:rPr>
        <w:t>. В него се прави общ преглед на тенденциите, свързани с FEAD на равнище ЕС, и се представя информацията, предоставена от държавите членки, като се следва структурата на докладите. Докладваните стойности за общите показатели могат да бъдат намерени в приложението.</w:t>
      </w: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II. Общи тенденции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Регламентът за FEAD беше публикуван през март 2014 г. Преговорите между държавите членки и Комисията по съдържанието на програмите отнеха по-голямата част от годината. Като начална дата за допустимост беше определен 1 декември 2013 г.</w:t>
      </w:r>
      <w:r>
        <w:rPr>
          <w:rStyle w:val="FootnoteReference"/>
          <w:rFonts w:ascii="Times New Roman" w:hAnsi="Times New Roman"/>
          <w:noProof/>
          <w:sz w:val="24"/>
        </w:rPr>
        <w:footnoteReference w:id="7"/>
      </w:r>
      <w:r>
        <w:rPr>
          <w:rFonts w:ascii="Times New Roman" w:hAnsi="Times New Roman"/>
          <w:noProof/>
          <w:sz w:val="24"/>
        </w:rPr>
        <w:t xml:space="preserve">, това обаче означава, че дейностите вече са били в ход още преди приемането на някои от оперативните програми. 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По-голямата част от оперативните програми бяха представени на Комисията в началото на месец септември 2014 г. До края на годината бяха приети общо 25 програми, а останалите три (DE, SE, UK) бяха одобрени в началото на 2015 г. Също така, веднага след приемането на всяка програма, Комисията изплащаше на съответната държава членка 11 % от бюджета на програмата като предварително финансиране. С това бе улеснено предоставянето на спешно подпомагане на най-нуждаещите се.</w:t>
      </w:r>
    </w:p>
    <w:p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Резултатът от дейностите по програмиране показа, че 24 държави членки избраха да прилагат ОП I, а четири избраха ОП II. Конкретните видове подпомагане, които държавите членки решиха да предоставят, са както следва: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760"/>
        <w:gridCol w:w="5126"/>
      </w:tblGrid>
      <w:tr>
        <w:trPr>
          <w:jc w:val="center"/>
        </w:trPr>
        <w:tc>
          <w:tcPr>
            <w:tcW w:w="948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Вид ОП</w:t>
            </w:r>
          </w:p>
        </w:tc>
        <w:tc>
          <w:tcPr>
            <w:tcW w:w="2760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Вид подпомагане</w:t>
            </w:r>
          </w:p>
        </w:tc>
        <w:tc>
          <w:tcPr>
            <w:tcW w:w="5126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Държави членки</w:t>
            </w:r>
          </w:p>
        </w:tc>
      </w:tr>
      <w:tr>
        <w:trPr>
          <w:jc w:val="center"/>
        </w:trPr>
        <w:tc>
          <w:tcPr>
            <w:tcW w:w="948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ОП I</w:t>
            </w:r>
          </w:p>
        </w:tc>
        <w:tc>
          <w:tcPr>
            <w:tcW w:w="2760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Храни </w:t>
            </w:r>
          </w:p>
        </w:tc>
        <w:tc>
          <w:tcPr>
            <w:tcW w:w="5126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BG, EE, ES, FR, MT, PL, SI, FI, UK (9)</w:t>
            </w:r>
          </w:p>
        </w:tc>
      </w:tr>
      <w:tr>
        <w:trPr>
          <w:jc w:val="center"/>
        </w:trPr>
        <w:tc>
          <w:tcPr>
            <w:tcW w:w="948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ОП I</w:t>
            </w:r>
          </w:p>
        </w:tc>
        <w:tc>
          <w:tcPr>
            <w:tcW w:w="2760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Основно материално подпомагане</w:t>
            </w:r>
            <w:r>
              <w:rPr>
                <w:rStyle w:val="FootnoteReference"/>
                <w:rFonts w:ascii="Times New Roman" w:hAnsi="Times New Roman"/>
                <w:noProof/>
                <w:sz w:val="20"/>
              </w:rPr>
              <w:footnoteReference w:id="8"/>
            </w:r>
          </w:p>
        </w:tc>
        <w:tc>
          <w:tcPr>
            <w:tcW w:w="5126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AT, CY (2)</w:t>
            </w:r>
          </w:p>
        </w:tc>
      </w:tr>
      <w:tr>
        <w:trPr>
          <w:jc w:val="center"/>
        </w:trPr>
        <w:tc>
          <w:tcPr>
            <w:tcW w:w="948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ОП I</w:t>
            </w:r>
          </w:p>
        </w:tc>
        <w:tc>
          <w:tcPr>
            <w:tcW w:w="2760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Храни и основно материално подпомагане</w:t>
            </w:r>
          </w:p>
        </w:tc>
        <w:tc>
          <w:tcPr>
            <w:tcW w:w="5126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BE, CZ, IE, EL, HR, IT, LV, LT, LU, HU, PT, RO, SK (13)</w:t>
            </w:r>
          </w:p>
        </w:tc>
      </w:tr>
      <w:tr>
        <w:trPr>
          <w:jc w:val="center"/>
        </w:trPr>
        <w:tc>
          <w:tcPr>
            <w:tcW w:w="948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ОП II</w:t>
            </w:r>
          </w:p>
        </w:tc>
        <w:tc>
          <w:tcPr>
            <w:tcW w:w="2760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Дейности за социално приобщаване</w:t>
            </w:r>
          </w:p>
        </w:tc>
        <w:tc>
          <w:tcPr>
            <w:tcW w:w="5126" w:type="dxa"/>
            <w:shd w:val="clear" w:color="auto" w:fill="auto"/>
          </w:tcPr>
          <w:p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DE, DK, NL, SE (4)</w:t>
            </w:r>
          </w:p>
        </w:tc>
      </w:tr>
    </w:tbl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III. Равнище на изпълнение на оперативните програми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съответствие с тенденциите, представени по-горе, по-голямата част от държавите членки са посочили в докладите си, че 2014 г. е била посветена на подготовката на техните програми, консултации със заинтересованите страни и преговори с Комисията. Процесът на подготовка на изпълнението на програмите е бил свързан също с определянето на програмните органи (управляващите и сертифициращите органи)</w:t>
      </w:r>
      <w:r>
        <w:rPr>
          <w:rStyle w:val="FootnoteReference"/>
          <w:rFonts w:ascii="Times New Roman" w:hAnsi="Times New Roman"/>
          <w:noProof/>
          <w:sz w:val="24"/>
        </w:rPr>
        <w:footnoteReference w:id="9"/>
      </w:r>
      <w:r>
        <w:rPr>
          <w:rFonts w:ascii="Times New Roman" w:hAnsi="Times New Roman"/>
          <w:noProof/>
          <w:sz w:val="24"/>
        </w:rPr>
        <w:t>. В допълнение някои държави членки са започнали работа по техните информационни системи и са провели първоначални обсъждания със съответните заинтересовани страни относно характера на подпомагането, което ще се предоставя с финансирането по линия на FEAD.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Тъй като разходите по FEAD са допустими, считано от 1 декември 2013 г., изготвените от няколко държави членки, изпълняващи ОП І, доклади показват, че изпълнението на програмите е започнало през 2014 г., успоредно с подготвителната работа. Поради това са отчетени положителни стойности за общите показатели за вложени ресурси, крайни продукти и резултати</w:t>
      </w:r>
      <w:r>
        <w:rPr>
          <w:rStyle w:val="FootnoteReference"/>
          <w:rFonts w:ascii="Times New Roman" w:hAnsi="Times New Roman"/>
          <w:noProof/>
          <w:sz w:val="24"/>
        </w:rPr>
        <w:footnoteReference w:id="10"/>
      </w:r>
      <w:r>
        <w:rPr>
          <w:rFonts w:ascii="Times New Roman" w:hAnsi="Times New Roman"/>
          <w:noProof/>
          <w:sz w:val="24"/>
        </w:rPr>
        <w:t xml:space="preserve">.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Общо 13 държави членки (BE, CY, ES, FR, IT, LT, LU, LV, NL, PL, PT, RO и SI) са извършили разходи за операции. В края на 2014 г. общият размер на извършените разходи за операции достига 330,7 милиона евро. Осем държави членки (BE, ES, FR, LT, RO, PL, PT и SI) вече са започнали да предоставят подпомагане през 2014 г. Общо 95,9 милиона евро са били изплатени в пет държави членки (BE, ES, FR, LT, RO) за операции, свързани с предоставянето на храни. През 2014 г. подпомагане е закупено също и в Италия, но разпределянето му не е започнало до 2015 г. </w:t>
      </w:r>
    </w:p>
    <w:p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Ранната дата за допустимост на разходите и високото равнище на предварително финансиране, предвидено в регламента за FEAD, създадоха възможности тези осем държави членки да постигнат резултати много бързо. Предишният опит на държавите членки с Програмата за разпределяне на храна на най-нуждаещите се лица, изпълнявана до 2013 г., също е фактор, който допринесе за бързото стартиране на програмите.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Общо </w:t>
      </w:r>
      <w:r>
        <w:rPr>
          <w:rFonts w:ascii="Times New Roman" w:hAnsi="Times New Roman"/>
          <w:b/>
          <w:noProof/>
          <w:sz w:val="24"/>
        </w:rPr>
        <w:t>228 707 тона храни бяха разпределени през 2014 г.</w:t>
      </w:r>
      <w:r>
        <w:rPr>
          <w:rFonts w:ascii="Times New Roman" w:hAnsi="Times New Roman"/>
          <w:noProof/>
          <w:sz w:val="24"/>
        </w:rPr>
        <w:t xml:space="preserve"> от споменатите по-горе осем държави членки, като 42,3 %, 28,8 % и 21,3 % от разпределените количества са формирани съответно от Румъния, Франция и Испания. Показателите за крайни продукти показват, че подборът на продукти за разпределяне е различен при отделните държави членки: някои от тях са се съсредоточили върху малък брой групи продукти, докато други са избрали по-широк кръг от храни. Франция е единствената държава членка, която е разпределила продукти от всички седем категории, обхванати от общите показатели на FEAD. Всички осем държави членки разпределят храна под формата на пакети, а две (BE, ES) са осигурили също готвена храна на крайните получатели.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Следват примери за съдържанието на пакет с храни: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13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Белгия: полуобезмаслено мляко, консерви сьомга, филета от скумрия в доматен сос, телешко месо, макарони, картофено пюре на прах, белени домати, грах и моркови, гъби, разни плодове в лек сироп, фъстъчено масло, конфитюр, зърнени закуски, ванилов пудинг на прах.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13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Испания: храна за възрастни — 2 кг ориз, 2 кг леща, 2 л мляко, 1 кг макаронени изделия, кутия бисквити 800 г, консерва зелен фасул 780 г, консерва пържени домати 500 г; бебешки храни — 4 кутии преходно мляко (800 г), бурканчета бебешки храни (8 пакета, по 250 г всеки)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13"/>
        </w:tabs>
        <w:jc w:val="both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</w:rPr>
        <w:t>Румъния: 3 кг брашно, 3 кг царевично брашно, макаронени изделия, 2 л олио, 2 кг захар, 12 броя консерви от месо.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по-голямата част от държавите членки закупуването на подпомагане се организира на централно равнище и след това подпомагането се доставя и разпределя от партньорски организации. Тъй като закупуването трябва да се осъществява при следване на правилата за обществените поръчки, способността на националните органи да организират процедури за обществени поръчки бързо и ефективно ще бъде от съществено значение за осигуряване на редовното разпределяне на помощите.</w:t>
      </w:r>
    </w:p>
    <w:p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Според прогнозните оценки общо 10 964 726 души, от които 5 612 926 жени, са се възползвали от подпомагането по линия на FEAD през 2014 г.</w:t>
      </w:r>
      <w:r>
        <w:rPr>
          <w:rFonts w:ascii="Times New Roman" w:hAnsi="Times New Roman"/>
          <w:noProof/>
          <w:sz w:val="24"/>
        </w:rPr>
        <w:t xml:space="preserve"> Оценява се, че приблизително една четвърт от получателите (3 092 695 души) са деца на възраст 15 години или по-малки, а 1 220 615 души са на възраст 65 години или по-възрастни. Сред получателите според прогнозите е имало около 621 979 хора с увреждания, 719 708 мигранти, лица с произход от друга държава (включително бежанци) и лица от малцинствени общности, както и 69 451 бездомни лица.</w:t>
      </w:r>
    </w:p>
    <w:p>
      <w:pPr>
        <w:jc w:val="both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</w:rPr>
        <w:t>Броят на хората, подкрепени по линия на FEAD през 2014 г., вече надвишава значително първоначалната прогноза. В оценката на въздействието за предложението за регламент относно FEAD</w:t>
      </w:r>
      <w:r>
        <w:rPr>
          <w:rStyle w:val="FootnoteReference"/>
          <w:rFonts w:ascii="Times New Roman" w:hAnsi="Times New Roman"/>
          <w:noProof/>
          <w:sz w:val="20"/>
        </w:rPr>
        <w:footnoteReference w:id="11"/>
      </w:r>
      <w:r>
        <w:rPr>
          <w:rFonts w:ascii="Times New Roman" w:hAnsi="Times New Roman"/>
          <w:noProof/>
          <w:sz w:val="24"/>
        </w:rPr>
        <w:t xml:space="preserve"> е изчислено, че по линия на Фонда биха могли да се подпомагат между 1,96 и 2,13 милиона души годишно. Следва да се отбележи, че в съответствие с изискванията на Делегиран регламент (ЕС) № 1255/2014 на Комисията отчетените стойности за общите показатели за броя на хората, които получават подкрепа от FEAD, са базирани на оценки, предоставени от партньорските организации.  </w:t>
      </w:r>
    </w:p>
    <w:p>
      <w:pPr>
        <w:tabs>
          <w:tab w:val="num" w:pos="113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Държавите членки докладват, че са предоставили различни съпътстващи мерки наред с разпределянето на храни. Тези мерки включват: </w:t>
      </w:r>
    </w:p>
    <w:p>
      <w:pPr>
        <w:numPr>
          <w:ilvl w:val="0"/>
          <w:numId w:val="6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съвети за приготвяне и съхранение на храните, съвети за лична хигиена (LT); </w:t>
      </w:r>
    </w:p>
    <w:p>
      <w:pPr>
        <w:numPr>
          <w:ilvl w:val="0"/>
          <w:numId w:val="6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насочване към подходящите социални служби (BE и FR);</w:t>
      </w:r>
    </w:p>
    <w:p>
      <w:pPr>
        <w:numPr>
          <w:ilvl w:val="0"/>
          <w:numId w:val="6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индивидуално консултиране и семинари за наличните програми за крайните получатели, като здравословен начин на живот и справяне със стреса (SI); </w:t>
      </w:r>
    </w:p>
    <w:p>
      <w:pPr>
        <w:numPr>
          <w:ilvl w:val="0"/>
          <w:numId w:val="6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психологическа и терапевтична помощ, семинари по готварство, образование относно храненето, справяне с разхищението на храни и управление на бюджета на домакинството (PL).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Съпътстващите мерки са неразделна част от изпълнението на ОП I и поради това Комисията ще очаква всички държави членки да предоставят подробна информация за предприетите мерки в техните доклади за 2015 г.</w:t>
      </w:r>
    </w:p>
    <w:p>
      <w:pPr>
        <w:tabs>
          <w:tab w:val="num" w:pos="113"/>
        </w:tabs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Докладите, представени от държавите членки, които са избрали ОП II, показват само ограничено изпълнение по тези програми през 2014 г. Това се дължи и на относително по-късното приемане на програмите в Швеция и Германия (едва през 2015 г.).</w:t>
      </w:r>
    </w:p>
    <w:p>
      <w:pPr>
        <w:tabs>
          <w:tab w:val="num" w:pos="113"/>
        </w:tabs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IV. Хоризонтални принципи</w:t>
      </w:r>
    </w:p>
    <w:p>
      <w:pPr>
        <w:pStyle w:val="ListParagraph"/>
        <w:numPr>
          <w:ilvl w:val="0"/>
          <w:numId w:val="5"/>
        </w:numPr>
        <w:tabs>
          <w:tab w:val="num" w:pos="113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Координация с ЕСФ и други относими политики на ЕС</w:t>
      </w:r>
      <w:r>
        <w:rPr>
          <w:rStyle w:val="FootnoteReference"/>
          <w:rFonts w:ascii="Times New Roman" w:hAnsi="Times New Roman"/>
          <w:noProof/>
          <w:sz w:val="24"/>
        </w:rPr>
        <w:footnoteReference w:id="12"/>
      </w:r>
    </w:p>
    <w:p>
      <w:pPr>
        <w:tabs>
          <w:tab w:val="num" w:pos="113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Въпросът за координацията между подпомагането, предоставяно чрез FEAD и чрез ЕСФ, бе разгледан още на етапа на подготовка на програмите. Всяка държава членка трябваше да очертае в програмата си въпроса как тя предлага да се осигури ефективна координация. Докато някои държави членки се съсредоточиха върху предотвратяването на двойното финансиране, други направиха една крачка напред и проучиха възможностите за допълващи дейности. Това се приема много положително от Комисията.</w:t>
      </w:r>
    </w:p>
    <w:p>
      <w:pPr>
        <w:tabs>
          <w:tab w:val="num" w:pos="113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Като цяло съществува ясно разграничение между дейностите, допустими за финансиране в рамките на всеки фонд (AT и LT). В допълнение държавите членки са разработили различни механизми за координация, като например системи за споделено управление и контрол за двата фонда, съвместни комисии за подбор на проекти (LU) и консултативни групи, които предлагат начините, по които бенефициерите могат да си сътрудничат (PL). В Испания крайните получатели на програмите в рамките на FEAD ще бъдат насърчавани да участват в дейности за социално приобщаване по линия на ЕСФ.  </w:t>
      </w:r>
    </w:p>
    <w:p>
      <w:pPr>
        <w:pStyle w:val="ListParagraph"/>
        <w:numPr>
          <w:ilvl w:val="0"/>
          <w:numId w:val="5"/>
        </w:numPr>
        <w:tabs>
          <w:tab w:val="num" w:pos="113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Равенство между мъжете и жените, интегриране на аспекта на пола и предотвратяване на дискриминацията</w:t>
      </w:r>
      <w:r>
        <w:rPr>
          <w:rStyle w:val="FootnoteReference"/>
          <w:rFonts w:ascii="Times New Roman" w:hAnsi="Times New Roman"/>
          <w:noProof/>
          <w:sz w:val="24"/>
        </w:rPr>
        <w:footnoteReference w:id="13"/>
      </w:r>
    </w:p>
    <w:p>
      <w:pPr>
        <w:tabs>
          <w:tab w:val="num" w:pos="113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Повечето държави членки докладват за това как те са включили равенството между мъжете и жените и недискриминацията в правилата за изпълнение на програмите. В повечето случаи най-нуждаещите се лица са били идентифицирани въз основа на икономически критерии, с което се предотвратява дискриминацията при достъпа до помощ въз основа на пол, произход, религия или убеждения, увреждания или сексуална ориентация. Някои държави членки (BG и MT) включват също така социални критерии (например семейства с деца и самотни родители) в предоставянето на подпомагане. Освен това държавите са разработили подкрепата си по такъв начин, че да отговаря на нуждите на различните групи най-нуждаещи се лица (Австрия ще предложи избор на училищни чанти за момчета, както и за момичета). Процесът за подбор на операциите, използван в Чешката република и Португалия, е специално замислен така, че да се гарантира равенство между мъжете и жените и недопускане на дискриминация. И накрая, партньорските организации играят важна роля за гарантиране на равенството между мъжете и жените и недопускането на дискриминация при предоставянето на подпомагане. В Латвия партньорските организации могат да предоставят храни и основно материално подпомагане по местоживеене, ако получателят поиска такава услуга.</w:t>
      </w:r>
    </w:p>
    <w:p>
      <w:pPr>
        <w:pStyle w:val="ListParagraph"/>
        <w:numPr>
          <w:ilvl w:val="0"/>
          <w:numId w:val="5"/>
        </w:numPr>
        <w:tabs>
          <w:tab w:val="num" w:pos="113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Климатични и екологични аспекти с оглед намаляване разхищението на храни</w:t>
      </w:r>
      <w:r>
        <w:rPr>
          <w:rStyle w:val="FootnoteReference"/>
          <w:rFonts w:ascii="Times New Roman" w:hAnsi="Times New Roman"/>
          <w:noProof/>
          <w:sz w:val="24"/>
        </w:rPr>
        <w:footnoteReference w:id="14"/>
      </w:r>
    </w:p>
    <w:p>
      <w:pPr>
        <w:ind w:left="11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Критериите за избор на хранителни продукти, използвани от държавите членки, включват изискването те да са трайни, лесни за съхранение и с дълъг срок на годност, като целта е да се намали разхищението на храни. Люксембург също така провежда кампании за повишаване на осведомеността сред магазините за хранителни стоки с цел насърчаване на даренията. Полша насърчава закупуването на храни, опаковани в екологосъобразна хартия, тъй като тя е бързо биоразградим и рециклируем материал. По същия начин програмата за разпределяне на храни в Румъния насърчава намаляването на потреблението на хартия и повторното използване на материали.</w:t>
      </w:r>
    </w:p>
    <w:p>
      <w:pPr>
        <w:pStyle w:val="ListParagraph"/>
        <w:numPr>
          <w:ilvl w:val="0"/>
          <w:numId w:val="5"/>
        </w:numPr>
        <w:tabs>
          <w:tab w:val="num" w:pos="113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Принос към балансираното хранене на най-нуждаещите се лица</w:t>
      </w:r>
      <w:r>
        <w:rPr>
          <w:rStyle w:val="FootnoteReference"/>
          <w:rFonts w:ascii="Times New Roman" w:hAnsi="Times New Roman"/>
          <w:noProof/>
          <w:sz w:val="24"/>
        </w:rPr>
        <w:footnoteReference w:id="15"/>
      </w:r>
    </w:p>
    <w:p>
      <w:pPr>
        <w:ind w:left="11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Държавите членки са включили изисквания за здраве и безопасност на храните в спецификациите за закупуване на храни. Те се консултират с партньорски организации, социални партньори, компетентните органи и експерти при избора на хранителни продукти за разпределяне. Белгия е актуализирала своя списък на продуктите след консултация със здравни експерти. В Люксембург е създадена платформа, където могат да се обсъждат въпроси, свързани с храненето, безопасността на храните, равенството и недискриминацията с партньорските организации. Италия е адаптирала списъка на хранителните продукти с оглед на регионалните режими на хранене, а Испания е разработила своя списък на хранителните помощи, като се е съобразила с националната стратегия за хранене, физическа активност и превенция на наднорменото тегло. Във Франция процедурата за обществени поръчки включва тестове с дегустиране на някои продукти, за да се гарантира, че качеството отговаря на необходимите стандарти за разпределяне. В България един от използваните критерии за подбор на кухни за топла храна, за да участват в програмата, е способността им да отговарят на изискванията за безопасност на храните и да допринасят за балансираното хранене на крайните получатели.</w:t>
      </w:r>
    </w:p>
    <w:p>
      <w:pPr>
        <w:ind w:left="11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По време на програмния период държавите членки и Комисията ще трябва да обмислят възможността за използване на FEAD за финансиране на предоставянето на прясна храна за най-нуждаещите се лица, както и да оценят потенциалния капацитет на Фонда за тази цел.</w:t>
      </w:r>
    </w:p>
    <w:p>
      <w:pPr>
        <w:ind w:left="110"/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V. Заключение</w:t>
      </w:r>
    </w:p>
    <w:p>
      <w:pPr>
        <w:ind w:left="11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Програмите в рамките на FEAD бяха разработени, за да отговорят на конкретната цел премахване на най-тежките форми на бедност, в рамките на подкрепата, която може да бъде предоставена от Фонда. Целта на програмите е да се насочат към групите от хора, до които е най-трудно да се достигне, и да им се осигури незабавна помощ. Аспектът на програмите за социално приобщаване, от друга страна, помага за интегрирането на хората в неравностойно положение в обществото. Тези особености на програмите в рамките на FEAD също така подчертават специфичната стойност на Фонда — по него се осигурява специално насочена подкрепа на група от хора, чието положение може да не им позволява да имат пряк достъп и да се възползват от други инструменти за отпускане на средства на ЕС, като например европейските структурни и инвестиционни фондове (ЕСИ фондове).</w:t>
      </w:r>
    </w:p>
    <w:p>
      <w:pPr>
        <w:ind w:left="11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Показателите за крайни продукти на FEAD показват, че подкрепата по FEAD вече е достигнала до голям брой хора през 2014 г. В същото време скромният бюджет на FEAD, съпоставен с големия брой на хората, изложени на риск от бедност в ЕС (122,3 милиона души през 2014 г.</w:t>
      </w:r>
      <w:r>
        <w:rPr>
          <w:rStyle w:val="FootnoteReference"/>
          <w:rFonts w:ascii="Times New Roman" w:hAnsi="Times New Roman"/>
          <w:noProof/>
          <w:sz w:val="24"/>
        </w:rPr>
        <w:footnoteReference w:id="16"/>
      </w:r>
      <w:r>
        <w:rPr>
          <w:rFonts w:ascii="Times New Roman" w:hAnsi="Times New Roman"/>
          <w:noProof/>
          <w:sz w:val="24"/>
        </w:rPr>
        <w:t>), означава, че неговият принос към общите усилия за намаляване на бедността в ЕС е ограничен. Ето защо допълняемостта с други инструменти и мерки на равнището на ЕС и на национално равнище е от ключово значение.</w:t>
      </w:r>
    </w:p>
    <w:p>
      <w:pPr>
        <w:ind w:left="11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Очаква се докладите за 2015 г. да покажат, че е започнало изпълнението на по-голяма част от програмите в рамките на FEAD в по-голям брой държави членки. Това ще се отрази също така в подаването на искания за плащане до Комисията, както и в изпълнението на ОП II. Целта на Комисията ще бъде да се гарантира, че докладите за 2015 г. съдържат изчерпателна и адекватна информация за това как програмите в рамките на FEAD са изпълнявани във всички държави членки. Това е от съществено значение, за да бъде получена точна представа за изпълнението на Фонда на равнището на ЕС.</w:t>
      </w:r>
    </w:p>
    <w:p>
      <w:pPr>
        <w:ind w:left="11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На FEAD винаги се е гледало като на инструмент с лесно управление, който е в състояние да се справи с извънредни социални ситуации. Ето защо правилата за използване на средствата в рамките на FEAD бяха опростени в сравнение с тези за ЕСИ фондовете. Успехът на дейностите по линия на FEAD ще зависи от това държавите членки да запазят опростени разпоредбите за изпълнение по време на програмния период и да не въвеждат административна тежест, надхвърляща изискванията на законодателната рамка на FEAD.</w:t>
      </w:r>
    </w:p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840" w:bottom="1417" w:left="9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Регламент (ЕС) № 223/2014 на Европейския парламент и на Съвета от 11 март 2014 г. относно Фонда за европейско подпомагане на най-нуждаещите се лица (ОВ L 72, 12.3.2014 г., стр. 1).</w:t>
      </w:r>
    </w:p>
  </w:footnote>
  <w:footnote w:id="2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съответствие с член 7, параграф 4 от Регламент (ЕС) № 223/2014 не се изисква предоставянето на съпътстващи мерки в случаите, когато храните и/или основното материално подпомагане се предоставят единствено на най-нуждаещите се деца в детски или сходни заведения.</w:t>
      </w:r>
    </w:p>
  </w:footnote>
  <w:footnote w:id="3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Член 13, параграф 1 от Регламент (ЕС) № 223/2014.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Комисията успя да приеме последния от докладите от държавите членки за 2014 г. на 11 април 2016 г. Впоследствие това определи сроковете за приемането на настоящия доклад на Комисията.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Член 13, параграф 9 от Регламент (ЕС) № 223/2014.</w:t>
      </w:r>
    </w:p>
  </w:footnote>
  <w:footnote w:id="6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Към момента на изготвяне на настоящото обобщение все още не е изпратен годишен доклад за изпълнението от Обединеното кралство. </w:t>
      </w:r>
    </w:p>
  </w:footnote>
  <w:footnote w:id="7">
    <w:p>
      <w:pPr>
        <w:pStyle w:val="FootnoteText"/>
        <w:tabs>
          <w:tab w:val="left" w:pos="7106"/>
        </w:tabs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Член 22, параграф 2 от Регламент (ЕС) № 223/2014. </w:t>
      </w:r>
      <w:r>
        <w:tab/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 В ч</w:t>
      </w:r>
      <w:r>
        <w:rPr>
          <w:rFonts w:ascii="Times New Roman" w:hAnsi="Times New Roman"/>
        </w:rPr>
        <w:t>лен 2, параграф 1 от Регламент (ЕС) № 223/2014 понятието „основно материално подпомагане“ е определено като основни потребителски стоки с ограничена стойност и за лична употреба на най-нуждаещите се лица, като например облекло, обувки, продукти за хигиенни цели, училищни материали и спални чували.</w:t>
      </w:r>
    </w:p>
  </w:footnote>
  <w:footnote w:id="9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Член 31 от Регламент (ЕС) № 223/2014.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Както са изложени в приложението към Делегиран регламент (ЕС) № 1255/2014 на Комисията от 17 юли 2014 г. за допълване на Регламент (ЕС) № 223/2014 на Европейския парламент и на Съвета относно Фонда за европейско подпомагане на най-нуждаещите се лица чрез определяне на съдържанието на годишните доклади и окончателните доклади за изпълнението, включително списъка на общите показатели (ОВ L 337, 25.11.2014 г., стр. 48)</w:t>
      </w:r>
    </w:p>
  </w:footnote>
  <w:footnote w:id="11">
    <w:p>
      <w:pPr>
        <w:pStyle w:val="FootnoteText"/>
        <w:rPr>
          <w:rFonts w:ascii="Times New Roman" w:hAnsi="Times New Roman"/>
          <w:sz w:val="12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</w:rPr>
        <w:t>SWD(2012) 350 final.</w:t>
      </w:r>
    </w:p>
  </w:footnote>
  <w:footnote w:id="12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Член 5, параграф 6 от Регламент (ЕС) № 223/2014.</w:t>
      </w:r>
    </w:p>
  </w:footnote>
  <w:footnote w:id="13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Член 5, параграф 11 от Регламент (ЕС) № 223/2014.</w:t>
      </w:r>
    </w:p>
  </w:footnote>
  <w:footnote w:id="14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Член 5, параграф 13 от Регламент (ЕС) № 223/2014.</w:t>
      </w:r>
    </w:p>
  </w:footnote>
  <w:footnote w:id="15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Член 5, параграф 13 от Регламент (ЕС) № 223/2014.</w:t>
      </w:r>
    </w:p>
  </w:footnote>
  <w:footnote w:id="16">
    <w:p>
      <w:pPr>
        <w:pStyle w:val="FootnoteText"/>
        <w:tabs>
          <w:tab w:val="center" w:pos="5053"/>
        </w:tabs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Източник на данните: Евростат.</w:t>
      </w:r>
      <w:r>
        <w:tab/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9"/>
    <w:lvl w:ilvl="0">
      <w:start w:val="1"/>
      <w:numFmt w:val="bullet"/>
      <w:lvlText w:val=""/>
      <w:lvlJc w:val="left"/>
      <w:pPr>
        <w:tabs>
          <w:tab w:val="num" w:pos="113"/>
        </w:tabs>
        <w:ind w:left="720" w:hanging="360"/>
      </w:pPr>
      <w:rPr>
        <w:rFonts w:ascii="Symbol" w:hAnsi="Symbol" w:cs="Symbol"/>
      </w:rPr>
    </w:lvl>
  </w:abstractNum>
  <w:abstractNum w:abstractNumId="1">
    <w:nsid w:val="00000027"/>
    <w:multiLevelType w:val="single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113"/>
        </w:tabs>
        <w:ind w:left="720" w:hanging="360"/>
      </w:pPr>
      <w:rPr>
        <w:rFonts w:ascii="Symbol" w:hAnsi="Symbol" w:cs="Symbol"/>
      </w:rPr>
    </w:lvl>
  </w:abstractNum>
  <w:abstractNum w:abstractNumId="2">
    <w:nsid w:val="07C53E3F"/>
    <w:multiLevelType w:val="hybridMultilevel"/>
    <w:tmpl w:val="62C822FA"/>
    <w:lvl w:ilvl="0" w:tplc="8278954A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C28F5"/>
    <w:multiLevelType w:val="hybridMultilevel"/>
    <w:tmpl w:val="4D7CEDCC"/>
    <w:lvl w:ilvl="0" w:tplc="CDDC176E">
      <w:numFmt w:val="bullet"/>
      <w:lvlText w:val="-"/>
      <w:lvlJc w:val="left"/>
      <w:pPr>
        <w:ind w:left="47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>
    <w:nsid w:val="50E352A2"/>
    <w:multiLevelType w:val="hybridMultilevel"/>
    <w:tmpl w:val="A55AFD94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>
    <w:nsid w:val="63E76D8C"/>
    <w:multiLevelType w:val="hybridMultilevel"/>
    <w:tmpl w:val="DAFA6B7A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06434364EDDF4888A8A5666935B3AB32"/>
    <w:docVar w:name="LW_CROSSREFERENCE" w:val="&lt;UNUSED&gt;"/>
    <w:docVar w:name="LW_DocType" w:val="NORMAL"/>
    <w:docVar w:name="LW_EMISSION" w:val="30.6.2016"/>
    <w:docVar w:name="LW_EMISSION_ISODATE" w:val="2016-06-30"/>
    <w:docVar w:name="LW_EMISSION_LOCATION" w:val="BRX"/>
    <w:docVar w:name="LW_EMISSION_PREFIX" w:val="Брюксел, "/>
    <w:docVar w:name="LW_EMISSION_SUFFIX" w:val=" \u1075?."/>
    <w:docVar w:name="LW_ID_DOCTYPE_NONLW" w:val="CP-005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435"/>
    <w:docVar w:name="LW_REF.INTERNE" w:val="&lt;UNUSED&gt;"/>
    <w:docVar w:name="LW_SOUS.TITRE.OBJ.CP" w:val="&lt;UNUSED&gt;"/>
    <w:docVar w:name="LW_SUPERTITRE" w:val="&lt;UNUSED&gt;"/>
    <w:docVar w:name="LW_TITRE.OBJ.CP" w:val="\u1054?\u1073?\u1086?\u1073?\u1097?\u1077?\u1085?\u1080?\u1077? \u1085?\u1072? \u1075?\u1086?\u1076?\u1080?\u1096?\u1085?\u1080?\u1090?\u1077? \u1076?\u1086?\u1082?\u1083?\u1072?\u1076?\u1080? \u1079?\u1072? \u1080?\u1079?\u1087?\u1098?\u1083?\u1085?\u1077?\u1085?\u1080?\u1077? \u1085?\u1072? \u1086?\u1087?\u1077?\u1088?\u1072?\u1090?\u1080?\u1074?\u1085?\u1080?\u1090?\u1077? \u1087?\u1088?\u1086?\u1075?\u1088?\u1072?\u1084?\u1080?, \u1089?\u1098?\u1092?\u1080?\u1085?\u1072?\u1085?\u1089?\u1080?\u1088?\u1072?\u1085?\u1080? \u1086?\u1090? \u1060?\u1086?\u1085?\u1076?\u1072? \u1079?\u1072? \u1077?\u1074?\u1088?\u1086?\u1087?\u1077?\u1081?\u1089?\u1082?\u1086? \u1087?\u1086?\u1076?\u1087?\u1086?\u1084?\u1072?\u1075?\u1072?\u1085?\u1077? \u1085?\u1072? \u1085?\u1072?\u1081?-\u1085?\u1091?\u1078?\u1076?\u1072?\u1077?\u1097?\u1080?\u1090?\u1077? \u1089?\u1077? \u1083?\u1080?\u1094?\u1072? \u1087?\u1088?\u1077?\u1079? 2014 \u1075?\u1086?\u1076?\u1080?\u1085?\u1072?"/>
    <w:docVar w:name="LW_TYPE.DOC.CP" w:val="\u1044?\u1054?\u1050?\u1051?\u1040?\u1044? \u1053?\u1040? \u1050?\u1054?\u1052?\u1048?\u1057?\u1048?\u1071?\u1058?\u1040? \u1044?\u1054? \u1057?\u1066?\u1042?\u1045?\u1058?\u1040? \u1048? \u1045?\u1042?\u1056?\u1054?\u1055?\u1045?\u1049?\u1057?\u1050?\u1048?\u1071? \u1055?\u1040?\u1056?\u1051?\u1040?\u1052?\u1045?\u1053?\u1058?"/>
    <w:docVar w:name="Stamp" w:val="\\dossiers.dgt.cec.eu.int\dossiers\EMPL\EMPL-2016-00761\EMPL-2016-00761-00-00-EN-REV-00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0CAA-5797-4403-9BF9-FD2EF5B9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2780</Words>
  <Characters>15429</Characters>
  <Application>Microsoft Office Word</Application>
  <DocSecurity>0</DocSecurity>
  <Lines>252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24</cp:revision>
  <cp:lastPrinted>2016-06-22T11:39:00Z</cp:lastPrinted>
  <dcterms:created xsi:type="dcterms:W3CDTF">2016-06-22T11:36:00Z</dcterms:created>
  <dcterms:modified xsi:type="dcterms:W3CDTF">2016-06-28T08:28:00Z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