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F3C48335D5A42EDA02FC76EA4D72BB9" style="width:450.35pt;height:378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303/2014, Art. 1 pt. 2 et Annexe (adapté)</w:t>
      </w:r>
    </w:p>
    <w:p>
      <w:pPr>
        <w:pStyle w:val="Annexetitreacte"/>
        <w:rPr>
          <w:noProof/>
        </w:rPr>
      </w:pPr>
      <w:r>
        <w:rPr>
          <w:noProof/>
        </w:rPr>
        <w:t>ANNEXE I</w:t>
      </w:r>
    </w:p>
    <w:p>
      <w:pPr>
        <w:rPr>
          <w:noProof/>
        </w:rPr>
      </w:pPr>
      <w:r>
        <w:rPr>
          <w:noProof/>
        </w:rPr>
        <w:t>Les produits auxquels les droits supplémentaires s’appliquent sont identifiés par leur code NC à huit chiffres. La description des produits classés sous ces codes figure à l’annexe I du règlement (CEE) n</w:t>
      </w:r>
      <w:r>
        <w:rPr>
          <w:noProof/>
          <w:vertAlign w:val="superscript"/>
        </w:rPr>
        <w:t>o</w:t>
      </w:r>
      <w:r>
        <w:rPr>
          <w:noProof/>
        </w:rPr>
        <w:t xml:space="preserve"> 2658/87 du Conseil</w:t>
      </w:r>
      <w:r>
        <w:rPr>
          <w:rStyle w:val="FootnoteReference"/>
          <w:noProof/>
        </w:rPr>
        <w:footnoteReference w:id="1"/>
      </w:r>
      <w:r>
        <w:rPr>
          <w:noProof/>
        </w:rPr>
        <w:t>, tel que modifié par le règlement (CE) n</w:t>
      </w:r>
      <w:r>
        <w:rPr>
          <w:noProof/>
          <w:vertAlign w:val="superscript"/>
        </w:rPr>
        <w:t>o</w:t>
      </w:r>
      <w:r>
        <w:rPr>
          <w:noProof/>
        </w:rPr>
        <w:t xml:space="preserve"> 1810/2004 de la Commission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0710 40 00</w:t>
      </w:r>
    </w:p>
    <w:p>
      <w:pPr>
        <w:rPr>
          <w:noProof/>
        </w:rPr>
      </w:pPr>
      <w:r>
        <w:rPr>
          <w:noProof/>
        </w:rPr>
        <w:t>9003 19 30</w:t>
      </w:r>
    </w:p>
    <w:p>
      <w:pPr>
        <w:rPr>
          <w:noProof/>
        </w:rPr>
      </w:pPr>
      <w:r>
        <w:rPr>
          <w:noProof/>
        </w:rPr>
        <w:t>8705 10 00</w:t>
      </w:r>
    </w:p>
    <w:p>
      <w:pPr>
        <w:rPr>
          <w:noProof/>
        </w:rPr>
      </w:pPr>
      <w:r>
        <w:rPr>
          <w:noProof/>
        </w:rPr>
        <w:t>6204 62 31</w:t>
      </w:r>
    </w:p>
    <w:p>
      <w:pPr>
        <w:jc w:val="center"/>
        <w:rPr>
          <w:noProof/>
        </w:rPr>
      </w:pPr>
      <w:r>
        <w:rPr>
          <w:noProof/>
        </w:rPr>
        <w:t>_______________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349/2013 Art. 2 et Annexe II</w:t>
      </w:r>
    </w:p>
    <w:p>
      <w:pPr>
        <w:pStyle w:val="Annexetitreacte"/>
        <w:rPr>
          <w:noProof/>
        </w:rPr>
      </w:pPr>
      <w:r>
        <w:rPr>
          <w:noProof/>
        </w:rPr>
        <w:t>ANNEXE II</w:t>
      </w:r>
    </w:p>
    <w:p>
      <w:pPr>
        <w:rPr>
          <w:noProof/>
        </w:rPr>
      </w:pPr>
      <w:r>
        <w:rPr>
          <w:noProof/>
        </w:rPr>
        <w:t>Les produits figurant dans la présente annexe sont identifiés par leur code NC à huit chiffres. La description des produits classés sous ces codes figure à l’annexe I du règlement (CEE) n</w:t>
      </w:r>
      <w:r>
        <w:rPr>
          <w:noProof/>
          <w:vertAlign w:val="superscript"/>
        </w:rPr>
        <w:t>o</w:t>
      </w:r>
      <w:r>
        <w:rPr>
          <w:noProof/>
        </w:rPr>
        <w:t> 2658/87.</w:t>
      </w:r>
    </w:p>
    <w:p>
      <w:pPr>
        <w:jc w:val="center"/>
        <w:rPr>
          <w:noProof/>
        </w:rPr>
      </w:pPr>
      <w:r>
        <w:rPr>
          <w:noProof/>
        </w:rPr>
        <w:t>_______________</w:t>
      </w:r>
    </w:p>
    <w:p>
      <w:pPr>
        <w:rPr>
          <w:noProof/>
          <w:lang w:val="fr-BE"/>
        </w:rPr>
      </w:pPr>
      <w:r>
        <w:rPr>
          <w:noProof/>
        </w:rPr>
        <w:br w:type="page"/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globale"/>
        <w:rPr>
          <w:noProof/>
        </w:rPr>
      </w:pPr>
      <w:r>
        <w:rPr>
          <w:noProof/>
        </w:rPr>
        <w:t>ANNEXE III</w:t>
      </w:r>
    </w:p>
    <w:p>
      <w:pPr>
        <w:jc w:val="center"/>
        <w:rPr>
          <w:b/>
          <w:noProof/>
          <w:szCs w:val="20"/>
          <w:lang w:val="fr-BE"/>
        </w:rPr>
      </w:pPr>
      <w:r>
        <w:rPr>
          <w:b/>
          <w:noProof/>
          <w:szCs w:val="20"/>
          <w:lang w:val="fr-BE"/>
        </w:rPr>
        <w:t>Règlement abrogé avec liste de ses modifications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480"/>
        <w:gridCol w:w="2520"/>
        <w:gridCol w:w="480"/>
      </w:tblGrid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Règlement (CE) n° 673/2005 du Conseil</w:t>
            </w:r>
            <w:r>
              <w:rPr>
                <w:noProof/>
                <w:szCs w:val="24"/>
                <w:lang w:val="fr-BE"/>
              </w:rPr>
              <w:br/>
              <w:t>(JO L 110 du 30.4.2005,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noProof/>
                <w:szCs w:val="24"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(CE) n° 632/2006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111 du 25.4.2006, p. 5)</w:t>
            </w:r>
          </w:p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(CE) n° 409/2007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100 du 17.4.2007, p. 16)</w:t>
            </w:r>
          </w:p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(CE) n° 283/2008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86 du 28.3.2008, p. 19)</w:t>
            </w:r>
          </w:p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(CE) n° 317/2009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100 du 18.4.2009, p. 6)</w:t>
            </w:r>
          </w:p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(UE) n° 305/2010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94 du 15.4.2010, p. 15)</w:t>
            </w:r>
          </w:p>
          <w:p>
            <w:pPr>
              <w:spacing w:before="240" w:after="60"/>
              <w:jc w:val="left"/>
              <w:rPr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d’exécution (UE) n° 311/2011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  <w:lang w:val="fr-BE"/>
              </w:rPr>
              <w:t>(JO L 86 du 1.4.2011, p. 51)</w:t>
            </w:r>
          </w:p>
          <w:p>
            <w:pPr>
              <w:spacing w:before="240" w:after="60"/>
              <w:jc w:val="left"/>
              <w:rPr>
                <w:noProof/>
                <w:szCs w:val="24"/>
              </w:rPr>
            </w:pPr>
            <w:r>
              <w:rPr>
                <w:bCs/>
                <w:noProof/>
                <w:szCs w:val="24"/>
                <w:lang w:val="fr-BE"/>
              </w:rPr>
              <w:t>Règlement d’exécution (UE) n° 349/2013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</w:rPr>
              <w:t>(JO L 108 du 18.4.2013, p. 6)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noProof/>
                <w:szCs w:val="24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bCs/>
                <w:noProof/>
                <w:szCs w:val="24"/>
                <w:lang w:val="fr-BE"/>
              </w:rPr>
              <w:t>Règlement (UE) n° 37/2014 du Parlement européen et</w:t>
            </w:r>
            <w:r>
              <w:rPr>
                <w:bCs/>
                <w:noProof/>
                <w:szCs w:val="24"/>
                <w:lang w:val="fr-BE"/>
              </w:rPr>
              <w:br/>
              <w:t>du Conseil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</w:rPr>
              <w:t>(JO L 18 du 21.1.2014, p. 1)</w:t>
            </w:r>
          </w:p>
        </w:tc>
        <w:tc>
          <w:tcPr>
            <w:tcW w:w="3000" w:type="dxa"/>
            <w:gridSpan w:val="2"/>
          </w:tcPr>
          <w:p>
            <w:pPr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Uniquement le point 11 de l’annexe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noProof/>
                <w:szCs w:val="24"/>
              </w:rPr>
            </w:pPr>
            <w:r>
              <w:rPr>
                <w:bCs/>
                <w:noProof/>
                <w:szCs w:val="24"/>
                <w:lang w:val="fr-BE"/>
              </w:rPr>
              <w:t>Règlement (UE) n° 38/2014 du Parlement européen et</w:t>
            </w:r>
            <w:r>
              <w:rPr>
                <w:bCs/>
                <w:noProof/>
                <w:szCs w:val="24"/>
                <w:lang w:val="fr-BE"/>
              </w:rPr>
              <w:br/>
              <w:t>du Conseil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</w:rPr>
              <w:t>(JO L 18 du 21.1.2014, p. 52)</w:t>
            </w:r>
          </w:p>
        </w:tc>
        <w:tc>
          <w:tcPr>
            <w:tcW w:w="3000" w:type="dxa"/>
            <w:gridSpan w:val="2"/>
          </w:tcPr>
          <w:p>
            <w:pPr>
              <w:rPr>
                <w:noProof/>
                <w:szCs w:val="24"/>
                <w:lang w:val="fr-BE"/>
              </w:rPr>
            </w:pPr>
            <w:r>
              <w:rPr>
                <w:noProof/>
                <w:szCs w:val="24"/>
                <w:lang w:val="fr-BE"/>
              </w:rPr>
              <w:t>Uniquement le point 4 de l’annexe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spacing w:before="240" w:after="60"/>
              <w:jc w:val="left"/>
              <w:rPr>
                <w:noProof/>
                <w:szCs w:val="24"/>
              </w:rPr>
            </w:pPr>
            <w:r>
              <w:rPr>
                <w:bCs/>
                <w:noProof/>
                <w:szCs w:val="24"/>
                <w:lang w:val="fr-BE"/>
              </w:rPr>
              <w:t>Règlement d’exécution (UE) n° 303/2014 de la Commission</w:t>
            </w:r>
            <w:r>
              <w:rPr>
                <w:bCs/>
                <w:noProof/>
                <w:szCs w:val="24"/>
                <w:lang w:val="fr-BE"/>
              </w:rPr>
              <w:br/>
            </w:r>
            <w:r>
              <w:rPr>
                <w:noProof/>
                <w:szCs w:val="24"/>
              </w:rPr>
              <w:t>(JO L 90 du 26.3.2014, p. 6)</w:t>
            </w:r>
          </w:p>
          <w:p>
            <w:pPr>
              <w:spacing w:before="240" w:after="60"/>
              <w:jc w:val="left"/>
              <w:rPr>
                <w:bCs/>
                <w:noProof/>
                <w:szCs w:val="24"/>
              </w:rPr>
            </w:pPr>
            <w:r>
              <w:rPr>
                <w:bCs/>
                <w:noProof/>
                <w:szCs w:val="24"/>
              </w:rPr>
              <w:t xml:space="preserve">Règlement délégué (UE) 2015/675 de la Commission </w:t>
            </w:r>
            <w:r>
              <w:rPr>
                <w:bCs/>
                <w:noProof/>
                <w:szCs w:val="24"/>
              </w:rPr>
              <w:br/>
              <w:t xml:space="preserve">(JO L 111 du 30.4.2015, p. 16) </w:t>
            </w:r>
          </w:p>
        </w:tc>
        <w:tc>
          <w:tcPr>
            <w:tcW w:w="3000" w:type="dxa"/>
            <w:gridSpan w:val="2"/>
          </w:tcPr>
          <w:p>
            <w:pPr>
              <w:rPr>
                <w:noProof/>
                <w:szCs w:val="24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spacing w:before="240" w:after="60"/>
              <w:jc w:val="left"/>
              <w:rPr>
                <w:bCs/>
                <w:noProof/>
                <w:szCs w:val="24"/>
                <w:lang w:val="fr-BE"/>
              </w:rPr>
            </w:pPr>
            <w:r>
              <w:rPr>
                <w:bCs/>
                <w:noProof/>
                <w:szCs w:val="24"/>
                <w:lang w:val="fr-BE"/>
              </w:rPr>
              <w:t>Règlement délégué (UE)2016 […] de la Commission</w:t>
            </w:r>
            <w:r>
              <w:rPr>
                <w:bCs/>
                <w:noProof/>
                <w:szCs w:val="24"/>
                <w:lang w:val="fr-BE"/>
              </w:rPr>
              <w:br/>
              <w:t>(JO L […] du […].4.2016, p. […].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noProof/>
                <w:szCs w:val="24"/>
                <w:lang w:val="fr-BE"/>
              </w:rPr>
            </w:pPr>
          </w:p>
        </w:tc>
      </w:tr>
    </w:tbl>
    <w:p>
      <w:pPr>
        <w:jc w:val="center"/>
        <w:rPr>
          <w:noProof/>
          <w:szCs w:val="24"/>
        </w:rPr>
      </w:pPr>
      <w:r>
        <w:rPr>
          <w:noProof/>
          <w:szCs w:val="24"/>
        </w:rPr>
        <w:lastRenderedPageBreak/>
        <w:t>_____________</w:t>
      </w:r>
    </w:p>
    <w:p>
      <w:pPr>
        <w:jc w:val="center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br w:type="page"/>
      </w:r>
      <w:r>
        <w:rPr>
          <w:b/>
          <w:noProof/>
          <w:szCs w:val="24"/>
          <w:u w:val="single"/>
        </w:rPr>
        <w:lastRenderedPageBreak/>
        <w:t>ANNEXE IV</w:t>
      </w:r>
    </w:p>
    <w:p>
      <w:pPr>
        <w:keepNext/>
        <w:spacing w:before="360"/>
        <w:jc w:val="center"/>
        <w:outlineLvl w:val="0"/>
        <w:rPr>
          <w:b/>
          <w:smallCaps/>
          <w:noProof/>
          <w:szCs w:val="24"/>
          <w:lang w:eastAsia="de-DE"/>
        </w:rPr>
      </w:pPr>
      <w:r>
        <w:rPr>
          <w:b/>
          <w:smallCaps/>
          <w:noProof/>
          <w:szCs w:val="24"/>
          <w:lang w:eastAsia="de-DE"/>
        </w:rPr>
        <w:t>Tableau de correspondance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  <w:lang w:val="en-US"/>
              </w:rPr>
              <w:t>Règlement (CE) n° 673/2005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Le présent règlement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Articles 1 à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Articles 1 à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4</w:t>
            </w:r>
            <w:r>
              <w:rPr>
                <w:i/>
                <w:noProof/>
                <w:szCs w:val="24"/>
              </w:rPr>
              <w:t>bis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6, paragraphe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7, paragraphe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6, paragraphe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6, paragraphe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7, paragraphe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6, paragraphe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7, paragraphe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Annexe 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Annexe 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Annex IV</w:t>
            </w:r>
          </w:p>
        </w:tc>
      </w:tr>
    </w:tbl>
    <w:p>
      <w:pPr>
        <w:jc w:val="center"/>
        <w:rPr>
          <w:noProof/>
          <w:szCs w:val="24"/>
        </w:rPr>
      </w:pPr>
      <w:r>
        <w:rPr>
          <w:noProof/>
          <w:szCs w:val="24"/>
        </w:rPr>
        <w:t>_____________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</w:r>
      <w:r>
        <w:rPr>
          <w:lang w:val="fr-BE" w:eastAsia="fr-BE"/>
        </w:rPr>
        <w:t>Règlement (CEE) n° 2658/87 du Conseil du 23 juillet 1987 relatif à la nomenclature tarifaire et statistique et au tarif douanier commun</w:t>
      </w:r>
      <w:r>
        <w:rPr>
          <w:lang w:val="fr-BE"/>
        </w:rPr>
        <w:t xml:space="preserve"> (</w:t>
      </w:r>
      <w:r>
        <w:t>JO L 256 du 7.9.1987, p. 1).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fr-BE"/>
        </w:rPr>
        <w:tab/>
      </w:r>
      <w:r>
        <w:rPr>
          <w:bCs/>
          <w:lang w:val="fr-BE" w:eastAsia="fr-BE"/>
        </w:rPr>
        <w:t>Règlement (CE) n° 1810/2004 de la Commission du 7 septembre 2004 modifiant l’annexe I du règlement (CEE) n° 2658/87 du Conseil relatif à la nomenclature tarifaire et statistique et au tarif douanier commun</w:t>
      </w:r>
      <w:r>
        <w:rPr>
          <w:lang w:val="fr-BE"/>
        </w:rPr>
        <w:t xml:space="preserve"> (</w:t>
      </w:r>
      <w:r>
        <w:t>JO L 327 du 30.10.2004,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87647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B8C3D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85EF4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89828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0BE39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734A2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9CE98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2EC00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Last" w:val="-1"/>
    <w:docVar w:name="CR_TimeStamp" w:val="11:09:56"/>
    <w:docVar w:name="DQCDateTime" w:val="2016-04-13 11:09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.CP" w:val="&lt;UNUSED&gt;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DF3C48335D5A42EDA02FC76EA4D72BB9"/>
    <w:docVar w:name="LW_CROSSREFERENCE" w:val="&lt;UNUSED&gt;"/>
    <w:docVar w:name="LW_DocType" w:val="ANNEX"/>
    <w:docVar w:name="LW_EMISSION" w:val="23.6.2016"/>
    <w:docVar w:name="LW_EMISSION_ISODATE" w:val="2016-06-2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08"/>
    <w:docVar w:name="LW_REF.INTERNE" w:val="&lt;UNUSED&gt;"/>
    <w:docVar w:name="LW_SUPERTITRE" w:val="&lt;UNUSED&gt;"/>
    <w:docVar w:name="LW_TITRE.OBJ.CP" w:val="à la proposition modifiée de_x000b__x000b_RÈGLEMENT DU PARLEMENT EUROPÉEN ET DU CONSEIL_x000b__x000b_relatif à des droits de douane supplémentaires sur les importations de certains produits originaires des États-Unis d\u8217?Amérique (Texte codifié)"/>
    <w:docVar w:name="LW_TYPE.DOC.CP" w:val="ANNEXES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6</Pages>
  <Words>422</Words>
  <Characters>1937</Characters>
  <Application>Microsoft Office Word</Application>
  <DocSecurity>0</DocSecurity>
  <Lines>107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MEERT Viviane (SJ)</dc:creator>
  <cp:lastModifiedBy>DIGIT/A3</cp:lastModifiedBy>
  <cp:revision>9</cp:revision>
  <cp:lastPrinted>2016-04-19T09:47:00Z</cp:lastPrinted>
  <dcterms:created xsi:type="dcterms:W3CDTF">2016-04-13T09:09:00Z</dcterms:created>
  <dcterms:modified xsi:type="dcterms:W3CDTF">2016-06-16T12:35:00Z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Yellow (DQC version 03)</vt:lpwstr>
  </property>
</Properties>
</file>