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A2E0B2D48840E2902C9F73473D442D"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pPr>
        <w:rPr>
          <w:iCs/>
          <w:noProof/>
          <w:szCs w:val="24"/>
        </w:rPr>
      </w:pPr>
      <w:r>
        <w:rPr>
          <w:noProof/>
        </w:rPr>
        <w:t>Проектът на решение на Съвместния комитет на ЕИП (приложен към предложението за Решение на Съвета) има за цел да измени приложение XIX (Защита на потребителите) към Споразумението за ЕИП, за да се даде възможност на членуващите в ЕИП държави от ЕАСТ (Норвегия, Исландия и Лихтенщайн) да участват в европейската система за онлайн решаване на спорове.</w:t>
      </w:r>
    </w:p>
    <w:p>
      <w:pPr>
        <w:rPr>
          <w:noProof/>
        </w:rPr>
      </w:pPr>
      <w:r>
        <w:rPr>
          <w:noProof/>
        </w:rPr>
        <w:t>Това ще бъде постигнато чрез включването на Регламент (ЕС) № 524/2013 относно онлайн решаване на потребителски спорове</w:t>
      </w:r>
      <w:r>
        <w:rPr>
          <w:rStyle w:val="FootnoteReference"/>
          <w:noProof/>
        </w:rPr>
        <w:footnoteReference w:id="1"/>
      </w:r>
      <w:r>
        <w:rPr>
          <w:noProof/>
        </w:rPr>
        <w:t xml:space="preserve"> (наричан по-нататък „Регламент за ОРС“), Регламент за изпълнение (ЕС) 2015/1051 на Комисията</w:t>
      </w:r>
      <w:r>
        <w:rPr>
          <w:rStyle w:val="FootnoteReference"/>
          <w:noProof/>
        </w:rPr>
        <w:footnoteReference w:id="2"/>
      </w:r>
      <w:r>
        <w:rPr>
          <w:noProof/>
        </w:rPr>
        <w:t xml:space="preserve"> и Директива 2013/11/ЕС за алтернативно решаване на потребителски спорове</w:t>
      </w:r>
      <w:r>
        <w:rPr>
          <w:rStyle w:val="FootnoteReference"/>
          <w:noProof/>
        </w:rPr>
        <w:footnoteReference w:id="3"/>
      </w:r>
      <w:r>
        <w:rPr>
          <w:noProof/>
        </w:rPr>
        <w:t xml:space="preserve"> (наричана по-нататък „Директивата за АРС“) в Споразумението за ЕИП.</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 xml:space="preserve">Приложеният проект на Решение на Съвместния комитет разширява вече съществуващата политика на ЕС, за да включи в нея членуващите в ЕИП държави от ЕАСТ.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 xml:space="preserve">Разширяването на обхвата на достиженията на правото на ЕС в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чиято цел е създаването на динамично и хомогенно Европейско икономическо пространство, основано на общи правила и еднакви условия на конкуренция. </w:t>
      </w:r>
    </w:p>
    <w:p>
      <w:pPr>
        <w:rPr>
          <w:noProof/>
        </w:rPr>
      </w:pPr>
      <w:r>
        <w:rPr>
          <w:noProof/>
        </w:rPr>
        <w:t>Тези усилия обхващат всички политики в областта на свободното движение на стоки, хора, услуги и капитали, както и съпътстващите и хоризонталните политики, посочени в Споразумението за ЕИП.</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Законодателството, което трябва да бъде включено в Споразумението за ЕИП, се основава на член 114 от Договора за функционирането на Европейския съюз.</w:t>
      </w:r>
    </w:p>
    <w:p>
      <w:pPr>
        <w:rPr>
          <w:noProof/>
        </w:rPr>
      </w:pPr>
      <w:r>
        <w:rPr>
          <w:noProof/>
        </w:rPr>
        <w:lastRenderedPageBreak/>
        <w:t>Съгласно член 1, параграф 3 от Регламент (ЕО) № 2894/94 на Съвета</w:t>
      </w:r>
      <w:r>
        <w:rPr>
          <w:rStyle w:val="FootnoteReference"/>
          <w:noProof/>
        </w:rPr>
        <w:footnoteReference w:id="4"/>
      </w:r>
      <w:r>
        <w:rPr>
          <w:noProof/>
        </w:rPr>
        <w:t xml:space="preserve"> относно условията за прилагане на Споразумението за Европейското икономическо пространство Съветът определя позицията, която да бъде заета от името на Съюза по отношение на подобни решения, въз основа на предложение на Комисията. </w:t>
      </w:r>
    </w:p>
    <w:p>
      <w:pPr>
        <w:rPr>
          <w:noProof/>
        </w:rPr>
      </w:pPr>
      <w:r>
        <w:rPr>
          <w:noProof/>
        </w:rPr>
        <w:t>В сътрудничество с ЕСВД Комисията представя проекта на Решение на Съвместния комитет на ЕИП пред Съвета, който следва да го приеме като позиция на Съюза. Комисията се надява да има възможност да представи позицията на Съюза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cs="EUAlbertina"/>
          <w:noProof/>
          <w:color w:val="000000"/>
        </w:rPr>
      </w:pPr>
      <w:r>
        <w:rPr>
          <w:noProof/>
        </w:rPr>
        <w:t xml:space="preserve">Предложението е в съответствие с принципа на субсидиарност по следните причини: </w:t>
      </w:r>
      <w:r>
        <w:rPr>
          <w:noProof/>
          <w:color w:val="000000"/>
        </w:rPr>
        <w:t xml:space="preserve"> </w:t>
      </w:r>
    </w:p>
    <w:p>
      <w:pPr>
        <w:rPr>
          <w:rFonts w:cs="EUAlbertina"/>
          <w:noProof/>
          <w:color w:val="000000"/>
          <w:szCs w:val="24"/>
        </w:rPr>
      </w:pPr>
      <w:r>
        <w:rPr>
          <w:noProof/>
          <w:color w:val="000000"/>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вследствие на което може, поради действието, да бъде постигната по-добре на равнището на Съюза. </w:t>
      </w:r>
    </w:p>
    <w:p>
      <w:pPr>
        <w:pBdr>
          <w:top w:val="nil"/>
          <w:left w:val="nil"/>
          <w:bottom w:val="nil"/>
          <w:right w:val="nil"/>
          <w:between w:val="nil"/>
          <w:bar w:val="nil"/>
        </w:pBdr>
        <w:spacing w:before="0" w:after="240"/>
        <w:rPr>
          <w:bCs/>
          <w:noProof/>
          <w:szCs w:val="24"/>
        </w:rPr>
      </w:pPr>
      <w:r>
        <w:rPr>
          <w:noProof/>
        </w:rPr>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cs="EUAlbertina"/>
          <w:noProof/>
          <w:color w:val="000000"/>
          <w:szCs w:val="24"/>
        </w:rPr>
      </w:pPr>
      <w:r>
        <w:rPr>
          <w:noProof/>
          <w:color w:val="000000"/>
        </w:rPr>
        <w:t>В съответствие с принципа на пропорционалност предложението не надхвърля необходимото за постигането на целта му — да се гарантира хомогенността на вътрешния пазар.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bCs/>
          <w:noProof/>
          <w:szCs w:val="24"/>
        </w:rPr>
      </w:pPr>
      <w:r>
        <w:rPr>
          <w:noProof/>
        </w:rPr>
        <w:t xml:space="preserve">В съответствие с член 98 от Споразумението за ЕИП избраният инструмент е решение на Съвместния комитет на ЕИП. Съвместния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autoSpaceDE w:val="0"/>
        <w:autoSpaceDN w:val="0"/>
        <w:adjustRightInd w:val="0"/>
        <w:spacing w:before="0" w:after="0"/>
        <w:rPr>
          <w:rFonts w:eastAsia="Arial Unicode MS"/>
          <w:noProof/>
        </w:rPr>
      </w:pPr>
      <w:r>
        <w:rPr>
          <w:noProof/>
        </w:rPr>
        <w:t>В рамките на подготовката на въпросното законодателство Комисията проведе няколко проучвания относно алтернативното решаване на потребителски спорове и разгледа въпроси, свързани със инструментите за онлайн решаване на спорове.</w:t>
      </w:r>
    </w:p>
    <w:p>
      <w:pPr>
        <w:pStyle w:val="ManualHeading2"/>
        <w:rPr>
          <w:rFonts w:eastAsia="Arial Unicode MS"/>
          <w:noProof/>
          <w:u w:color="000000"/>
          <w:bdr w:val="nil"/>
        </w:rPr>
      </w:pPr>
      <w:r>
        <w:rPr>
          <w:noProof/>
        </w:rPr>
        <w:t>•</w:t>
      </w:r>
      <w:r>
        <w:rPr>
          <w:noProof/>
        </w:rPr>
        <w:tab/>
        <w:t>Оценка на въздействието</w:t>
      </w:r>
    </w:p>
    <w:p>
      <w:pPr>
        <w:autoSpaceDE w:val="0"/>
        <w:autoSpaceDN w:val="0"/>
        <w:adjustRightInd w:val="0"/>
        <w:spacing w:before="0" w:after="0"/>
        <w:rPr>
          <w:noProof/>
          <w:szCs w:val="24"/>
        </w:rPr>
      </w:pPr>
      <w:r>
        <w:rPr>
          <w:noProof/>
        </w:rPr>
        <w:t xml:space="preserve">В рамките на подготовката на въпросното законодателство Комисията извърши подробна оценка на въздействието, като анализира редица възможности за варианти на политиката както за </w:t>
      </w:r>
      <w:r>
        <w:rPr>
          <w:i/>
          <w:noProof/>
        </w:rPr>
        <w:t>„обхвата, информацията и качеството на алтернативното решаване на спорове“</w:t>
      </w:r>
      <w:r>
        <w:rPr>
          <w:noProof/>
        </w:rPr>
        <w:t xml:space="preserve">, така и за </w:t>
      </w:r>
      <w:r>
        <w:rPr>
          <w:i/>
          <w:noProof/>
        </w:rPr>
        <w:t>„онлайн решаването на спорове при трансгранични сделки в областта на електронната търговия“</w:t>
      </w:r>
      <w:r>
        <w:rPr>
          <w:noProof/>
        </w:rPr>
        <w:t>.</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Приложеното Решение на Съвместния комитет на ЕИП има за цел да разшири обхвата на понастоящем действащата система, за да бъдат включени в него членуващите в ЕИП държави от ЕАСТ.</w:t>
      </w:r>
    </w:p>
    <w:p>
      <w:pPr>
        <w:autoSpaceDE w:val="0"/>
        <w:autoSpaceDN w:val="0"/>
        <w:adjustRightInd w:val="0"/>
        <w:spacing w:before="0" w:after="0"/>
        <w:jc w:val="left"/>
        <w:rPr>
          <w:noProof/>
          <w:szCs w:val="24"/>
        </w:rPr>
      </w:pPr>
    </w:p>
    <w:p>
      <w:pPr>
        <w:pStyle w:val="ManualHeading2"/>
        <w:rPr>
          <w:noProof/>
        </w:rPr>
      </w:pPr>
      <w:r>
        <w:rPr>
          <w:noProof/>
        </w:rPr>
        <w:t>4.</w:t>
      </w:r>
      <w:r>
        <w:rPr>
          <w:noProof/>
        </w:rPr>
        <w:tab/>
        <w:t>ОТРАЖЕНИЕ ВЪРХУ БЮДЖЕТА</w:t>
      </w:r>
    </w:p>
    <w:p>
      <w:pPr>
        <w:autoSpaceDE w:val="0"/>
        <w:autoSpaceDN w:val="0"/>
        <w:adjustRightInd w:val="0"/>
        <w:spacing w:before="0" w:after="0"/>
        <w:rPr>
          <w:noProof/>
          <w:szCs w:val="24"/>
        </w:rPr>
      </w:pPr>
      <w:r>
        <w:rPr>
          <w:noProof/>
        </w:rPr>
        <w:t>Включването на това законодателство в Споразумението за ЕИП има незначително отражение върху бюджета. Тези разходи обаче вече са покрити от бюджетните кредити, вече предвидени във финансовото програмиране на програмата „Потребители“ (бюджетен ред 33.04.01), в която участват Исландия и Норвегия. Не са предвидени допълнителни бюджетни кредити.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r>
      <w:r>
        <w:rPr>
          <w:noProof/>
          <w:spacing w:val="-4"/>
        </w:rPr>
        <w:t>Планове за изпълнение и условия и ред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В предложението се предвижда Комисията и Исландия да полагат усилия за подобряване на функциите за превод, предоставени от платформата за онлайн решаване на спорове (наричана по-нататък „платформата за ОРС“), по отношение на исландски език, за да се гарантира качество на всички функции, съпоставимо с качеството, което се предлага за другите езици, и редовно да информират Съвместния комитет на ЕИП за постигнатия напредък. </w:t>
      </w:r>
    </w:p>
    <w:p>
      <w:pPr>
        <w:pStyle w:val="ManualHeading2"/>
        <w:rPr>
          <w:rFonts w:eastAsia="Arial Unicode MS"/>
          <w:noProof/>
          <w:u w:color="000000"/>
          <w:bdr w:val="nil"/>
        </w:rPr>
      </w:pPr>
      <w:r>
        <w:rPr>
          <w:noProof/>
        </w:rPr>
        <w:t>•</w:t>
      </w:r>
      <w:r>
        <w:rPr>
          <w:noProof/>
        </w:rPr>
        <w:tab/>
        <w:t>Подробно разяснение на специфичните разпоредби на предложението</w:t>
      </w:r>
    </w:p>
    <w:p>
      <w:pPr>
        <w:pBdr>
          <w:top w:val="nil"/>
          <w:left w:val="nil"/>
          <w:bottom w:val="nil"/>
          <w:right w:val="nil"/>
          <w:between w:val="nil"/>
          <w:bar w:val="nil"/>
        </w:pBdr>
        <w:spacing w:before="0" w:after="240"/>
        <w:rPr>
          <w:noProof/>
        </w:rPr>
      </w:pPr>
      <w:r>
        <w:rPr>
          <w:noProof/>
        </w:rPr>
        <w:t xml:space="preserve">Платформата за ОРС следва да бъде достъпна на всички езици, посочени в член 129, параграф 1 от Споразумението за ЕИП, който включва норвежки и исландски език. </w:t>
      </w:r>
    </w:p>
    <w:p>
      <w:pPr>
        <w:pBdr>
          <w:top w:val="nil"/>
          <w:left w:val="nil"/>
          <w:bottom w:val="nil"/>
          <w:right w:val="nil"/>
          <w:between w:val="nil"/>
          <w:bar w:val="nil"/>
        </w:pBdr>
        <w:spacing w:before="0" w:after="240"/>
        <w:rPr>
          <w:noProof/>
        </w:rPr>
      </w:pPr>
      <w:r>
        <w:rPr>
          <w:noProof/>
        </w:rPr>
        <w:t xml:space="preserve">Чрез дерогация от член 5, параграф 4, буква д) от Регламента за ОРС функциите на платформата за ОРС за превод на и от исландски език първоначално следва да се предоставят само във връзка с резултата от процедура за алтернативно решаване на спорове (АРС), изпратен от структура за АРС. </w:t>
      </w:r>
    </w:p>
    <w:p>
      <w:pPr>
        <w:pBdr>
          <w:top w:val="nil"/>
          <w:left w:val="nil"/>
          <w:bottom w:val="nil"/>
          <w:right w:val="nil"/>
          <w:between w:val="nil"/>
          <w:bar w:val="nil"/>
        </w:pBdr>
        <w:spacing w:before="0" w:after="240"/>
        <w:rPr>
          <w:noProof/>
        </w:rPr>
      </w:pPr>
      <w:r>
        <w:rPr>
          <w:noProof/>
        </w:rPr>
        <w:t xml:space="preserve">Необходимо е да бъдат въведени специфични преходни условия за другите обмени, осъществявани на платформата за ОРС, докато качеството на преводите на инструмента за автоматичен превод, използван от платформата за ОРС, стане съпоставимо с това на другите езици.  </w:t>
      </w:r>
    </w:p>
    <w:p>
      <w:pPr>
        <w:pBdr>
          <w:top w:val="nil"/>
          <w:left w:val="nil"/>
          <w:bottom w:val="nil"/>
          <w:right w:val="nil"/>
          <w:between w:val="nil"/>
          <w:bar w:val="nil"/>
        </w:pBdr>
        <w:spacing w:before="0" w:after="240"/>
        <w:rPr>
          <w:noProof/>
          <w:spacing w:val="-4"/>
        </w:rPr>
      </w:pPr>
      <w:r>
        <w:rPr>
          <w:noProof/>
          <w:spacing w:val="-4"/>
        </w:rPr>
        <w:t>Исландия трябва да гарантира, че ползвателите на платформата за ОРС могат да получат превода на всяка друга информация на и от исландски език чрез нейното звено за контакт за ОРС, когато тази информация е необходима за решаването на спора и се обменя посредством платформата за ОРС на друг език. Информация за тези условия по отношение на исландски език се предоставя на интернет страницата на платформата за ОРС.</w:t>
      </w:r>
    </w:p>
    <w:p>
      <w:pPr>
        <w:pBdr>
          <w:top w:val="nil"/>
          <w:left w:val="nil"/>
          <w:bottom w:val="nil"/>
          <w:right w:val="nil"/>
          <w:between w:val="nil"/>
          <w:bar w:val="nil"/>
        </w:pBdr>
        <w:spacing w:before="0" w:after="240"/>
        <w:rPr>
          <w:noProof/>
          <w:spacing w:val="-4"/>
        </w:rPr>
      </w:pPr>
      <w:r>
        <w:rPr>
          <w:noProof/>
          <w:spacing w:val="-4"/>
        </w:rPr>
        <w:t xml:space="preserve">Комисията и Исландия следва да полагат усилия за подобряване на функциите за превод, предоставени от платформата за ОРС, по отношение на исландски език, за да се гарантира качество на всички функции, съпоставимо с качеството, което се предлага за другите езици, и следва редовно да информират Съвместния комитет на ЕИП за постигнатия напредък. Когато функциите за превод осигурят качество по отношение на исландски език, съпоставимо с качеството, което се предлага за другите езици, Съвместният комитет на </w:t>
      </w:r>
      <w:r>
        <w:rPr>
          <w:noProof/>
          <w:spacing w:val="-4"/>
        </w:rPr>
        <w:lastRenderedPageBreak/>
        <w:t xml:space="preserve">ЕИП следва без неоснователно забавяне да вземе решение за прекратяване на преходните условия, предвидени в приложеното Решение на Съвместния комитет на ЕИП.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2016/0189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w:t>
      </w:r>
      <w:r>
        <w:rPr>
          <w:noProof/>
        </w:rPr>
        <w:br/>
        <w:t xml:space="preserve">в рамките на Съвместния комитет на ЕИП във връзка с изменение на приложение XIX </w:t>
      </w:r>
      <w:r>
        <w:rPr>
          <w:noProof/>
        </w:rPr>
        <w:br/>
        <w:t>(Защита на потребителите) към Споразумението за ЕИП</w:t>
      </w:r>
      <w:r>
        <w:rPr>
          <w:noProof/>
        </w:rPr>
        <w:br/>
        <w:t>(Система за алтернативно решаване на спорове)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w:t>
      </w:r>
      <w:r>
        <w:rPr>
          <w:rStyle w:val="FootnoteReference"/>
          <w:noProof/>
        </w:rPr>
        <w:footnoteReference w:id="5"/>
      </w:r>
      <w:r>
        <w:rPr>
          <w:noProof/>
        </w:rPr>
        <w:t xml:space="preserve"> относно условията за прилагане на Споразумението за Европейското икономическо пространство,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 (Споразумението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приложение XIX (Защита на потребителите) към Споразумението за ЕИП.</w:t>
      </w:r>
    </w:p>
    <w:p>
      <w:pPr>
        <w:pStyle w:val="ManualConsidrant"/>
        <w:rPr>
          <w:noProof/>
        </w:rPr>
      </w:pPr>
      <w:r>
        <w:t>(3)</w:t>
      </w:r>
      <w:r>
        <w:tab/>
      </w:r>
      <w:r>
        <w:rPr>
          <w:noProof/>
        </w:rPr>
        <w:t>Регламент (ЕС) № 524/2013 на Европейския парламент и на Съвета</w:t>
      </w:r>
      <w:r>
        <w:rPr>
          <w:rStyle w:val="FootnoteReference"/>
          <w:noProof/>
        </w:rPr>
        <w:footnoteReference w:id="6"/>
      </w:r>
      <w:r>
        <w:rPr>
          <w:noProof/>
        </w:rPr>
        <w:t xml:space="preserve"> следва да бъде включен в Споразумението за ЕИП.</w:t>
      </w:r>
    </w:p>
    <w:p>
      <w:pPr>
        <w:pStyle w:val="ManualConsidrant"/>
        <w:rPr>
          <w:noProof/>
        </w:rPr>
      </w:pPr>
      <w:r>
        <w:t>(4)</w:t>
      </w:r>
      <w:r>
        <w:tab/>
      </w:r>
      <w:r>
        <w:rPr>
          <w:noProof/>
        </w:rPr>
        <w:t>Регламент за изпълнение (ЕС) 2015/1051 на Комисията</w:t>
      </w:r>
      <w:r>
        <w:rPr>
          <w:rStyle w:val="FootnoteReference"/>
          <w:noProof/>
        </w:rPr>
        <w:footnoteReference w:id="7"/>
      </w:r>
      <w:r>
        <w:rPr>
          <w:noProof/>
        </w:rPr>
        <w:t xml:space="preserve"> следва да бъде включен в Споразумението за ЕИП.</w:t>
      </w:r>
    </w:p>
    <w:p>
      <w:pPr>
        <w:pStyle w:val="ManualConsidrant"/>
        <w:rPr>
          <w:noProof/>
        </w:rPr>
      </w:pPr>
      <w:r>
        <w:t>(5)</w:t>
      </w:r>
      <w:r>
        <w:tab/>
      </w:r>
      <w:r>
        <w:rPr>
          <w:noProof/>
        </w:rPr>
        <w:t>Директива 2013/11/ЕС на Европейския парламент и на Съвета</w:t>
      </w:r>
      <w:r>
        <w:rPr>
          <w:rStyle w:val="FootnoteReference"/>
          <w:noProof/>
        </w:rPr>
        <w:footnoteReference w:id="8"/>
      </w:r>
      <w:r>
        <w:rPr>
          <w:noProof/>
        </w:rPr>
        <w:t xml:space="preserve"> следва да бъде включена в Споразумението за ЕИП.</w:t>
      </w:r>
    </w:p>
    <w:p>
      <w:pPr>
        <w:pStyle w:val="ManualConsidrant"/>
        <w:rPr>
          <w:noProof/>
        </w:rPr>
      </w:pPr>
      <w:r>
        <w:lastRenderedPageBreak/>
        <w:t>(6)</w:t>
      </w:r>
      <w:r>
        <w:tab/>
      </w:r>
      <w:r>
        <w:rPr>
          <w:noProof/>
        </w:rPr>
        <w:t xml:space="preserve">Поради това приложение XIX (Защита на потребителите) към Споразумението за ЕИП следва да бъде съответно изменено. </w:t>
      </w:r>
    </w:p>
    <w:p>
      <w:pPr>
        <w:pStyle w:val="ManualConsidrant"/>
        <w:rPr>
          <w:noProof/>
        </w:rPr>
      </w:pPr>
      <w:r>
        <w:t>(7)</w:t>
      </w:r>
      <w:r>
        <w:tab/>
      </w:r>
      <w:r>
        <w:rPr>
          <w:noProof/>
        </w:rPr>
        <w:t>Следователно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бъде заета от името на Съюза в рамките на Съвместния комитет на ЕИП във връзка с предложеното изменение на приложение XIX (Защита на потребителите) към Споразумението за ЕИП,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(ОВ L 165, 18.6.2013 г., стр. 1).</w:t>
      </w:r>
    </w:p>
  </w:footnote>
  <w:footnote w:id="2">
    <w:p>
      <w:pPr>
        <w:pStyle w:val="FootnoteText"/>
      </w:pPr>
      <w:r>
        <w:rPr>
          <w:rStyle w:val="FootnoteReference"/>
        </w:rPr>
        <w:footnoteRef/>
      </w:r>
      <w:r>
        <w:tab/>
        <w:t>Регламент за изпълнение (ЕС) 2015/1051 на Комисията от 1 юли 2015 г. относно условията за изпълняване на функциите на платформата за онлайн решаване на спорове, условията във връзка с електронния формуляр за жалби и условията за сътрудничество между звената за контакт, предвидени в Регламент (ЕС) № 524/2013 на Европейския парламент и на Съвета относно онлайн решаване на потребителски спорове (ОВ L 171, 2.7.2015 г., стр. 1).</w:t>
      </w:r>
    </w:p>
  </w:footnote>
  <w:footnote w:id="3">
    <w:p>
      <w:pPr>
        <w:pStyle w:val="FootnoteText"/>
      </w:pPr>
      <w:r>
        <w:rPr>
          <w:rStyle w:val="FootnoteReference"/>
        </w:rPr>
        <w:footnoteRef/>
      </w:r>
      <w:r>
        <w:tab/>
        <w:t>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(ОВ L 165, 18.6.2013 г., стр. 63).</w:t>
      </w:r>
    </w:p>
  </w:footnote>
  <w:footnote w:id="4">
    <w:p>
      <w:pPr>
        <w:pStyle w:val="FootnoteText"/>
      </w:pPr>
      <w:r>
        <w:rPr>
          <w:rStyle w:val="FootnoteReference"/>
        </w:rPr>
        <w:footnoteRef/>
      </w:r>
      <w:r>
        <w:tab/>
        <w:t>ОВ L 305, 30.11.1994 г., стр. 6—8.</w:t>
      </w:r>
    </w:p>
  </w:footnote>
  <w:footnote w:id="5">
    <w:p>
      <w:pPr>
        <w:pStyle w:val="FootnoteText"/>
      </w:pPr>
      <w:r>
        <w:rPr>
          <w:rStyle w:val="FootnoteReference"/>
        </w:rPr>
        <w:footnoteRef/>
      </w:r>
      <w:r>
        <w:tab/>
        <w:t>ОВ L 305, 30.11.1994 г., стр. 6—8.</w:t>
      </w:r>
    </w:p>
  </w:footnote>
  <w:footnote w:id="6">
    <w:p>
      <w:pPr>
        <w:pStyle w:val="FootnoteText"/>
      </w:pPr>
      <w:r>
        <w:rPr>
          <w:rStyle w:val="FootnoteReference"/>
        </w:rPr>
        <w:footnoteRef/>
      </w:r>
      <w:r>
        <w:tab/>
        <w:t>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(ОВ L 165, 18.6.2013 г., стр. 1).</w:t>
      </w:r>
    </w:p>
  </w:footnote>
  <w:footnote w:id="7">
    <w:p>
      <w:pPr>
        <w:pStyle w:val="FootnoteText"/>
      </w:pPr>
      <w:r>
        <w:rPr>
          <w:rStyle w:val="FootnoteReference"/>
        </w:rPr>
        <w:footnoteRef/>
      </w:r>
      <w:r>
        <w:tab/>
        <w:t>Регламент за изпълнение (ЕС) 2015/1051 на Комисията от 1 юли 2015 г. относно условията за изпълняване на функциите на платформата за онлайн решаване на спорове, условията във връзка с електронния формуляр за жалби и условията за сътрудничество между звената за контакт, предвидени в Регламент (ЕС) № 524/2013 на Европейския парламент и на Съвета относно онлайн решаване на потребителски спорове (ОВ L 171, 2.7.2015 г., стр. 1).</w:t>
      </w:r>
    </w:p>
  </w:footnote>
  <w:footnote w:id="8">
    <w:p>
      <w:pPr>
        <w:pStyle w:val="FootnoteText"/>
      </w:pPr>
      <w:r>
        <w:rPr>
          <w:rStyle w:val="FootnoteReference"/>
        </w:rPr>
        <w:footnoteRef/>
      </w:r>
      <w:r>
        <w:tab/>
        <w:t>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(ОВ L 165, 18.6.2013 г., стр. 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467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4EE0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A872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F05B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025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E31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DE7D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62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6-21 08:19: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DA2E0B2D48840E2902C9F73473D442D"/>
    <w:docVar w:name="LW_CROSSREFERENCE" w:val="&lt;UNUSED&gt;"/>
    <w:docVar w:name="LW_DocType" w:val="COM"/>
    <w:docVar w:name="LW_EMISSION" w:val="22.6.2016"/>
    <w:docVar w:name="LW_EMISSION_ISODATE" w:val="2016-06-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9"/>
    <w:docVar w:name="LW_REF.II.NEW.CP_YEAR" w:val="2016"/>
    <w:docVar w:name="LW_REF.INST.NEW" w:val="COM"/>
    <w:docVar w:name="LW_REF.INST.NEW_ADOPTED" w:val="final"/>
    <w:docVar w:name="LW_REF.INST.NEW_TEXT" w:val="(2016) 407"/>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XIX _x000b_(\u1047?\u1072?\u1097?\u1080?\u1090?\u1072? \u1085?\u1072? \u1087?\u1086?\u1090?\u1088?\u1077?\u1073?\u1080?\u1090?\u1077?\u1083?\u1080?\u1090?\u1077?) \u1082?\u1098?\u1084? \u1057?\u1087?\u1086?\u1088?\u1072?\u1079?\u1091?\u1084?\u1077?\u1085?\u1080?\u1077?\u1090?\u1086? \u1079?\u1072? \u1045?\u1048?\u1055?_x000b_(\u1057?\u1080?\u1089?\u1090?\u1077?\u1084?\u1072? \u1079?\u1072? \u1072?\u1083?\u1090?\u1077?\u1088?\u1085?\u1072?\u1090?\u1080?\u1074?\u1085?\u1086? \u1088?\u1077?\u1096?\u1072?\u1074?\u1072?\u1085?\u1077? \u1085?\u1072? \u1089?\u1087?\u1086?\u1088?\u1086?\u1074?\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uiPriority w:val="22"/>
    <w:qFormat/>
    <w:rPr>
      <w:b/>
      <w:bC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8956-81D2-4A31-B870-572F8C59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1382</Words>
  <Characters>7991</Characters>
  <Application>Microsoft Office Word</Application>
  <DocSecurity>0</DocSecurity>
  <Lines>159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2016-06-20T13:05:00Z</dcterms:created>
  <dcterms:modified xsi:type="dcterms:W3CDTF">2016-06-21T06:19:00Z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