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11955D6C6B24F8396E10C5F5B100069" style="width:450.75pt;height:4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2013/0279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за приемането на предложение за Регламент на Европейския парламент и на Съвета за изменение на Регламент (ЕО) № 471/2009 относно статистиката на Общността за външната търговия с трети страни по отношение на предоставянето на Комисията на делегирани и изпълнителни правомощия за приемането на определени мерки</w:t>
      </w:r>
    </w:p>
    <w:p>
      <w:pPr>
        <w:pStyle w:val="IntrtEEE"/>
        <w:rPr>
          <w:noProof/>
        </w:rPr>
      </w:pPr>
      <w:r>
        <w:rPr>
          <w:noProof/>
        </w:rPr>
        <w:t>(текст от значение за ЕИП)</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w:t>
            </w:r>
            <w:r>
              <w:rPr>
                <w:noProof/>
              </w:rPr>
              <w:br/>
              <w:t>(документ COM(2013) 0579 final – 2013/0279 COD):</w:t>
            </w:r>
          </w:p>
        </w:tc>
        <w:tc>
          <w:tcPr>
            <w:tcW w:w="2483" w:type="dxa"/>
          </w:tcPr>
          <w:p>
            <w:pPr>
              <w:jc w:val="left"/>
              <w:rPr>
                <w:noProof/>
              </w:rPr>
            </w:pPr>
            <w:r>
              <w:rPr>
                <w:noProof/>
              </w:rPr>
              <w:t>8 август 2013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Не е приложимо.</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12 март 2014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Не е приложимо.</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16 юни 2016 г.</w:t>
            </w:r>
          </w:p>
        </w:tc>
      </w:tr>
    </w:tbl>
    <w:p>
      <w:pPr>
        <w:pStyle w:val="ManualHeading1"/>
        <w:rPr>
          <w:noProof/>
        </w:rPr>
      </w:pPr>
      <w:r>
        <w:rPr>
          <w:noProof/>
        </w:rPr>
        <w:t>2.</w:t>
      </w:r>
      <w:r>
        <w:rPr>
          <w:noProof/>
        </w:rPr>
        <w:tab/>
        <w:t>Цел на предложението на Комисията</w:t>
      </w:r>
    </w:p>
    <w:p>
      <w:pPr>
        <w:rPr>
          <w:noProof/>
        </w:rPr>
      </w:pPr>
      <w:r>
        <w:rPr>
          <w:noProof/>
        </w:rPr>
        <w:t xml:space="preserve">Целта на предложението на Комисията е да се измени Регламент (ЕО) № 471/2009, за да бъде приведен в съответствие с новия институционален контекст след влизането в сила на Договора за функционирането на Европейския съюз. </w:t>
      </w:r>
    </w:p>
    <w:p>
      <w:pPr>
        <w:rPr>
          <w:noProof/>
        </w:rPr>
      </w:pPr>
      <w:r>
        <w:rPr>
          <w:noProof/>
        </w:rPr>
        <w:t>Предложението съдържа следното:</w:t>
      </w:r>
    </w:p>
    <w:p>
      <w:pPr>
        <w:ind w:left="567" w:hanging="425"/>
        <w:rPr>
          <w:i/>
          <w:noProof/>
        </w:rPr>
      </w:pPr>
      <w:r>
        <w:rPr>
          <w:noProof/>
        </w:rPr>
        <w:t>•</w:t>
      </w:r>
      <w:r>
        <w:rPr>
          <w:noProof/>
        </w:rPr>
        <w:tab/>
        <w:t>да се оправомощи Комисията да приема делегирани актове за допълване или изменение на правилата по отношение на някои разпоредби, за да се вземат под внимание промените в Митническия кодекс или разпоредбите, произтичащи от международни конвенции, промените, необходими по методологически причини, както и необходимостта от създаване на ефективна система за събиране на данни и съставяне на статистика;</w:t>
      </w:r>
    </w:p>
    <w:p>
      <w:pPr>
        <w:ind w:left="567" w:hanging="425"/>
        <w:rPr>
          <w:noProof/>
        </w:rPr>
      </w:pPr>
      <w:r>
        <w:rPr>
          <w:noProof/>
        </w:rPr>
        <w:t>•</w:t>
      </w:r>
      <w:r>
        <w:rPr>
          <w:noProof/>
        </w:rPr>
        <w:tab/>
        <w:t xml:space="preserve">да се предоставят изпълнителни правомощия на Комисията, за да може да приема мерки в съответствие с процедурата по разглеждане относно някои разпоредби с </w:t>
      </w:r>
      <w:r>
        <w:rPr>
          <w:noProof/>
        </w:rPr>
        <w:lastRenderedPageBreak/>
        <w:t>цел да се осигурят еднакви условия за прилагането на Регламент (ЕО) № 471/2009;</w:t>
      </w:r>
    </w:p>
    <w:p>
      <w:pPr>
        <w:ind w:left="567" w:hanging="425"/>
        <w:rPr>
          <w:noProof/>
        </w:rPr>
      </w:pPr>
      <w:r>
        <w:rPr>
          <w:noProof/>
        </w:rPr>
        <w:t xml:space="preserve">и в допълнение </w:t>
      </w:r>
    </w:p>
    <w:p>
      <w:pPr>
        <w:ind w:left="567" w:hanging="425"/>
        <w:rPr>
          <w:noProof/>
        </w:rPr>
      </w:pPr>
      <w:r>
        <w:rPr>
          <w:noProof/>
        </w:rPr>
        <w:t>•</w:t>
      </w:r>
      <w:r>
        <w:rPr>
          <w:noProof/>
        </w:rPr>
        <w:tab/>
        <w:t>да се замени позоваването на Комитета Екстрастат с позоваване на Комитета на Европейската статистическа система (Комитет на ЕСС) в контекста на общото преструктуриране и оптимизиране на Европейската статистическа система (ЕСС).</w:t>
      </w:r>
    </w:p>
    <w:p>
      <w:pPr>
        <w:pStyle w:val="ManualHeading1"/>
        <w:rPr>
          <w:noProof/>
        </w:rPr>
      </w:pPr>
      <w:r>
        <w:rPr>
          <w:noProof/>
        </w:rPr>
        <w:t>3.</w:t>
      </w:r>
      <w:r>
        <w:rPr>
          <w:noProof/>
        </w:rPr>
        <w:tab/>
        <w:t>Коментари относно позицията на Съвета</w:t>
      </w:r>
    </w:p>
    <w:p>
      <w:pPr>
        <w:pStyle w:val="ManualHeading2"/>
        <w:rPr>
          <w:noProof/>
        </w:rPr>
      </w:pPr>
      <w:r>
        <w:rPr>
          <w:noProof/>
        </w:rPr>
        <w:t>3.1</w:t>
      </w:r>
      <w:r>
        <w:rPr>
          <w:noProof/>
        </w:rPr>
        <w:tab/>
        <w:t>Общи бележки</w:t>
      </w:r>
    </w:p>
    <w:p>
      <w:pPr>
        <w:widowControl w:val="0"/>
        <w:rPr>
          <w:noProof/>
        </w:rPr>
      </w:pPr>
      <w:r>
        <w:rPr>
          <w:noProof/>
        </w:rPr>
        <w:t>Позицията на Съвета отразява, от една страна, временното политическо споразумение, постигнато между Съвета, Комисията по международна търговия (INTA) на Европейския парламент и Европейската комисия по време на неформалните тристранни дискусии от 8 декември 2014 г., а от друга страна — новото Междуинституционално споразумение за по-добро законотворчество (IIA), което бе прието и влезе в сила на 13 април 2016 г</w:t>
      </w:r>
      <w:r>
        <w:rPr>
          <w:rStyle w:val="FootnoteReference"/>
          <w:noProof/>
        </w:rPr>
        <w:footnoteReference w:id="1"/>
      </w:r>
      <w:r>
        <w:rPr>
          <w:noProof/>
        </w:rPr>
        <w:t xml:space="preserve">. </w:t>
      </w:r>
    </w:p>
    <w:p>
      <w:pPr>
        <w:widowControl w:val="0"/>
        <w:rPr>
          <w:noProof/>
          <w:szCs w:val="24"/>
        </w:rPr>
      </w:pPr>
      <w:r>
        <w:rPr>
          <w:noProof/>
        </w:rPr>
        <w:t xml:space="preserve">Основният въпрос, който възпрепятства работата, беше свързан с консултирането на държавите членки при подготовката на делегирани актове от Комисията. Бе взето решение да се изчака влизането в сила на IIA. </w:t>
      </w:r>
    </w:p>
    <w:p>
      <w:pPr>
        <w:widowControl w:val="0"/>
        <w:rPr>
          <w:noProof/>
          <w:szCs w:val="24"/>
        </w:rPr>
      </w:pPr>
      <w:r>
        <w:rPr>
          <w:noProof/>
        </w:rPr>
        <w:t xml:space="preserve">Съветът прие позицията си на първо четене на 16 юни 2016 г. Основната цел на измененията е някои специфични задължения за държавите членки (наред с другото сроковете за предаване) да се определят пряко в основния акт, вместо на Комисията да се предоставят правомощия за определянето им чрез делегиран акт, както първоначално бе предложено. Комисията счита, че във всички случаи в дългосрочен план не би било необходимо тези правни задължения да се променят и следователно прехвърлянето им от делегираните актове в основния акт не създава никакви проблеми по отношение на гъвкавостта; поради това Комисията не повдига възражения срещу тези изменения на Съвета.  </w:t>
      </w:r>
    </w:p>
    <w:p>
      <w:pPr>
        <w:pStyle w:val="ManualHeading2"/>
        <w:rPr>
          <w:noProof/>
        </w:rPr>
      </w:pPr>
      <w:r>
        <w:rPr>
          <w:noProof/>
        </w:rPr>
        <w:t>3.2</w:t>
      </w:r>
      <w:r>
        <w:rPr>
          <w:noProof/>
        </w:rPr>
        <w:tab/>
        <w:t>Коментари по измененията, приети от Европейския парламент</w:t>
      </w:r>
    </w:p>
    <w:p>
      <w:pPr>
        <w:pStyle w:val="ManualHeading3"/>
        <w:rPr>
          <w:noProof/>
        </w:rPr>
      </w:pPr>
      <w:r>
        <w:rPr>
          <w:noProof/>
        </w:rPr>
        <w:t>3.2.1.</w:t>
      </w:r>
      <w:r>
        <w:rPr>
          <w:noProof/>
        </w:rPr>
        <w:tab/>
        <w:t>Изменения на Европейския парламент, включени изцяло, частично или принципно в позицията на Съвета на първо четене</w:t>
      </w:r>
    </w:p>
    <w:p>
      <w:pPr>
        <w:pStyle w:val="Text1"/>
        <w:ind w:left="0"/>
        <w:rPr>
          <w:noProof/>
        </w:rPr>
      </w:pPr>
      <w:r>
        <w:rPr>
          <w:noProof/>
        </w:rPr>
        <w:t>Оправомощаването на Комисията да приема делегирани актове, което първоначално бе предложено за неопределен период от време, се ограничава до петгодишен период, както беше предложено с изменение 7 на Европейския парламент.</w:t>
      </w:r>
    </w:p>
    <w:p>
      <w:pPr>
        <w:pStyle w:val="ManualHeading3"/>
        <w:rPr>
          <w:noProof/>
        </w:rPr>
      </w:pPr>
      <w:r>
        <w:rPr>
          <w:noProof/>
        </w:rPr>
        <w:t>3.2.2.</w:t>
      </w:r>
      <w:r>
        <w:rPr>
          <w:noProof/>
        </w:rPr>
        <w:tab/>
        <w:t>Изменения на Европейския парламент, които не са включени в позицията на Съвета на първо четене</w:t>
      </w:r>
    </w:p>
    <w:p>
      <w:pPr>
        <w:pStyle w:val="Text1"/>
        <w:ind w:left="0"/>
        <w:rPr>
          <w:noProof/>
        </w:rPr>
      </w:pPr>
      <w:r>
        <w:rPr>
          <w:noProof/>
        </w:rPr>
        <w:t xml:space="preserve">На първо четене през 2014 г. Европейският парламент предложи изменения, които на практика биха отменили всички правомощия за процедура на комитет, предложени от Комисията. Това не бе счетено за приемливо нито от Съвета, нито от Комисията. </w:t>
      </w:r>
    </w:p>
    <w:p>
      <w:pPr>
        <w:pStyle w:val="ManualHeading2"/>
        <w:rPr>
          <w:noProof/>
        </w:rPr>
      </w:pPr>
      <w:r>
        <w:rPr>
          <w:noProof/>
        </w:rPr>
        <w:t>3.3</w:t>
      </w:r>
      <w:r>
        <w:rPr>
          <w:noProof/>
        </w:rPr>
        <w:tab/>
        <w:t>Нови разпоредби, въведени от Съвета, и позиция на Комисията</w:t>
      </w:r>
    </w:p>
    <w:p>
      <w:pPr>
        <w:pStyle w:val="Text1"/>
        <w:ind w:left="0"/>
        <w:rPr>
          <w:noProof/>
        </w:rPr>
      </w:pPr>
      <w:r>
        <w:rPr>
          <w:noProof/>
        </w:rPr>
        <w:t>Бяха добавени стандартното съображение и параграфите, предвидени в новото IIA от 13 април 2016 г. Комисията напълно подкрепя добавянето на тези текстове.</w:t>
      </w:r>
    </w:p>
    <w:p>
      <w:pPr>
        <w:widowControl w:val="0"/>
        <w:rPr>
          <w:noProof/>
        </w:rPr>
      </w:pPr>
    </w:p>
    <w:p>
      <w:pPr>
        <w:pStyle w:val="ManualHeading1"/>
        <w:rPr>
          <w:noProof/>
        </w:rPr>
      </w:pPr>
      <w:r>
        <w:rPr>
          <w:noProof/>
        </w:rPr>
        <w:t>4.</w:t>
      </w:r>
      <w:r>
        <w:rPr>
          <w:noProof/>
        </w:rPr>
        <w:tab/>
        <w:t>Заключение</w:t>
      </w:r>
    </w:p>
    <w:p>
      <w:pPr>
        <w:rPr>
          <w:noProof/>
        </w:rPr>
      </w:pPr>
      <w:r>
        <w:rPr>
          <w:noProof/>
        </w:rPr>
        <w:t>Комисията подкрепя постигнатия компромис, тъй като е съобразен с усилията на Комисията за привеждане в съответствие на законодателството отпреди Договора от Лисабон. Този компромис отразява също така предвидения в първоначалното предложение на Комисията баланс между делегираните актове и актовете за изпълнение. Той е и пример за успешното прилагане на новото Междуинституционално споразумение за по-добро законотворчество.</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ОВ L 123, 12.5.2016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1895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FC94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0066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D882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EEA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320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309C8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2E92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revisionView w:markup="0"/>
  <w:doNotTrackFormatting/>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1 14:58: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11955D6C6B24F8396E10C5F5B100069"/>
    <w:docVar w:name="LW_CROSSREFERENCE" w:val="&lt;UNUSED&gt;"/>
    <w:docVar w:name="LW_DocType" w:val="COM"/>
    <w:docVar w:name="LW_EMISSION" w:val="21.6.2016"/>
    <w:docVar w:name="LW_EMISSION_ISODATE" w:val="2016-06-21"/>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9"/>
    <w:docVar w:name="LW_REF.II.NEW.CP_YEAR" w:val="2013"/>
    <w:docVar w:name="LW_REF.INST.NEW" w:val="COM"/>
    <w:docVar w:name="LW_REF.INST.NEW_ADOPTED" w:val="final"/>
    <w:docVar w:name="LW_REF.INST.NEW_TEXT" w:val="(2016) 420"/>
    <w:docVar w:name="LW_REF.INTERNE" w:val="&lt;UNUSED&gt;"/>
    <w:docVar w:name="LW_SOUS.TITRE.OBJ.CP" w:val="&lt;UNUSED&gt;"/>
    <w:docVar w:name="LW_SUPERTITRE" w:val="&lt;UNUSED&gt;"/>
    <w:docVar w:name="LW_TITRE.OBJ.CP" w:val="\u1087?\u1086?\u1079?\u1080?\u1094?\u1080?\u1103?\u1090?\u1072? \u1085?\u1072? \u1057?\u1098?\u1074?\u1077?\u1090?\u1072? \u1079?\u1072? \u1087?\u1088?\u1080?\u1077?\u1084?\u1072?\u1085?\u1077?\u1090?\u1086? \u1085?\u1072? \u1087?\u1088?\u1077?\u1076?\u1083?\u1086?\u1078?\u1077?\u1085?\u1080?\u1077? \u1079?\u1072? \u1056?\u1077?\u1075?\u1083?\u1072?\u1084?\u1077?\u1085?\u1090? \u1085?\u1072? \u1045?\u1074?\u1088?\u1086?\u1087?\u1077?\u1081?\u1089?\u1082?\u1080?\u1103? \u1087?\u1072?\u1088?\u1083?\u1072?\u1084?\u1077?\u1085?\u1090? \u1080? \u1085?\u1072? \u1057?\u1098?\u1074?\u1077?\u1090?\u1072? \u1079?\u1072? \u1080?\u1079?\u1084?\u1077?\u1085?\u1077?\u1085?\u1080?\u1077? \u1085?\u1072? \u1056?\u1077?\u1075?\u1083?\u1072?\u1084?\u1077?\u1085?\u1090? (\u1045?\u1054?) \u8470? 471/2009 \u1086?\u1090?\u1085?\u1086?\u1089?\u1085?\u1086? \u1089?\u1090?\u1072?\u1090?\u1080?\u1089?\u1090?\u1080?\u1082?\u1072?\u1090?\u1072? \u1085?\u1072? \u1054?\u1073?\u1097?\u1085?\u1086?\u1089?\u1090?\u1090?\u1072? \u1079?\u1072? \u1074?\u1098?\u1085?\u1096?\u1085?\u1072?\u1090?\u1072? \u1090?\u1098?\u1088?\u1075?\u1086?\u1074?\u1080?\u1103? \u1089? \u1090?\u1088?\u1077?\u1090?\u1080? \u1089?\u1090?\u1088?\u1072?\u1085?\u1080? \u1087?\u1086? \u1086?\u1090?\u1085?\u1086?\u1096?\u1077?\u1085?\u1080?\u1077? \u1085?\u1072? \u1087?\u1088?\u1077?\u1076?\u1086?\u1089?\u1090?\u1072?\u1074?\u1103?\u1085?\u1077?\u1090?\u1086? \u1085?\u1072? \u1050?\u1086?\u1084?\u1080?\u1089?\u1080?\u1103?\u1090?\u1072? \u1085?\u1072? \u1076?\u1077?\u1083?\u1077?\u1075?\u1080?\u1088?\u1072?\u1085?\u1080? \u1080? \u1080?\u1079?\u1087?\u1098?\u1083?\u1085?\u1080?\u1090?\u1077?\u1083?\u1085?\u1080? \u1087?\u1088?\u1072?\u1074?\u1086?\u1084?\u1086?\u1097?\u1080?\u1103? \u1079?\u1072? \u1087?\u1088?\u1080?\u1077?\u1084?\u1072?\u1085?\u1077?\u1090?\u1086? \u1085?\u1072? \u1086?\u1087?\u1088?\u1077?\u1076?\u1077?\u1083?\u1077?\u1085?\u1080? \u1084?\u1077?\u1088?\u1082?\u1080?"/>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A9557-4D9A-4484-8B3E-7A5DAB1D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708</Words>
  <Characters>4160</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2016-06-20T16:28:00Z</dcterms:created>
  <dcterms:modified xsi:type="dcterms:W3CDTF">2016-06-21T12:58:00Z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COM/PL/CODEC</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SJ-028</vt:lpwstr>
  </property>
  <property fmtid="{D5CDD505-2E9C-101B-9397-08002B2CF9AE}" pid="8" name="DQCStatus">
    <vt:lpwstr>Green (DQC version 03)</vt:lpwstr>
  </property>
</Properties>
</file>