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4185D21AB794D8FB1992745CEE112E2"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ind w:right="1"/>
        <w:jc w:val="center"/>
        <w:rPr>
          <w:rFonts w:ascii="Times New Roman" w:hAnsi="Times New Roman" w:cs="Times New Roman"/>
          <w:b/>
          <w:bCs/>
          <w:noProof/>
          <w:sz w:val="26"/>
          <w:szCs w:val="26"/>
        </w:rPr>
      </w:pPr>
      <w:bookmarkStart w:id="1" w:name="_GoBack"/>
      <w:bookmarkEnd w:id="1"/>
      <w:r>
        <w:rPr>
          <w:rFonts w:ascii="Times New Roman" w:hAnsi="Times New Roman"/>
          <w:b/>
          <w:smallCaps/>
          <w:noProof/>
          <w:sz w:val="26"/>
        </w:rPr>
        <w:lastRenderedPageBreak/>
        <w:t>СЪОБЩЕНИЕ НА КОМИСИЯТА</w:t>
      </w:r>
      <w:r>
        <w:rPr>
          <w:rFonts w:ascii="Times New Roman" w:hAnsi="Times New Roman"/>
          <w:b/>
          <w:noProof/>
          <w:sz w:val="26"/>
        </w:rPr>
        <w:t xml:space="preserve"> ДО ЕВРОПЕЙСКИЯ ПАРЛАМЕНТ, СЪВЕТА, ЕВРОПЕЙСКИЯ ИКОНОМИЧЕСКИ И СОЦИАЛЕН КОМИТЕТ</w:t>
      </w:r>
    </w:p>
    <w:p>
      <w:pPr>
        <w:spacing w:after="0" w:line="240" w:lineRule="auto"/>
        <w:ind w:right="1"/>
        <w:jc w:val="center"/>
        <w:rPr>
          <w:rFonts w:ascii="Times New Roman" w:hAnsi="Times New Roman" w:cs="Times New Roman"/>
          <w:b/>
          <w:bCs/>
          <w:noProof/>
        </w:rPr>
      </w:pPr>
      <w:r>
        <w:rPr>
          <w:rFonts w:ascii="Times New Roman" w:hAnsi="Times New Roman"/>
          <w:b/>
          <w:noProof/>
          <w:sz w:val="26"/>
        </w:rPr>
        <w:t>И КОМИТЕТА НА РЕГИОНИТЕ</w:t>
      </w:r>
    </w:p>
    <w:p>
      <w:pPr>
        <w:spacing w:after="0" w:line="240" w:lineRule="auto"/>
        <w:ind w:right="1"/>
        <w:jc w:val="center"/>
        <w:rPr>
          <w:rFonts w:ascii="Times New Roman" w:hAnsi="Times New Roman" w:cs="Times New Roman"/>
          <w:b/>
          <w:bCs/>
          <w:noProof/>
        </w:rPr>
      </w:pPr>
    </w:p>
    <w:p>
      <w:pPr>
        <w:spacing w:after="60" w:line="240" w:lineRule="auto"/>
        <w:ind w:right="1"/>
        <w:jc w:val="center"/>
        <w:rPr>
          <w:rFonts w:ascii="Times New Roman" w:hAnsi="Times New Roman" w:cs="Times New Roman"/>
          <w:b/>
          <w:noProof/>
          <w:color w:val="000000"/>
          <w:sz w:val="26"/>
        </w:rPr>
      </w:pPr>
      <w:r>
        <w:rPr>
          <w:rFonts w:ascii="Times New Roman" w:hAnsi="Times New Roman"/>
          <w:b/>
          <w:noProof/>
          <w:color w:val="000000"/>
          <w:sz w:val="26"/>
        </w:rPr>
        <w:t>Оценка на изпълнението на Рамката на ЕС за национални стратегии за интегриране на ромите и Препоръката на Съвета относно ефективни мерки за интегриране на ромите в държавите членки, 2016 г.</w:t>
      </w:r>
    </w:p>
    <w:p>
      <w:pPr>
        <w:spacing w:before="240" w:after="60" w:line="240" w:lineRule="auto"/>
        <w:ind w:right="1"/>
        <w:jc w:val="both"/>
        <w:rPr>
          <w:rFonts w:ascii="Times New Roman" w:hAnsi="Times New Roman" w:cs="Times New Roman"/>
          <w:bCs/>
          <w:noProof/>
          <w:sz w:val="24"/>
        </w:rPr>
      </w:pPr>
      <w:r>
        <w:rPr>
          <w:rFonts w:ascii="Times New Roman" w:hAnsi="Times New Roman"/>
          <w:b/>
          <w:noProof/>
          <w:sz w:val="24"/>
        </w:rPr>
        <w:t>1. Въведение</w:t>
      </w:r>
    </w:p>
    <w:p>
      <w:pPr>
        <w:spacing w:after="60" w:line="240" w:lineRule="auto"/>
        <w:ind w:right="1"/>
        <w:jc w:val="both"/>
        <w:rPr>
          <w:rFonts w:ascii="Times New Roman" w:hAnsi="Times New Roman" w:cs="Times New Roman"/>
          <w:noProof/>
          <w:color w:val="000000"/>
          <w:spacing w:val="-1"/>
          <w:sz w:val="24"/>
        </w:rPr>
      </w:pPr>
      <w:r>
        <w:rPr>
          <w:rFonts w:ascii="Times New Roman" w:hAnsi="Times New Roman"/>
          <w:noProof/>
          <w:color w:val="000000"/>
          <w:spacing w:val="-1"/>
          <w:sz w:val="24"/>
        </w:rPr>
        <w:t>Съгласно Рамката на ЕС за национални стратегии за интегриране на ромите до 2020 г.</w:t>
      </w:r>
      <w:r>
        <w:rPr>
          <w:rStyle w:val="FootnoteReference"/>
          <w:rFonts w:ascii="Times New Roman" w:hAnsi="Times New Roman"/>
          <w:noProof/>
          <w:color w:val="000000"/>
          <w:spacing w:val="-1"/>
          <w:sz w:val="24"/>
        </w:rPr>
        <w:footnoteReference w:id="1"/>
      </w:r>
      <w:r>
        <w:rPr>
          <w:rFonts w:ascii="Times New Roman" w:hAnsi="Times New Roman"/>
          <w:noProof/>
          <w:color w:val="000000"/>
          <w:spacing w:val="-1"/>
          <w:sz w:val="24"/>
        </w:rPr>
        <w:t xml:space="preserve"> държавите членки се ангажираха да разработят, прилагат и наблюдават изпълнението на стратегии</w:t>
      </w:r>
      <w:r>
        <w:rPr>
          <w:rStyle w:val="FootnoteReference"/>
          <w:rFonts w:ascii="Times New Roman" w:hAnsi="Times New Roman"/>
          <w:noProof/>
          <w:color w:val="000000"/>
          <w:spacing w:val="-1"/>
          <w:sz w:val="24"/>
        </w:rPr>
        <w:footnoteReference w:id="2"/>
      </w:r>
      <w:r>
        <w:rPr>
          <w:rFonts w:ascii="Times New Roman" w:hAnsi="Times New Roman"/>
          <w:noProof/>
          <w:color w:val="000000"/>
          <w:spacing w:val="-1"/>
          <w:sz w:val="24"/>
        </w:rPr>
        <w:t xml:space="preserve"> в съответствие с всеобхватен подход, основан на обективни данни. Комисията оценява прилагането и докладва ежегодно на Европейския парламент и на Съвета. </w:t>
      </w:r>
      <w:r>
        <w:rPr>
          <w:rFonts w:ascii="Times New Roman" w:hAnsi="Times New Roman"/>
          <w:noProof/>
          <w:sz w:val="24"/>
        </w:rPr>
        <w:t>Рамката на ЕС бе подсилена с препоръка на Съвета относно ефективни мерки за интегриране на ромите</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С препоръката обсегът на рамката беше разширен, за да обхване допълнителни области, а държавите членки бяха призовани ежегодно да докладват на Комисията мерките, предприети в съответствие с препоръката, и напредъка, постигнат в изпълнение на стратегиите.</w:t>
      </w:r>
      <w:r>
        <w:rPr>
          <w:rFonts w:ascii="Times New Roman" w:hAnsi="Times New Roman"/>
          <w:b/>
          <w:noProof/>
          <w:sz w:val="24"/>
        </w:rPr>
        <w:t xml:space="preserve"> </w:t>
      </w:r>
    </w:p>
    <w:p>
      <w:pPr>
        <w:spacing w:after="60" w:line="240" w:lineRule="auto"/>
        <w:ind w:right="1"/>
        <w:jc w:val="both"/>
        <w:rPr>
          <w:rFonts w:ascii="Times New Roman" w:hAnsi="Times New Roman" w:cs="Times New Roman"/>
          <w:noProof/>
          <w:sz w:val="24"/>
          <w:szCs w:val="24"/>
        </w:rPr>
      </w:pPr>
      <w:r>
        <w:rPr>
          <w:rFonts w:ascii="Times New Roman" w:hAnsi="Times New Roman"/>
          <w:noProof/>
          <w:color w:val="000000"/>
          <w:spacing w:val="-1"/>
          <w:sz w:val="24"/>
        </w:rPr>
        <w:t>В настоящото съобщение се докладва относно общите заключения  във връзка с напредъка при прилагане на Рамката на ЕС.</w:t>
      </w:r>
      <w:r>
        <w:rPr>
          <w:rFonts w:ascii="Times New Roman" w:hAnsi="Times New Roman"/>
          <w:noProof/>
          <w:sz w:val="24"/>
        </w:rPr>
        <w:t xml:space="preserve"> Освен това в него за първи път се разглеждат мерките за интегриране на ромите, въведени съгласно препоръката на Съвета. В придружаващия работен документ на службите на Комисията се представя отделна оценка за всяка държава и се посочват примери за практики в различните тематични области. В помощ на държавите членки беше разработен подробен модел за докладване</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Някои държави членки (Германия, Словения, Франция) избраха да докладват под друга форма, докато други държави (Дания, Люксембург, Нидерландия)</w:t>
      </w:r>
      <w:r>
        <w:rPr>
          <w:rStyle w:val="FootnoteReference"/>
          <w:rFonts w:ascii="Times New Roman" w:hAnsi="Times New Roman"/>
          <w:noProof/>
          <w:sz w:val="24"/>
        </w:rPr>
        <w:footnoteReference w:id="5"/>
      </w:r>
      <w:r>
        <w:rPr>
          <w:rFonts w:ascii="Times New Roman" w:hAnsi="Times New Roman"/>
          <w:noProof/>
          <w:sz w:val="24"/>
        </w:rPr>
        <w:t xml:space="preserve"> не докладваха относно своите мерки.</w:t>
      </w:r>
    </w:p>
    <w:p>
      <w:pPr>
        <w:spacing w:before="240" w:after="60" w:line="240" w:lineRule="auto"/>
        <w:ind w:right="1"/>
        <w:jc w:val="both"/>
        <w:rPr>
          <w:rFonts w:ascii="Times New Roman" w:hAnsi="Times New Roman" w:cs="Times New Roman"/>
          <w:b/>
          <w:bCs/>
          <w:noProof/>
          <w:sz w:val="24"/>
        </w:rPr>
      </w:pPr>
      <w:r>
        <w:rPr>
          <w:rFonts w:ascii="Times New Roman" w:hAnsi="Times New Roman"/>
          <w:b/>
          <w:noProof/>
          <w:sz w:val="24"/>
        </w:rPr>
        <w:t>2. Ролята на Комисията за оказване на подкрепа на държавите членки</w:t>
      </w:r>
    </w:p>
    <w:p>
      <w:pPr>
        <w:spacing w:after="60" w:line="240" w:lineRule="auto"/>
        <w:ind w:right="1"/>
        <w:jc w:val="both"/>
        <w:rPr>
          <w:rFonts w:ascii="Times New Roman" w:hAnsi="Times New Roman" w:cs="Times New Roman"/>
          <w:noProof/>
          <w:sz w:val="24"/>
        </w:rPr>
      </w:pPr>
      <w:r>
        <w:rPr>
          <w:rFonts w:ascii="Times New Roman" w:hAnsi="Times New Roman"/>
          <w:noProof/>
          <w:sz w:val="24"/>
        </w:rPr>
        <w:t xml:space="preserve">Комисията свързва наблюдението на напредъка в приобщаването на ромите с по-широкообхватната си програма за растеж — стратегията „Европа 2020“. От 2012 г. насам пет държави членки с най-големите ромски общности и изправени пред най-сериозните предизвикателства получават </w:t>
      </w:r>
      <w:r>
        <w:rPr>
          <w:rFonts w:ascii="Times New Roman" w:hAnsi="Times New Roman"/>
          <w:b/>
          <w:noProof/>
          <w:sz w:val="24"/>
        </w:rPr>
        <w:t>специфични за всяка държава препоръки</w:t>
      </w:r>
      <w:r>
        <w:rPr>
          <w:rFonts w:ascii="Times New Roman" w:hAnsi="Times New Roman"/>
          <w:noProof/>
          <w:sz w:val="24"/>
        </w:rPr>
        <w:t xml:space="preserve"> за това как да включат в по-голяма степен приобщаването на ромите в своите общи политики. Препоръките, които Комисията предлага през 2016 г., са съсредоточени върху насърчаване на участието на ромските деца в качествено общо образование</w:t>
      </w:r>
      <w:r>
        <w:rPr>
          <w:rStyle w:val="FootnoteReference"/>
          <w:rFonts w:ascii="Times New Roman" w:hAnsi="Times New Roman"/>
          <w:noProof/>
          <w:sz w:val="24"/>
        </w:rPr>
        <w:footnoteReference w:id="6"/>
      </w:r>
      <w:r>
        <w:rPr>
          <w:noProof/>
        </w:rPr>
        <w:t>.</w:t>
      </w:r>
      <w:r>
        <w:rPr>
          <w:rFonts w:ascii="Times New Roman" w:hAnsi="Times New Roman"/>
          <w:noProof/>
          <w:sz w:val="24"/>
        </w:rPr>
        <w:t xml:space="preserve"> Правните и финансовите инструменти и инструментите на политиките на европейско равнище са приведени изцяло в съответствие с началото на финансовия програмен период 2014—2020 г. </w:t>
      </w:r>
    </w:p>
    <w:p>
      <w:pPr>
        <w:keepNext/>
        <w:keepLines/>
        <w:spacing w:before="240" w:after="60" w:line="240" w:lineRule="auto"/>
        <w:ind w:right="1"/>
        <w:jc w:val="both"/>
        <w:rPr>
          <w:rFonts w:ascii="Times New Roman" w:hAnsi="Times New Roman" w:cs="Times New Roman"/>
          <w:b/>
          <w:bCs/>
          <w:noProof/>
          <w:sz w:val="24"/>
        </w:rPr>
      </w:pPr>
      <w:r>
        <w:rPr>
          <w:rFonts w:ascii="Times New Roman" w:hAnsi="Times New Roman"/>
          <w:b/>
          <w:noProof/>
          <w:sz w:val="24"/>
        </w:rPr>
        <w:t>2.1. Изграждане на капацитет и насърчаване на сътрудничеството</w:t>
      </w:r>
    </w:p>
    <w:p>
      <w:pPr>
        <w:keepNext/>
        <w:keepLines/>
        <w:spacing w:after="60" w:line="240" w:lineRule="auto"/>
        <w:jc w:val="both"/>
        <w:rPr>
          <w:rFonts w:ascii="Times New Roman" w:hAnsi="Times New Roman" w:cs="Times New Roman"/>
          <w:noProof/>
          <w:sz w:val="24"/>
          <w:szCs w:val="24"/>
        </w:rPr>
      </w:pPr>
      <w:r>
        <w:rPr>
          <w:rFonts w:ascii="Times New Roman" w:hAnsi="Times New Roman"/>
          <w:noProof/>
          <w:color w:val="000000"/>
          <w:spacing w:val="-1"/>
          <w:sz w:val="24"/>
        </w:rPr>
        <w:t xml:space="preserve">Комисията продължава да подпомага диалога между държавите членки в рамките на </w:t>
      </w:r>
      <w:r>
        <w:rPr>
          <w:rFonts w:ascii="Times New Roman" w:hAnsi="Times New Roman"/>
          <w:b/>
          <w:noProof/>
          <w:sz w:val="24"/>
        </w:rPr>
        <w:t>мрежата от национални звена за контакт по въпросите на ромите</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Освен това тя продължава работата на </w:t>
      </w:r>
      <w:r>
        <w:rPr>
          <w:rFonts w:ascii="Times New Roman" w:hAnsi="Times New Roman"/>
          <w:b/>
          <w:noProof/>
          <w:sz w:val="24"/>
        </w:rPr>
        <w:t>Работната група по въпросите на ромите</w:t>
      </w:r>
      <w:r>
        <w:rPr>
          <w:rFonts w:ascii="Times New Roman" w:hAnsi="Times New Roman"/>
          <w:noProof/>
          <w:sz w:val="24"/>
        </w:rPr>
        <w:t>, която обединява отделите на Комисията с принос за процеса на ЕС за интегриране на ромите.</w:t>
      </w:r>
      <w:r>
        <w:rPr>
          <w:rFonts w:ascii="Times New Roman" w:hAnsi="Times New Roman"/>
          <w:b/>
          <w:noProof/>
          <w:sz w:val="24"/>
        </w:rPr>
        <w:t xml:space="preserve"> </w:t>
      </w:r>
      <w:r>
        <w:rPr>
          <w:rFonts w:ascii="Times New Roman" w:hAnsi="Times New Roman"/>
          <w:noProof/>
          <w:sz w:val="24"/>
        </w:rPr>
        <w:t xml:space="preserve">Осъществяват се </w:t>
      </w:r>
      <w:r>
        <w:rPr>
          <w:rFonts w:ascii="Times New Roman" w:hAnsi="Times New Roman"/>
          <w:b/>
          <w:noProof/>
          <w:sz w:val="24"/>
        </w:rPr>
        <w:t>двустранни посещения за мониторинг в държавите членки</w:t>
      </w:r>
      <w:r>
        <w:rPr>
          <w:rFonts w:ascii="Times New Roman" w:hAnsi="Times New Roman"/>
          <w:noProof/>
          <w:sz w:val="24"/>
        </w:rPr>
        <w:t>, в рамките на които се провеждат задълбочени дискусии между Комисията, националните и местните органи и гражданското общество, както и посещения на ромските общности.</w:t>
      </w:r>
    </w:p>
    <w:p>
      <w:pPr>
        <w:spacing w:after="60" w:line="240" w:lineRule="auto"/>
        <w:jc w:val="both"/>
        <w:rPr>
          <w:rFonts w:ascii="Times New Roman" w:hAnsi="Times New Roman" w:cs="Times New Roman"/>
          <w:noProof/>
          <w:sz w:val="24"/>
          <w:szCs w:val="24"/>
        </w:rPr>
      </w:pPr>
      <w:r>
        <w:rPr>
          <w:rFonts w:ascii="Times New Roman" w:hAnsi="Times New Roman"/>
          <w:b/>
          <w:noProof/>
          <w:sz w:val="24"/>
        </w:rPr>
        <w:t>Европейската платформа за приобщаване на ромите</w:t>
      </w:r>
      <w:r>
        <w:rPr>
          <w:rFonts w:ascii="Times New Roman" w:hAnsi="Times New Roman"/>
          <w:noProof/>
          <w:sz w:val="24"/>
        </w:rPr>
        <w:t>, която обединява всички заинтересовани страни на европейско равнище, беше реформирана през 2015 г. с цел да се осигури по-широко участие в процеса. Европейските представителни организации на гражданското общество, които са в редовен диалог с Комисията, бяха тясно ангажирани в реформата и подготовката на Европейската платформа, която през 2015 г. съсредоточи дейността си върху многостранното сътрудничество между заинтересованите страни и борбата с дискриминацията и антиромските настроения;</w:t>
      </w:r>
    </w:p>
    <w:p>
      <w:pPr>
        <w:spacing w:after="60" w:line="240" w:lineRule="auto"/>
        <w:ind w:right="1"/>
        <w:jc w:val="both"/>
        <w:rPr>
          <w:rFonts w:ascii="Times New Roman" w:hAnsi="Times New Roman" w:cs="Times New Roman"/>
          <w:noProof/>
          <w:sz w:val="24"/>
        </w:rPr>
      </w:pPr>
      <w:r>
        <w:rPr>
          <w:rFonts w:ascii="Times New Roman" w:hAnsi="Times New Roman"/>
          <w:noProof/>
          <w:sz w:val="24"/>
        </w:rPr>
        <w:t xml:space="preserve">Комисията се ангажира да подкрепя държавите членки при разработването на </w:t>
      </w:r>
      <w:r>
        <w:rPr>
          <w:rFonts w:ascii="Times New Roman" w:hAnsi="Times New Roman"/>
          <w:b/>
          <w:noProof/>
          <w:sz w:val="24"/>
        </w:rPr>
        <w:t>национални платформи по въпросите на ромите</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Тези платформи следва да играят решаваща роля за гарантиране на прозрачно и приобщаващо участие на всички заинтересовани страни в процеса на прилагане, наблюдение и докладване.</w:t>
      </w:r>
    </w:p>
    <w:p>
      <w:pPr>
        <w:pStyle w:val="CommentText"/>
        <w:spacing w:after="60"/>
        <w:ind w:right="1"/>
        <w:jc w:val="both"/>
        <w:rPr>
          <w:rFonts w:ascii="Times New Roman" w:hAnsi="Times New Roman" w:cs="Times New Roman"/>
          <w:noProof/>
        </w:rPr>
      </w:pPr>
      <w:r>
        <w:rPr>
          <w:rFonts w:ascii="Times New Roman" w:hAnsi="Times New Roman"/>
          <w:noProof/>
        </w:rPr>
        <w:t xml:space="preserve">Освен това Комисията засили инициативите за </w:t>
      </w:r>
      <w:r>
        <w:rPr>
          <w:rFonts w:ascii="Times New Roman" w:hAnsi="Times New Roman"/>
          <w:b/>
          <w:noProof/>
        </w:rPr>
        <w:t>изграждане на капацитет на местно равнище и създаване на мрежи</w:t>
      </w:r>
      <w:r>
        <w:rPr>
          <w:rFonts w:ascii="Times New Roman" w:hAnsi="Times New Roman"/>
          <w:noProof/>
        </w:rPr>
        <w:t xml:space="preserve"> чрез подкрепата си за:</w:t>
      </w:r>
    </w:p>
    <w:p>
      <w:pPr>
        <w:pStyle w:val="CommentText"/>
        <w:numPr>
          <w:ilvl w:val="0"/>
          <w:numId w:val="1"/>
        </w:numPr>
        <w:spacing w:after="60"/>
        <w:ind w:right="1"/>
        <w:jc w:val="both"/>
        <w:rPr>
          <w:rFonts w:ascii="Times New Roman" w:hAnsi="Times New Roman" w:cs="Times New Roman"/>
          <w:noProof/>
        </w:rPr>
      </w:pPr>
      <w:r>
        <w:rPr>
          <w:rFonts w:ascii="Times New Roman" w:hAnsi="Times New Roman"/>
          <w:b/>
          <w:noProof/>
        </w:rPr>
        <w:t xml:space="preserve">побратимяване между местните органи </w:t>
      </w:r>
      <w:r>
        <w:rPr>
          <w:rFonts w:ascii="Times New Roman" w:hAnsi="Times New Roman"/>
          <w:noProof/>
        </w:rPr>
        <w:t xml:space="preserve">(в рамките на транснационалната капания </w:t>
      </w:r>
      <w:r>
        <w:rPr>
          <w:rFonts w:ascii="Times New Roman" w:hAnsi="Times New Roman"/>
          <w:b/>
          <w:noProof/>
        </w:rPr>
        <w:t>„За ромите, заедно с ромите“</w:t>
      </w:r>
      <w:r>
        <w:rPr>
          <w:rFonts w:ascii="Times New Roman" w:hAnsi="Times New Roman"/>
          <w:noProof/>
        </w:rPr>
        <w:t>)</w:t>
      </w:r>
      <w:r>
        <w:rPr>
          <w:rStyle w:val="FootnoteReference"/>
          <w:rFonts w:ascii="Times New Roman" w:hAnsi="Times New Roman"/>
          <w:noProof/>
        </w:rPr>
        <w:footnoteReference w:id="8"/>
      </w:r>
      <w:r>
        <w:rPr>
          <w:noProof/>
        </w:rPr>
        <w:t>;</w:t>
      </w:r>
    </w:p>
    <w:p>
      <w:pPr>
        <w:pStyle w:val="CommentText"/>
        <w:numPr>
          <w:ilvl w:val="0"/>
          <w:numId w:val="1"/>
        </w:numPr>
        <w:spacing w:after="60"/>
        <w:ind w:right="1"/>
        <w:jc w:val="both"/>
        <w:rPr>
          <w:rFonts w:ascii="Times New Roman" w:hAnsi="Times New Roman" w:cs="Times New Roman"/>
          <w:noProof/>
        </w:rPr>
      </w:pPr>
      <w:r>
        <w:rPr>
          <w:rFonts w:ascii="Times New Roman" w:hAnsi="Times New Roman"/>
          <w:b/>
          <w:noProof/>
        </w:rPr>
        <w:t>съвместни програми</w:t>
      </w:r>
      <w:r>
        <w:rPr>
          <w:rStyle w:val="FootnoteReference"/>
          <w:rFonts w:ascii="Times New Roman" w:hAnsi="Times New Roman"/>
          <w:noProof/>
        </w:rPr>
        <w:footnoteReference w:id="9"/>
      </w:r>
      <w:r>
        <w:rPr>
          <w:rFonts w:ascii="Times New Roman" w:hAnsi="Times New Roman"/>
          <w:noProof/>
        </w:rPr>
        <w:t xml:space="preserve"> със Съвета на Европа за инвестиране в медиация, структуриран диалог и изграждане на капацитет на ромските общности и местните органи; </w:t>
      </w:r>
    </w:p>
    <w:p>
      <w:pPr>
        <w:pStyle w:val="CommentText"/>
        <w:numPr>
          <w:ilvl w:val="0"/>
          <w:numId w:val="1"/>
        </w:numPr>
        <w:spacing w:after="60"/>
        <w:ind w:right="1"/>
        <w:jc w:val="both"/>
        <w:rPr>
          <w:rFonts w:ascii="Times New Roman" w:hAnsi="Times New Roman" w:cs="Times New Roman"/>
          <w:noProof/>
        </w:rPr>
      </w:pPr>
      <w:r>
        <w:rPr>
          <w:rFonts w:ascii="Times New Roman" w:hAnsi="Times New Roman"/>
          <w:b/>
          <w:noProof/>
        </w:rPr>
        <w:t>мрежи за трансгранично сътрудничество</w:t>
      </w:r>
      <w:r>
        <w:rPr>
          <w:rFonts w:ascii="Times New Roman" w:hAnsi="Times New Roman"/>
          <w:noProof/>
        </w:rPr>
        <w:t xml:space="preserve"> между органите на национално и местно равнище, както и неправителствените организации, защитаващи ромските интереси.</w:t>
      </w:r>
    </w:p>
    <w:p>
      <w:pPr>
        <w:spacing w:before="240" w:after="60" w:line="240" w:lineRule="auto"/>
        <w:ind w:right="1"/>
        <w:jc w:val="both"/>
        <w:rPr>
          <w:rFonts w:ascii="Times New Roman" w:hAnsi="Times New Roman" w:cs="Times New Roman"/>
          <w:b/>
          <w:bCs/>
          <w:noProof/>
          <w:sz w:val="24"/>
        </w:rPr>
      </w:pPr>
      <w:r>
        <w:rPr>
          <w:rFonts w:ascii="Times New Roman" w:hAnsi="Times New Roman"/>
          <w:b/>
          <w:noProof/>
          <w:sz w:val="24"/>
        </w:rPr>
        <w:t>2.2. Борба с дискриминацията и антиромските настроения</w:t>
      </w:r>
    </w:p>
    <w:p>
      <w:pPr>
        <w:spacing w:after="60" w:line="240" w:lineRule="auto"/>
        <w:ind w:right="1"/>
        <w:jc w:val="both"/>
        <w:rPr>
          <w:rFonts w:ascii="Times New Roman" w:hAnsi="Times New Roman" w:cs="Times New Roman"/>
          <w:noProof/>
          <w:sz w:val="24"/>
        </w:rPr>
      </w:pPr>
      <w:r>
        <w:rPr>
          <w:rFonts w:ascii="Times New Roman" w:hAnsi="Times New Roman"/>
          <w:noProof/>
          <w:sz w:val="24"/>
        </w:rPr>
        <w:t xml:space="preserve">През 2015 г. Комисията засили действията за борба с дискриминацията, сегрегацията и антиромските настроения, включително изказванията, проповядващи вражда и омраза, и престъпленията от омраза. В качеството си на пазител на Договорите ролята на Комисията е да гарантира, че законодателството за борба с дискриминацията, като например </w:t>
      </w:r>
      <w:r>
        <w:rPr>
          <w:rFonts w:ascii="Times New Roman" w:hAnsi="Times New Roman"/>
          <w:b/>
          <w:noProof/>
          <w:sz w:val="24"/>
        </w:rPr>
        <w:t>Директивата за расовото равенство</w:t>
      </w:r>
      <w:r>
        <w:rPr>
          <w:rStyle w:val="FootnoteReference"/>
          <w:rFonts w:ascii="Times New Roman" w:hAnsi="Times New Roman"/>
          <w:b/>
          <w:noProof/>
          <w:sz w:val="24"/>
        </w:rPr>
        <w:footnoteReference w:id="10"/>
      </w:r>
      <w:r>
        <w:rPr>
          <w:rFonts w:ascii="Times New Roman" w:hAnsi="Times New Roman"/>
          <w:noProof/>
          <w:sz w:val="24"/>
        </w:rPr>
        <w:t>, е правилно транспонирано и прилагано. Комисията започна второ производство за установяване на нарушение във връзка с дискриминацията на ромски деца в образователната система</w:t>
      </w:r>
      <w:r>
        <w:rPr>
          <w:rStyle w:val="FootnoteReference"/>
          <w:rFonts w:ascii="Times New Roman" w:hAnsi="Times New Roman"/>
          <w:noProof/>
          <w:sz w:val="24"/>
        </w:rPr>
        <w:footnoteReference w:id="11"/>
      </w:r>
      <w:r>
        <w:rPr>
          <w:rFonts w:ascii="Times New Roman" w:hAnsi="Times New Roman"/>
          <w:noProof/>
          <w:sz w:val="24"/>
        </w:rPr>
        <w:t xml:space="preserve"> и продължава да разследва предполагаеми случаи на дискриминация в областта на образованието и жилищното настаняване в няколко държави членки.</w:t>
      </w:r>
    </w:p>
    <w:p>
      <w:pPr>
        <w:spacing w:after="60" w:line="240" w:lineRule="auto"/>
        <w:ind w:right="1"/>
        <w:jc w:val="both"/>
        <w:rPr>
          <w:rFonts w:ascii="Times New Roman" w:hAnsi="Times New Roman" w:cs="Times New Roman"/>
          <w:noProof/>
          <w:sz w:val="32"/>
        </w:rPr>
      </w:pPr>
      <w:r>
        <w:rPr>
          <w:rFonts w:ascii="Times New Roman" w:hAnsi="Times New Roman"/>
          <w:noProof/>
          <w:sz w:val="24"/>
        </w:rPr>
        <w:t xml:space="preserve">След като получи правомощието да наблюдава прилагането на </w:t>
      </w:r>
      <w:r>
        <w:rPr>
          <w:rFonts w:ascii="Times New Roman" w:hAnsi="Times New Roman"/>
          <w:b/>
          <w:noProof/>
          <w:sz w:val="24"/>
        </w:rPr>
        <w:t>Рамковото решение на Съвета относно расизма и ксенофобията</w:t>
      </w:r>
      <w:r>
        <w:rPr>
          <w:rStyle w:val="FootnoteReference"/>
          <w:rFonts w:ascii="Times New Roman" w:hAnsi="Times New Roman"/>
          <w:noProof/>
          <w:sz w:val="24"/>
        </w:rPr>
        <w:footnoteReference w:id="12"/>
      </w:r>
      <w:r>
        <w:rPr>
          <w:rFonts w:ascii="Times New Roman" w:hAnsi="Times New Roman"/>
          <w:noProof/>
          <w:sz w:val="24"/>
        </w:rPr>
        <w:t>, Комисията започна диалог с държавите членки, за да гарантира неговото пълно и правилно транспониране и прилагане. Освен това Комисията активизира своите усилия, чрез които подпомага държавите членки да гарантират ефективни действия на място срещу  изказванията, проповядващи вражда и омраза, и престъпленията от омраза. Тя проведе дискусии с ИТ компании, държавите членки и гражданското общество, като целта бе да се гарантира бързото премахване на публикувани в интернет незаконни изказвания, проповядващи вражда и омраза, и да се насърчава изграждането на контранаративи.</w:t>
      </w:r>
    </w:p>
    <w:p>
      <w:pPr>
        <w:spacing w:after="60" w:line="240" w:lineRule="auto"/>
        <w:ind w:right="1"/>
        <w:jc w:val="both"/>
        <w:rPr>
          <w:rFonts w:ascii="Times New Roman" w:hAnsi="Times New Roman" w:cs="Times New Roman"/>
          <w:noProof/>
          <w:sz w:val="24"/>
        </w:rPr>
      </w:pPr>
      <w:r>
        <w:rPr>
          <w:rFonts w:ascii="Times New Roman" w:hAnsi="Times New Roman"/>
          <w:noProof/>
          <w:sz w:val="24"/>
        </w:rPr>
        <w:t xml:space="preserve">Комисията стартира транснационалната кампания за повишаване на осведомеността </w:t>
      </w:r>
      <w:r>
        <w:rPr>
          <w:rFonts w:ascii="Times New Roman" w:hAnsi="Times New Roman"/>
          <w:b/>
          <w:noProof/>
          <w:sz w:val="24"/>
        </w:rPr>
        <w:t>„За ромите, заедно с ромите“</w:t>
      </w:r>
      <w:r>
        <w:rPr>
          <w:rFonts w:ascii="Times New Roman" w:hAnsi="Times New Roman"/>
          <w:noProof/>
          <w:sz w:val="24"/>
        </w:rPr>
        <w:t>. Целта на кампанията е да се бори с антиромските стереотипи чрез работа с медиите, насърчаване на културното разбирателство, организиране на училищни състезания за рисунки и подкрепа за туининг проекти между местните органи.</w:t>
      </w:r>
    </w:p>
    <w:p>
      <w:pPr>
        <w:spacing w:after="60" w:line="240" w:lineRule="auto"/>
        <w:ind w:right="1"/>
        <w:jc w:val="both"/>
        <w:rPr>
          <w:rFonts w:ascii="Times New Roman" w:hAnsi="Times New Roman" w:cs="Times New Roman"/>
          <w:noProof/>
          <w:sz w:val="24"/>
        </w:rPr>
      </w:pPr>
      <w:r>
        <w:rPr>
          <w:rFonts w:ascii="Times New Roman" w:hAnsi="Times New Roman"/>
          <w:noProof/>
          <w:sz w:val="24"/>
        </w:rPr>
        <w:t>През 2015 г. Комисията публикува набор от три справочни материала, с които да подкрепи държавите членки в борбата срещу дискриминацията и сегрегацията:</w:t>
      </w:r>
    </w:p>
    <w:p>
      <w:pPr>
        <w:pStyle w:val="ListParagraph"/>
        <w:numPr>
          <w:ilvl w:val="0"/>
          <w:numId w:val="2"/>
        </w:numPr>
        <w:spacing w:after="60"/>
        <w:ind w:right="1"/>
        <w:jc w:val="both"/>
        <w:rPr>
          <w:noProof/>
        </w:rPr>
      </w:pPr>
      <w:r>
        <w:rPr>
          <w:b/>
          <w:noProof/>
        </w:rPr>
        <w:t>Насоки</w:t>
      </w:r>
      <w:r>
        <w:rPr>
          <w:noProof/>
        </w:rPr>
        <w:t xml:space="preserve"> за начина, по който европейските структурни и инвестиционни фондове за периода 2014—2020 г. могат да бъдат използвани </w:t>
      </w:r>
      <w:r>
        <w:rPr>
          <w:b/>
          <w:noProof/>
        </w:rPr>
        <w:t>за противодействие на сегрегацията в образованието и пространствената сегрегация</w:t>
      </w:r>
      <w:r>
        <w:rPr>
          <w:noProof/>
        </w:rPr>
        <w:t>, с експертни съвети за прилагане, предоставени на най-засегнатите държави членки</w:t>
      </w:r>
      <w:r>
        <w:rPr>
          <w:rStyle w:val="FootnoteReference"/>
          <w:noProof/>
        </w:rPr>
        <w:footnoteReference w:id="13"/>
      </w:r>
      <w:r>
        <w:rPr>
          <w:noProof/>
        </w:rPr>
        <w:t>.</w:t>
      </w:r>
    </w:p>
    <w:p>
      <w:pPr>
        <w:pStyle w:val="ListParagraph"/>
        <w:numPr>
          <w:ilvl w:val="0"/>
          <w:numId w:val="2"/>
        </w:numPr>
        <w:spacing w:after="60"/>
        <w:ind w:right="1"/>
        <w:jc w:val="both"/>
        <w:rPr>
          <w:noProof/>
        </w:rPr>
      </w:pPr>
      <w:r>
        <w:rPr>
          <w:b/>
          <w:noProof/>
        </w:rPr>
        <w:t>Брошура „Познавайте правата си“</w:t>
      </w:r>
      <w:r>
        <w:rPr>
          <w:noProof/>
        </w:rPr>
        <w:t>, в която има указания как да се предяви иск, свързан с дискриминация, и се дават лесноразбираеми разяснения на правата на жертвите, така че да се постигне по-добро прилагане на директивите за равенство и по-широка осведоменост по отношение на правата</w:t>
      </w:r>
      <w:r>
        <w:rPr>
          <w:rStyle w:val="FootnoteReference"/>
          <w:noProof/>
        </w:rPr>
        <w:footnoteReference w:id="14"/>
      </w:r>
      <w:r>
        <w:rPr>
          <w:noProof/>
        </w:rPr>
        <w:t>.</w:t>
      </w:r>
    </w:p>
    <w:p>
      <w:pPr>
        <w:pStyle w:val="ListParagraph"/>
        <w:numPr>
          <w:ilvl w:val="0"/>
          <w:numId w:val="2"/>
        </w:numPr>
        <w:spacing w:after="60"/>
        <w:ind w:right="1"/>
        <w:jc w:val="both"/>
        <w:rPr>
          <w:noProof/>
        </w:rPr>
      </w:pPr>
      <w:r>
        <w:rPr>
          <w:b/>
          <w:noProof/>
        </w:rPr>
        <w:t>Европейски инструментариум за училищата</w:t>
      </w:r>
      <w:r>
        <w:rPr>
          <w:noProof/>
        </w:rPr>
        <w:t>, съдържащ добри практики в областта на образованието, включително практики за предоставяне на целенасочена подкрепа на ромски деца и работа с ромски семейства</w:t>
      </w:r>
      <w:r>
        <w:rPr>
          <w:rStyle w:val="FootnoteReference"/>
          <w:noProof/>
        </w:rPr>
        <w:footnoteReference w:id="15"/>
      </w:r>
      <w:r>
        <w:rPr>
          <w:noProof/>
        </w:rPr>
        <w:t>.</w:t>
      </w:r>
    </w:p>
    <w:p>
      <w:pPr>
        <w:spacing w:after="60" w:line="240" w:lineRule="auto"/>
        <w:ind w:right="1"/>
        <w:jc w:val="both"/>
        <w:rPr>
          <w:rFonts w:ascii="Times New Roman" w:hAnsi="Times New Roman" w:cs="Times New Roman"/>
          <w:noProof/>
          <w:sz w:val="24"/>
        </w:rPr>
      </w:pPr>
      <w:r>
        <w:rPr>
          <w:rFonts w:ascii="Times New Roman" w:hAnsi="Times New Roman"/>
          <w:noProof/>
          <w:sz w:val="24"/>
        </w:rPr>
        <w:t xml:space="preserve">Комисията решително подкрепи </w:t>
      </w:r>
      <w:r>
        <w:rPr>
          <w:rFonts w:ascii="Times New Roman" w:hAnsi="Times New Roman"/>
          <w:b/>
          <w:noProof/>
          <w:sz w:val="24"/>
        </w:rPr>
        <w:t>резолюцията</w:t>
      </w:r>
      <w:r>
        <w:rPr>
          <w:rStyle w:val="FootnoteReference"/>
          <w:rFonts w:ascii="Times New Roman" w:hAnsi="Times New Roman"/>
          <w:noProof/>
          <w:sz w:val="24"/>
        </w:rPr>
        <w:footnoteReference w:id="16"/>
      </w:r>
      <w:r>
        <w:rPr>
          <w:rFonts w:ascii="Times New Roman" w:hAnsi="Times New Roman"/>
          <w:noProof/>
          <w:sz w:val="24"/>
        </w:rPr>
        <w:t xml:space="preserve"> </w:t>
      </w:r>
      <w:r>
        <w:rPr>
          <w:rFonts w:ascii="Times New Roman" w:hAnsi="Times New Roman"/>
          <w:b/>
          <w:noProof/>
          <w:sz w:val="24"/>
        </w:rPr>
        <w:t>на Европейския парламент относно антиромските настроения и признаването от страна на ЕС на възпоменателния ден на геноцида над ромите</w:t>
      </w:r>
      <w:r>
        <w:rPr>
          <w:rFonts w:ascii="Times New Roman" w:hAnsi="Times New Roman"/>
          <w:noProof/>
          <w:sz w:val="24"/>
        </w:rPr>
        <w:t>. В рамките на своята програма „Европа за гражданите“ Комисията финансира проекти за възпоменание на ромския Холокост, а по програма „Права, равенство и гражданство“ — местни, национални и транснационални проекти за интегриране на ромите и за борба с дискриминацията.</w:t>
      </w:r>
    </w:p>
    <w:p>
      <w:pPr>
        <w:spacing w:before="240" w:after="60" w:line="240" w:lineRule="auto"/>
        <w:ind w:right="1"/>
        <w:jc w:val="both"/>
        <w:rPr>
          <w:rFonts w:ascii="Times New Roman" w:hAnsi="Times New Roman" w:cs="Times New Roman"/>
          <w:b/>
          <w:bCs/>
          <w:noProof/>
          <w:sz w:val="24"/>
        </w:rPr>
      </w:pPr>
      <w:r>
        <w:rPr>
          <w:rFonts w:ascii="Times New Roman" w:hAnsi="Times New Roman"/>
          <w:b/>
          <w:noProof/>
          <w:sz w:val="24"/>
        </w:rPr>
        <w:t>3. Актуално състояние на интегрирането на ромите в държавите членки</w:t>
      </w:r>
    </w:p>
    <w:p>
      <w:pPr>
        <w:spacing w:after="60" w:line="240" w:lineRule="auto"/>
        <w:ind w:right="1"/>
        <w:jc w:val="both"/>
        <w:rPr>
          <w:rFonts w:ascii="Times New Roman" w:hAnsi="Times New Roman" w:cs="Times New Roman"/>
          <w:noProof/>
          <w:color w:val="000000"/>
          <w:spacing w:val="-1"/>
          <w:sz w:val="24"/>
        </w:rPr>
      </w:pPr>
      <w:r>
        <w:rPr>
          <w:rFonts w:ascii="Times New Roman" w:hAnsi="Times New Roman"/>
          <w:noProof/>
          <w:color w:val="000000"/>
          <w:spacing w:val="-1"/>
          <w:sz w:val="24"/>
        </w:rPr>
        <w:t>В допълнение към икономическата и финансовата криза, кризата с бежанците постави безпрецедентно предизвикателство пред държавите членки. Публичните органи са подложени на натиск да отговорят на нуждите на наскоро пристигналите бежанци наред с тези на своите уязвими граждани от ромски произход и на пребиваващите на тяхна територия роми, които са граждани на други държави от ЕС или трети държави. Въпреки че интегрирането на тези общности поставя редица предизвикателства, държавите членки не следва да дават приоритет на една или друга от тези общности. Необходим е балансиран подход, който съвместява всички нужди за интеграция с взаимно допълващи се и координирани действия.</w:t>
      </w:r>
    </w:p>
    <w:p>
      <w:pPr>
        <w:spacing w:after="60" w:line="240" w:lineRule="auto"/>
        <w:ind w:right="1"/>
        <w:jc w:val="both"/>
        <w:rPr>
          <w:rFonts w:ascii="Times New Roman" w:hAnsi="Times New Roman" w:cs="Times New Roman"/>
          <w:bCs/>
          <w:noProof/>
          <w:sz w:val="24"/>
        </w:rPr>
      </w:pPr>
      <w:r>
        <w:rPr>
          <w:rFonts w:ascii="Times New Roman" w:hAnsi="Times New Roman"/>
          <w:noProof/>
          <w:sz w:val="24"/>
        </w:rPr>
        <w:t>Настоящата оценка се основава на информацията, предоставена от държавите членки, допълнена с принос от гражданското общество. В рамките на Работната група за разработване на показатели за интеграцията на ромите (координирана от Агенцията за основните права с участието на 17 държави членки и Комисията) бяха положени усилия за изработването на обща рамка от показатели по въпросите, свързани с ромите. Въпреки че процесът доведе до създаването на подробен модел за докладване относно въведените мерки, необходима е допълнителна работа върху рамка на показателите за интеграцията на ромите, за да е възможно да се направи връзка между мерките и вложените ресурси и резултатите. Моделът, използван за тазгодишното докладване, създаде предизвикателства за някои държави членки. Комисията е поела ангажимент за разработването на удобна за ползване методология за докладване, тясно свързана с рамката на показателите.</w:t>
      </w:r>
    </w:p>
    <w:p>
      <w:pPr>
        <w:keepNext/>
        <w:keepLines/>
        <w:spacing w:before="240" w:after="60" w:line="240" w:lineRule="auto"/>
        <w:ind w:right="1"/>
        <w:jc w:val="both"/>
        <w:rPr>
          <w:rFonts w:ascii="Times New Roman" w:hAnsi="Times New Roman" w:cs="Times New Roman"/>
          <w:b/>
          <w:bCs/>
          <w:noProof/>
          <w:sz w:val="24"/>
        </w:rPr>
      </w:pPr>
      <w:r>
        <w:rPr>
          <w:rFonts w:ascii="Times New Roman" w:hAnsi="Times New Roman"/>
          <w:b/>
          <w:noProof/>
          <w:sz w:val="24"/>
        </w:rPr>
        <w:t>3.1. Хоризонтални мерки</w:t>
      </w:r>
    </w:p>
    <w:p>
      <w:pPr>
        <w:spacing w:after="60" w:line="240" w:lineRule="auto"/>
        <w:ind w:right="1"/>
        <w:jc w:val="both"/>
        <w:rPr>
          <w:rFonts w:ascii="Times New Roman" w:hAnsi="Times New Roman"/>
          <w:bCs/>
          <w:noProof/>
          <w:sz w:val="24"/>
        </w:rPr>
      </w:pPr>
      <w:r>
        <w:rPr>
          <w:rFonts w:ascii="Times New Roman" w:hAnsi="Times New Roman"/>
          <w:b/>
          <w:noProof/>
          <w:sz w:val="24"/>
        </w:rPr>
        <w:t>Дискриминацията продължава да бъде широко разпространена в целия ЕС, като присъства във всички общества и във всички ключови области.</w:t>
      </w:r>
      <w:r>
        <w:rPr>
          <w:rFonts w:ascii="Times New Roman" w:hAnsi="Times New Roman"/>
          <w:noProof/>
          <w:sz w:val="24"/>
        </w:rPr>
        <w:t xml:space="preserve"> Това се потвърждава от констатациите от последното проучване на Евробарометър</w:t>
      </w:r>
      <w:r>
        <w:rPr>
          <w:rStyle w:val="FootnoteReference"/>
          <w:rFonts w:ascii="Times New Roman" w:hAnsi="Times New Roman"/>
          <w:noProof/>
        </w:rPr>
        <w:footnoteReference w:id="17"/>
      </w:r>
      <w:r>
        <w:rPr>
          <w:rFonts w:ascii="Times New Roman" w:hAnsi="Times New Roman"/>
          <w:noProof/>
          <w:sz w:val="24"/>
        </w:rPr>
        <w:t xml:space="preserve"> и отзиви на гражданското общество. Държавите членки поставят акцент върху насърчаването на междукултурния диалог и многообразието и предоставянето на информация относно ромската история и култура, включително ромския Холокост. Някои от тях вече са включили тази информация в своите образователни програми. Важно е борбата срещу дискриминацията на ромите да се разгледа през призмата на възпитанието на децата и поставянето на образованието в по-широк контекст. Някои държави членки въведоха действия за обучение, насочени към държавните служители и доставчиците на услуги, така че те да имат подходящо междукултурно разбиране при работата си с ромите. Някои държави също така провеждат кампании срещу престъпленията от омраза. Всички тези мерки са от съществено значение за насърчаване на равенството. Държавите членки се насърчават да разработват такива мерки.</w:t>
      </w:r>
    </w:p>
    <w:p>
      <w:pPr>
        <w:spacing w:after="60" w:line="240" w:lineRule="auto"/>
        <w:ind w:right="1"/>
        <w:jc w:val="both"/>
        <w:rPr>
          <w:rFonts w:ascii="Times New Roman" w:hAnsi="Times New Roman"/>
          <w:bCs/>
          <w:noProof/>
          <w:sz w:val="24"/>
        </w:rPr>
      </w:pPr>
      <w:r>
        <w:rPr>
          <w:rFonts w:ascii="Times New Roman" w:hAnsi="Times New Roman"/>
          <w:noProof/>
          <w:sz w:val="24"/>
        </w:rPr>
        <w:t>Въпреки тези усилия обаче, не е видно реално подобрение по места. Ето защо е необходим по-систематичен подход, а към държавите членки се отправя призив да покажат по-голяма политическа воля за борба с дискриминацията.</w:t>
      </w:r>
      <w:r>
        <w:rPr>
          <w:rFonts w:ascii="Times New Roman" w:hAnsi="Times New Roman"/>
          <w:b/>
          <w:noProof/>
          <w:sz w:val="24"/>
        </w:rPr>
        <w:t xml:space="preserve"> Антиромските настроения като специфична проява на расизъм</w:t>
      </w:r>
      <w:r>
        <w:rPr>
          <w:rFonts w:ascii="Times New Roman" w:hAnsi="Times New Roman"/>
          <w:noProof/>
          <w:sz w:val="24"/>
        </w:rPr>
        <w:t xml:space="preserve">, тясно свързана с дълбоко вкоренени стереотипи и стигматизация на ромите, са във възход. Това е свързано с повишените радикализация и екстремизъм в ЕС. От жизненоважно значение е публичните органи да се дистанцират от расистките и ксенофобски изказвания, насочени срещу ромите, както и ефективно да преследват по наказателноправен път </w:t>
      </w:r>
      <w:r>
        <w:rPr>
          <w:rFonts w:ascii="Times New Roman" w:hAnsi="Times New Roman"/>
          <w:b/>
          <w:noProof/>
          <w:sz w:val="24"/>
        </w:rPr>
        <w:t>реториката, изказванията, проповядващи вражда и омраза, и престъпленията от омраза срещу ромите</w:t>
      </w:r>
      <w:r>
        <w:rPr>
          <w:rFonts w:ascii="Times New Roman" w:hAnsi="Times New Roman"/>
          <w:noProof/>
          <w:sz w:val="24"/>
        </w:rPr>
        <w:t>. Важно е да се осъзнае, че и нежеланието за действие допринася за това нетолерантността да е приемлива за обществото.</w:t>
      </w:r>
    </w:p>
    <w:p>
      <w:pPr>
        <w:spacing w:after="60" w:line="240" w:lineRule="auto"/>
        <w:ind w:right="1"/>
        <w:jc w:val="both"/>
        <w:rPr>
          <w:rFonts w:ascii="Times New Roman" w:hAnsi="Times New Roman" w:cs="Times New Roman"/>
          <w:noProof/>
          <w:sz w:val="24"/>
        </w:rPr>
      </w:pPr>
      <w:r>
        <w:rPr>
          <w:rFonts w:ascii="Times New Roman" w:hAnsi="Times New Roman"/>
          <w:noProof/>
          <w:sz w:val="24"/>
        </w:rPr>
        <w:t>Въпреки че някои държави членки предприеха стъпки за елиминиране на дискриминацията и сегрегацията на ромите, като приеха законодателство, благоприятстващо тяхното приобщаване, по-специално в областта на образованието, за да се насърчи равният достъп на ромските деца в общото образование</w:t>
      </w:r>
      <w:r>
        <w:rPr>
          <w:rStyle w:val="FootnoteReference"/>
          <w:rFonts w:ascii="Times New Roman" w:hAnsi="Times New Roman"/>
          <w:noProof/>
          <w:sz w:val="24"/>
        </w:rPr>
        <w:footnoteReference w:id="18"/>
      </w:r>
      <w:r>
        <w:rPr>
          <w:rFonts w:ascii="Times New Roman" w:hAnsi="Times New Roman"/>
          <w:noProof/>
          <w:sz w:val="24"/>
        </w:rPr>
        <w:t xml:space="preserve">, ромите продължават да бъдат изключени от пазара на труда и продължава да съществува сегрегация в образованието и жилищното настаняване. Поради това държавите членки следва да полагат повече усилия, за да </w:t>
      </w:r>
      <w:r>
        <w:rPr>
          <w:rFonts w:ascii="Times New Roman" w:hAnsi="Times New Roman"/>
          <w:b/>
          <w:noProof/>
          <w:sz w:val="24"/>
        </w:rPr>
        <w:t>гарантират ефективното практическо прилагане на антидискриминационното законодателство</w:t>
      </w:r>
      <w:r>
        <w:rPr>
          <w:rFonts w:ascii="Times New Roman" w:hAnsi="Times New Roman"/>
          <w:noProof/>
          <w:sz w:val="24"/>
        </w:rPr>
        <w:t xml:space="preserve">, с цел да се премахват по-успешно практиките на дискриминация и сегрегация. </w:t>
      </w:r>
    </w:p>
    <w:p>
      <w:pPr>
        <w:spacing w:after="0" w:line="240" w:lineRule="auto"/>
        <w:jc w:val="both"/>
        <w:rPr>
          <w:rFonts w:ascii="Times New Roman" w:hAnsi="Times New Roman"/>
          <w:bCs/>
          <w:noProof/>
          <w:sz w:val="24"/>
        </w:rPr>
      </w:pPr>
      <w:r>
        <w:rPr>
          <w:rFonts w:ascii="Times New Roman" w:hAnsi="Times New Roman"/>
          <w:noProof/>
          <w:sz w:val="24"/>
        </w:rPr>
        <w:t xml:space="preserve">Повечето държави членки докладваха за мерки, насочени към насърчаване на участието на ромите, но </w:t>
      </w:r>
      <w:r>
        <w:rPr>
          <w:rFonts w:ascii="Times New Roman" w:hAnsi="Times New Roman"/>
          <w:b/>
          <w:noProof/>
          <w:sz w:val="24"/>
        </w:rPr>
        <w:t>е необходимо да се обърне по-голямо внимание на ромската младеж</w:t>
      </w:r>
      <w:r>
        <w:rPr>
          <w:rFonts w:ascii="Times New Roman" w:hAnsi="Times New Roman"/>
          <w:noProof/>
          <w:sz w:val="24"/>
        </w:rPr>
        <w:t xml:space="preserve">. Положението на </w:t>
      </w:r>
      <w:r>
        <w:rPr>
          <w:rFonts w:ascii="Times New Roman" w:hAnsi="Times New Roman"/>
          <w:b/>
          <w:noProof/>
          <w:sz w:val="24"/>
        </w:rPr>
        <w:t>ромските деца</w:t>
      </w:r>
      <w:r>
        <w:rPr>
          <w:rFonts w:ascii="Times New Roman" w:hAnsi="Times New Roman"/>
          <w:noProof/>
          <w:sz w:val="24"/>
        </w:rPr>
        <w:t xml:space="preserve"> продължава да бъде особено обезпокоително. Някои държави членки предприемат мерки за борба с тормоза и сплашването. При все това ромските деца продължават да бъдат в изолация. В някои държави членки това е свързано с липсата на регистрация и документи за самоличност, слабото участие в образованието и грижите в ранна детска възраст, както и с по-високия процент на отпадналите от училище.</w:t>
      </w:r>
    </w:p>
    <w:p>
      <w:pPr>
        <w:spacing w:after="0" w:line="240" w:lineRule="auto"/>
        <w:jc w:val="both"/>
        <w:rPr>
          <w:rFonts w:ascii="Times New Roman" w:hAnsi="Times New Roman" w:cs="Times New Roman"/>
          <w:noProof/>
          <w:sz w:val="24"/>
        </w:rPr>
      </w:pPr>
    </w:p>
    <w:tbl>
      <w:tblPr>
        <w:tblStyle w:val="TableGrid"/>
        <w:tblW w:w="0" w:type="auto"/>
        <w:tblInd w:w="-5" w:type="dxa"/>
        <w:tblLook w:val="04A0" w:firstRow="1" w:lastRow="0" w:firstColumn="1" w:lastColumn="0" w:noHBand="0" w:noVBand="1"/>
      </w:tblPr>
      <w:tblGrid>
        <w:gridCol w:w="5925"/>
        <w:gridCol w:w="3285"/>
      </w:tblGrid>
      <w:tr>
        <w:tc>
          <w:tcPr>
            <w:tcW w:w="5925" w:type="dxa"/>
            <w:shd w:val="clear" w:color="auto" w:fill="D9D9D9" w:themeFill="background1" w:themeFillShade="D9"/>
          </w:tcPr>
          <w:p>
            <w:pPr>
              <w:spacing w:after="60"/>
              <w:jc w:val="both"/>
              <w:rPr>
                <w:rFonts w:ascii="Times New Roman" w:hAnsi="Times New Roman" w:cs="Times New Roman"/>
                <w:b/>
                <w:noProof/>
                <w:sz w:val="20"/>
                <w:szCs w:val="20"/>
              </w:rPr>
            </w:pPr>
            <w:r>
              <w:rPr>
                <w:rFonts w:ascii="Times New Roman" w:hAnsi="Times New Roman"/>
                <w:b/>
                <w:noProof/>
                <w:sz w:val="20"/>
              </w:rPr>
              <w:t>Мерки, препоръчани от Съвета</w:t>
            </w:r>
          </w:p>
        </w:tc>
        <w:tc>
          <w:tcPr>
            <w:tcW w:w="3285" w:type="dxa"/>
            <w:shd w:val="clear" w:color="auto" w:fill="D9D9D9" w:themeFill="background1" w:themeFillShade="D9"/>
          </w:tcPr>
          <w:p>
            <w:pPr>
              <w:spacing w:after="60"/>
              <w:jc w:val="both"/>
              <w:rPr>
                <w:rFonts w:ascii="Times New Roman" w:hAnsi="Times New Roman" w:cs="Times New Roman"/>
                <w:b/>
                <w:noProof/>
                <w:sz w:val="20"/>
                <w:szCs w:val="20"/>
              </w:rPr>
            </w:pPr>
            <w:r>
              <w:rPr>
                <w:rFonts w:ascii="Times New Roman" w:hAnsi="Times New Roman"/>
                <w:b/>
                <w:noProof/>
                <w:sz w:val="20"/>
              </w:rPr>
              <w:t>Държави членки, които са докладвали мярка</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 xml:space="preserve">Гарантиране на ефективно практическо прилагане на Директивата за расовото равенство </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BE, BG, CZ, DE, FI, HR, IT, LT, SI, SK, UK</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Прилагане на мерки за премахване на сегрегацията на регионално и местно равнище</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ES, HR, SK</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Гарантиране на пълно съответствие на мерките за принудително изселване с правото на ЕС и международните задължения в областта на правата на човека</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Повишаване на осведомеността относно ползите от интегрирането на ромите</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AT, ES, LV</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Повишаване на обществената осведоменост за многообразието на обществата, повишаване на чувствителността на общественото мнение към приобщаването на ромите</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AT, DE, ES, LV, PT, SI, SK,</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Борба с антиромската реторика и езика на омразата</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AT, DE, ES, HR, SE, SK</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Борба с множествената дискриминация на ромските деца и жени</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AT, CZ, DE, ES, HR, HU, PT, SE, SI, SK</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Борба с (домашното) насилие срещу жени и момичета</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AT, DE, EL, ES, FI, HR, HU, UK</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Борба с трафика на хора</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AT, BG, HR, HU, IT</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Борба с браковете с непълнолетни лица и принудителните бракове, както и с просията, в която участват деца</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 xml:space="preserve">SI </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 xml:space="preserve">Подкрепа за активното гражданско участие на ромите, като се насърчава тяхното участие в социалния, икономическия, политическия и културния живот </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AT, BE, BG, CZ, DE, ES, FI, HR, HU, LT, LV, PT, SE, SI SK, UK</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 xml:space="preserve">Насърчаване на обучението и наемането на квалифицирани медиатори </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BE, BG, CZ, ES, HR, PT, SI</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Повишаване на осведомеността на ромите за техните права</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AT, DE, ES, HR</w:t>
            </w:r>
          </w:p>
        </w:tc>
      </w:tr>
      <w:tr>
        <w:tc>
          <w:tcPr>
            <w:tcW w:w="5925" w:type="dxa"/>
            <w:vAlign w:val="center"/>
          </w:tcPr>
          <w:p>
            <w:pPr>
              <w:spacing w:after="60"/>
              <w:ind w:right="1"/>
              <w:rPr>
                <w:rFonts w:ascii="Times New Roman" w:hAnsi="Times New Roman" w:cs="Times New Roman"/>
                <w:noProof/>
                <w:sz w:val="20"/>
                <w:szCs w:val="20"/>
              </w:rPr>
            </w:pPr>
            <w:r>
              <w:rPr>
                <w:rFonts w:ascii="Times New Roman" w:hAnsi="Times New Roman"/>
                <w:noProof/>
                <w:sz w:val="20"/>
              </w:rPr>
              <w:t>Други</w:t>
            </w:r>
          </w:p>
        </w:tc>
        <w:tc>
          <w:tcPr>
            <w:tcW w:w="3285" w:type="dxa"/>
          </w:tcPr>
          <w:p>
            <w:pPr>
              <w:spacing w:after="60"/>
              <w:ind w:right="1"/>
              <w:jc w:val="both"/>
              <w:rPr>
                <w:rFonts w:ascii="Times New Roman" w:hAnsi="Times New Roman" w:cs="Times New Roman"/>
                <w:noProof/>
                <w:sz w:val="20"/>
                <w:szCs w:val="20"/>
              </w:rPr>
            </w:pPr>
            <w:r>
              <w:rPr>
                <w:rFonts w:ascii="Times New Roman" w:hAnsi="Times New Roman"/>
                <w:noProof/>
                <w:sz w:val="20"/>
              </w:rPr>
              <w:t>BE, BG, FR, HU, HR, IT, LV PT, UK</w:t>
            </w:r>
          </w:p>
        </w:tc>
      </w:tr>
    </w:tbl>
    <w:p>
      <w:pPr>
        <w:spacing w:before="120" w:after="60" w:line="240" w:lineRule="auto"/>
        <w:jc w:val="both"/>
        <w:rPr>
          <w:rFonts w:ascii="Times New Roman" w:hAnsi="Times New Roman" w:cs="Times New Roman"/>
          <w:noProof/>
          <w:sz w:val="24"/>
        </w:rPr>
      </w:pPr>
      <w:r>
        <w:rPr>
          <w:rFonts w:ascii="Times New Roman" w:hAnsi="Times New Roman"/>
          <w:noProof/>
          <w:color w:val="000000"/>
          <w:sz w:val="24"/>
        </w:rPr>
        <w:t xml:space="preserve">Въпросите, свързани с </w:t>
      </w:r>
      <w:r>
        <w:rPr>
          <w:rFonts w:ascii="Times New Roman" w:hAnsi="Times New Roman"/>
          <w:b/>
          <w:noProof/>
          <w:color w:val="000000"/>
          <w:sz w:val="24"/>
        </w:rPr>
        <w:t>жените от ромски произход</w:t>
      </w:r>
      <w:r>
        <w:rPr>
          <w:rFonts w:ascii="Times New Roman" w:hAnsi="Times New Roman"/>
          <w:noProof/>
          <w:color w:val="000000"/>
          <w:sz w:val="24"/>
        </w:rPr>
        <w:t>, се разглеждат преди всичко в рамките на общите мерки. Жените обаче са жертва на множество форми на дискриминация (насилие, трафик на хора, бракове преди навършване на пълнолетие и принудителни бракове, просия, в която участват деца) и поради това за тях следва да се приемат по-целенасочени мерки като част от стратегически подход, който отчита елементите, свързани с пола, и е съобразен с интересите на децата. В тези области до голяма степен липсват действия, въпреки индикациите за увеличаване на трафика на ромите за тези цели</w:t>
      </w:r>
      <w:r>
        <w:rPr>
          <w:rStyle w:val="FootnoteReference"/>
          <w:rFonts w:ascii="Times New Roman" w:hAnsi="Times New Roman"/>
          <w:noProof/>
        </w:rPr>
        <w:footnoteReference w:id="19"/>
      </w:r>
      <w:r>
        <w:rPr>
          <w:noProof/>
        </w:rPr>
        <w:t>.</w:t>
      </w:r>
    </w:p>
    <w:p>
      <w:pPr>
        <w:spacing w:after="60" w:line="240" w:lineRule="auto"/>
        <w:ind w:right="1"/>
        <w:jc w:val="both"/>
        <w:rPr>
          <w:rFonts w:ascii="Times New Roman" w:hAnsi="Times New Roman" w:cs="Times New Roman"/>
          <w:noProof/>
          <w:color w:val="000000"/>
          <w:sz w:val="24"/>
        </w:rPr>
      </w:pPr>
      <w:r>
        <w:rPr>
          <w:rFonts w:ascii="Times New Roman" w:hAnsi="Times New Roman"/>
          <w:noProof/>
          <w:sz w:val="24"/>
        </w:rPr>
        <w:t>Държавите членки следва да потърсят по-добро решение на специфичното положение на ромите, като използват комбинация от общи и целенасочени мерки, за да се гарантира техният реален равен достъп до права и общи услуги.</w:t>
      </w:r>
    </w:p>
    <w:p>
      <w:pPr>
        <w:spacing w:after="60" w:line="240" w:lineRule="auto"/>
        <w:ind w:right="1"/>
        <w:jc w:val="both"/>
        <w:rPr>
          <w:rFonts w:ascii="Times New Roman" w:hAnsi="Times New Roman" w:cs="Times New Roman"/>
          <w:b/>
          <w:noProof/>
          <w:sz w:val="24"/>
        </w:rPr>
      </w:pPr>
    </w:p>
    <w:p>
      <w:pPr>
        <w:spacing w:after="60" w:line="240" w:lineRule="auto"/>
        <w:ind w:right="1"/>
        <w:jc w:val="both"/>
        <w:rPr>
          <w:rFonts w:ascii="Times New Roman" w:hAnsi="Times New Roman" w:cs="Times New Roman"/>
          <w:b/>
          <w:noProof/>
          <w:sz w:val="24"/>
        </w:rPr>
      </w:pPr>
      <w:r>
        <w:rPr>
          <w:rFonts w:ascii="Times New Roman" w:hAnsi="Times New Roman"/>
          <w:b/>
          <w:noProof/>
          <w:sz w:val="24"/>
        </w:rPr>
        <w:t>3.2. Образование</w:t>
      </w:r>
    </w:p>
    <w:p>
      <w:pPr>
        <w:spacing w:after="240" w:line="240" w:lineRule="auto"/>
        <w:jc w:val="both"/>
        <w:rPr>
          <w:rFonts w:ascii="Times New Roman" w:hAnsi="Times New Roman" w:cs="Times New Roman"/>
          <w:noProof/>
          <w:sz w:val="24"/>
        </w:rPr>
      </w:pPr>
      <w:r>
        <w:rPr>
          <w:rFonts w:ascii="Times New Roman" w:hAnsi="Times New Roman"/>
          <w:b/>
          <w:noProof/>
          <w:sz w:val="24"/>
        </w:rPr>
        <w:t xml:space="preserve">Образованието продължава да е обект на най-голямо внимание в приеманите от държавите членки мерки за интеграция. </w:t>
      </w:r>
      <w:r>
        <w:rPr>
          <w:rFonts w:ascii="Times New Roman" w:hAnsi="Times New Roman"/>
          <w:noProof/>
          <w:sz w:val="24"/>
        </w:rPr>
        <w:t>Повечето държави членки докладваха за мерки, свързани с образованието и грижите в ранна детска възраст, преждевременното напускане на училище, приобщаващото образование и индивидуално съобразената подкрепа. Много държави членки приеха стратегии във връзка с ранното напускане на училище, но те не са изрично насочени към ромите, чийто дял сред преждевременно напусналите училище продължава да бъде пропорционално по-голям. Значително внимание е посветено на насърчаването на достъпа до образованието в ранна детска възраст и неговото качество, което цели да се избегне по-късно напускането на училище и да се подобрят образователните резултати. В последните години се наблюдава положителна промяна на модела, като се признава централната роля на образованието в ранна възраст. За това свидетелстват увеличаването на средствата, отпускани за изграждането на детски градини, и законодателните промени в няколко държави членки с цел да се въведе или разшири задължителното предучилищно образование</w:t>
      </w:r>
      <w:r>
        <w:rPr>
          <w:rStyle w:val="FootnoteReference"/>
          <w:rFonts w:ascii="Times New Roman" w:hAnsi="Times New Roman"/>
          <w:noProof/>
          <w:sz w:val="24"/>
        </w:rPr>
        <w:footnoteReference w:id="20"/>
      </w:r>
      <w:r>
        <w:rPr>
          <w:noProof/>
        </w:rPr>
        <w:t>.</w:t>
      </w:r>
    </w:p>
    <w:tbl>
      <w:tblPr>
        <w:tblStyle w:val="TableGrid"/>
        <w:tblW w:w="9214" w:type="dxa"/>
        <w:tblInd w:w="-5" w:type="dxa"/>
        <w:tblLook w:val="04A0" w:firstRow="1" w:lastRow="0" w:firstColumn="1" w:lastColumn="0" w:noHBand="0" w:noVBand="1"/>
      </w:tblPr>
      <w:tblGrid>
        <w:gridCol w:w="4224"/>
        <w:gridCol w:w="4990"/>
      </w:tblGrid>
      <w:tr>
        <w:tc>
          <w:tcPr>
            <w:tcW w:w="4224" w:type="dxa"/>
            <w:shd w:val="clear" w:color="auto" w:fill="D9D9D9" w:themeFill="background1" w:themeFillShade="D9"/>
          </w:tcPr>
          <w:p>
            <w:pPr>
              <w:keepNext/>
              <w:spacing w:after="60"/>
              <w:jc w:val="both"/>
              <w:rPr>
                <w:rFonts w:ascii="Times New Roman" w:hAnsi="Times New Roman" w:cs="Times New Roman"/>
                <w:b/>
                <w:noProof/>
                <w:sz w:val="20"/>
                <w:szCs w:val="20"/>
              </w:rPr>
            </w:pPr>
            <w:r>
              <w:rPr>
                <w:rFonts w:ascii="Times New Roman" w:hAnsi="Times New Roman"/>
                <w:b/>
                <w:noProof/>
                <w:sz w:val="20"/>
              </w:rPr>
              <w:t>Мерки, препоръчани от Съвета</w:t>
            </w:r>
          </w:p>
        </w:tc>
        <w:tc>
          <w:tcPr>
            <w:tcW w:w="4990" w:type="dxa"/>
            <w:shd w:val="clear" w:color="auto" w:fill="D9D9D9" w:themeFill="background1" w:themeFillShade="D9"/>
          </w:tcPr>
          <w:p>
            <w:pPr>
              <w:keepNext/>
              <w:spacing w:after="60"/>
              <w:jc w:val="both"/>
              <w:rPr>
                <w:rFonts w:ascii="Times New Roman" w:hAnsi="Times New Roman" w:cs="Times New Roman"/>
                <w:b/>
                <w:noProof/>
                <w:sz w:val="20"/>
                <w:szCs w:val="20"/>
              </w:rPr>
            </w:pPr>
            <w:r>
              <w:rPr>
                <w:rFonts w:ascii="Times New Roman" w:hAnsi="Times New Roman"/>
                <w:b/>
                <w:noProof/>
                <w:sz w:val="20"/>
              </w:rPr>
              <w:t>Държави членки, които са докладвали мярка</w:t>
            </w:r>
          </w:p>
        </w:tc>
      </w:tr>
      <w:tr>
        <w:tc>
          <w:tcPr>
            <w:tcW w:w="4224" w:type="dxa"/>
            <w:vAlign w:val="center"/>
          </w:tcPr>
          <w:p>
            <w:pPr>
              <w:keepNext/>
              <w:spacing w:after="60"/>
              <w:rPr>
                <w:rFonts w:ascii="Times New Roman" w:hAnsi="Times New Roman" w:cs="Times New Roman"/>
                <w:noProof/>
                <w:sz w:val="20"/>
                <w:szCs w:val="20"/>
              </w:rPr>
            </w:pPr>
            <w:r>
              <w:rPr>
                <w:rFonts w:ascii="Times New Roman" w:hAnsi="Times New Roman"/>
                <w:noProof/>
                <w:color w:val="000000"/>
                <w:sz w:val="20"/>
              </w:rPr>
              <w:t>Премахване на сегрегацията</w:t>
            </w:r>
          </w:p>
        </w:tc>
        <w:tc>
          <w:tcPr>
            <w:tcW w:w="4990" w:type="dxa"/>
          </w:tcPr>
          <w:p>
            <w:pPr>
              <w:keepNext/>
              <w:spacing w:after="60"/>
              <w:jc w:val="both"/>
              <w:rPr>
                <w:rFonts w:ascii="Times New Roman" w:hAnsi="Times New Roman" w:cs="Times New Roman"/>
                <w:noProof/>
                <w:sz w:val="20"/>
                <w:szCs w:val="20"/>
              </w:rPr>
            </w:pPr>
            <w:r>
              <w:rPr>
                <w:rFonts w:ascii="Times New Roman" w:hAnsi="Times New Roman"/>
                <w:noProof/>
                <w:sz w:val="20"/>
              </w:rPr>
              <w:t>BE, BG, ES, IE, IT, RO, SI, SK</w:t>
            </w:r>
          </w:p>
        </w:tc>
      </w:tr>
      <w:tr>
        <w:tc>
          <w:tcPr>
            <w:tcW w:w="4224" w:type="dxa"/>
            <w:vAlign w:val="center"/>
          </w:tcPr>
          <w:p>
            <w:pPr>
              <w:keepNext/>
              <w:spacing w:after="60"/>
              <w:rPr>
                <w:rFonts w:ascii="Times New Roman" w:hAnsi="Times New Roman" w:cs="Times New Roman"/>
                <w:noProof/>
                <w:sz w:val="20"/>
                <w:szCs w:val="20"/>
              </w:rPr>
            </w:pPr>
            <w:r>
              <w:rPr>
                <w:rFonts w:ascii="Times New Roman" w:hAnsi="Times New Roman"/>
                <w:noProof/>
                <w:color w:val="000000"/>
                <w:sz w:val="20"/>
              </w:rPr>
              <w:t>Прекратяване на погрешната практика за настаняване в училища за деца със специални потребности</w:t>
            </w:r>
          </w:p>
        </w:tc>
        <w:tc>
          <w:tcPr>
            <w:tcW w:w="4990" w:type="dxa"/>
          </w:tcPr>
          <w:p>
            <w:pPr>
              <w:keepNext/>
              <w:spacing w:after="60"/>
              <w:jc w:val="both"/>
              <w:rPr>
                <w:rFonts w:ascii="Times New Roman" w:hAnsi="Times New Roman" w:cs="Times New Roman"/>
                <w:noProof/>
                <w:sz w:val="20"/>
                <w:szCs w:val="20"/>
              </w:rPr>
            </w:pPr>
            <w:r>
              <w:rPr>
                <w:rFonts w:ascii="Times New Roman" w:hAnsi="Times New Roman"/>
                <w:noProof/>
                <w:sz w:val="20"/>
              </w:rPr>
              <w:t>BG, CZ, SK</w:t>
            </w:r>
          </w:p>
        </w:tc>
      </w:tr>
      <w:tr>
        <w:tc>
          <w:tcPr>
            <w:tcW w:w="4224" w:type="dxa"/>
            <w:vAlign w:val="center"/>
          </w:tcPr>
          <w:p>
            <w:pPr>
              <w:keepNext/>
              <w:spacing w:after="60"/>
              <w:rPr>
                <w:rFonts w:ascii="Times New Roman" w:hAnsi="Times New Roman" w:cs="Times New Roman"/>
                <w:noProof/>
                <w:color w:val="000000"/>
                <w:sz w:val="20"/>
                <w:szCs w:val="20"/>
              </w:rPr>
            </w:pPr>
            <w:r>
              <w:rPr>
                <w:rFonts w:ascii="Times New Roman" w:hAnsi="Times New Roman"/>
                <w:noProof/>
                <w:color w:val="000000"/>
                <w:sz w:val="20"/>
              </w:rPr>
              <w:t>Борба с преждевременното напускане на училище</w:t>
            </w:r>
          </w:p>
        </w:tc>
        <w:tc>
          <w:tcPr>
            <w:tcW w:w="4990" w:type="dxa"/>
          </w:tcPr>
          <w:p>
            <w:pPr>
              <w:keepNext/>
              <w:spacing w:after="60"/>
              <w:jc w:val="both"/>
              <w:rPr>
                <w:rFonts w:ascii="Times New Roman" w:hAnsi="Times New Roman" w:cs="Times New Roman"/>
                <w:noProof/>
                <w:sz w:val="20"/>
                <w:szCs w:val="20"/>
              </w:rPr>
            </w:pPr>
            <w:r>
              <w:rPr>
                <w:rFonts w:ascii="Times New Roman" w:hAnsi="Times New Roman"/>
                <w:noProof/>
                <w:sz w:val="20"/>
              </w:rPr>
              <w:t>AT, BE, BG, CY, DE, ES, FI, FR, HR, HU, IT, RO, SE, SK, UK</w:t>
            </w:r>
          </w:p>
        </w:tc>
      </w:tr>
      <w:tr>
        <w:tc>
          <w:tcPr>
            <w:tcW w:w="4224" w:type="dxa"/>
            <w:vAlign w:val="center"/>
          </w:tcPr>
          <w:p>
            <w:pPr>
              <w:keepNext/>
              <w:spacing w:after="60"/>
              <w:rPr>
                <w:rFonts w:ascii="Times New Roman" w:hAnsi="Times New Roman" w:cs="Times New Roman"/>
                <w:noProof/>
                <w:color w:val="000000"/>
                <w:sz w:val="20"/>
                <w:szCs w:val="20"/>
              </w:rPr>
            </w:pPr>
            <w:r>
              <w:rPr>
                <w:rFonts w:ascii="Times New Roman" w:hAnsi="Times New Roman"/>
                <w:noProof/>
                <w:color w:val="000000"/>
                <w:sz w:val="20"/>
              </w:rPr>
              <w:t>Подобряване на достъпа до образование и грижи в ранна детска възраст и качеството им</w:t>
            </w:r>
          </w:p>
        </w:tc>
        <w:tc>
          <w:tcPr>
            <w:tcW w:w="4990" w:type="dxa"/>
          </w:tcPr>
          <w:p>
            <w:pPr>
              <w:keepNext/>
              <w:spacing w:after="60"/>
              <w:jc w:val="both"/>
              <w:rPr>
                <w:rFonts w:ascii="Times New Roman" w:hAnsi="Times New Roman" w:cs="Times New Roman"/>
                <w:noProof/>
                <w:sz w:val="20"/>
                <w:szCs w:val="20"/>
              </w:rPr>
            </w:pPr>
            <w:r>
              <w:rPr>
                <w:rFonts w:ascii="Times New Roman" w:hAnsi="Times New Roman"/>
                <w:noProof/>
                <w:sz w:val="20"/>
              </w:rPr>
              <w:t>AT, BG, CZ, ES, FI, HR, HU, IT, PL, RO, SK</w:t>
            </w:r>
          </w:p>
        </w:tc>
      </w:tr>
      <w:tr>
        <w:tc>
          <w:tcPr>
            <w:tcW w:w="4224" w:type="dxa"/>
            <w:vAlign w:val="center"/>
          </w:tcPr>
          <w:p>
            <w:pPr>
              <w:keepNext/>
              <w:spacing w:after="60"/>
              <w:rPr>
                <w:rFonts w:ascii="Times New Roman" w:hAnsi="Times New Roman" w:cs="Times New Roman"/>
                <w:noProof/>
                <w:color w:val="000000"/>
                <w:sz w:val="20"/>
                <w:szCs w:val="20"/>
              </w:rPr>
            </w:pPr>
            <w:r>
              <w:rPr>
                <w:rFonts w:ascii="Times New Roman" w:hAnsi="Times New Roman"/>
                <w:noProof/>
                <w:color w:val="000000"/>
                <w:sz w:val="20"/>
              </w:rPr>
              <w:t>Предоставяне на индивидуално съобразена подкрепа</w:t>
            </w:r>
          </w:p>
        </w:tc>
        <w:tc>
          <w:tcPr>
            <w:tcW w:w="4990" w:type="dxa"/>
          </w:tcPr>
          <w:p>
            <w:pPr>
              <w:keepNext/>
              <w:spacing w:after="60"/>
              <w:jc w:val="both"/>
              <w:rPr>
                <w:rFonts w:ascii="Times New Roman" w:hAnsi="Times New Roman" w:cs="Times New Roman"/>
                <w:noProof/>
                <w:sz w:val="20"/>
                <w:szCs w:val="20"/>
              </w:rPr>
            </w:pPr>
            <w:r>
              <w:rPr>
                <w:rFonts w:ascii="Times New Roman" w:hAnsi="Times New Roman"/>
                <w:noProof/>
                <w:sz w:val="20"/>
              </w:rPr>
              <w:t>AT, CZ, DE, ES, HR, IT, LT, LV, PL, RO, SK, UK</w:t>
            </w:r>
          </w:p>
        </w:tc>
      </w:tr>
      <w:tr>
        <w:tc>
          <w:tcPr>
            <w:tcW w:w="4224" w:type="dxa"/>
            <w:vAlign w:val="center"/>
          </w:tcPr>
          <w:p>
            <w:pPr>
              <w:keepNext/>
              <w:spacing w:after="60"/>
              <w:rPr>
                <w:rFonts w:ascii="Times New Roman" w:hAnsi="Times New Roman" w:cs="Times New Roman"/>
                <w:noProof/>
                <w:color w:val="000000"/>
                <w:sz w:val="20"/>
                <w:szCs w:val="20"/>
              </w:rPr>
            </w:pPr>
            <w:r>
              <w:rPr>
                <w:rFonts w:ascii="Times New Roman" w:hAnsi="Times New Roman"/>
                <w:noProof/>
                <w:color w:val="000000"/>
                <w:sz w:val="20"/>
              </w:rPr>
              <w:t>Насърчаване на приобщаващи методи на преподаване и учене</w:t>
            </w:r>
          </w:p>
        </w:tc>
        <w:tc>
          <w:tcPr>
            <w:tcW w:w="4990" w:type="dxa"/>
          </w:tcPr>
          <w:p>
            <w:pPr>
              <w:keepNext/>
              <w:spacing w:after="60"/>
              <w:jc w:val="both"/>
              <w:rPr>
                <w:rFonts w:ascii="Times New Roman" w:hAnsi="Times New Roman" w:cs="Times New Roman"/>
                <w:noProof/>
                <w:sz w:val="20"/>
                <w:szCs w:val="20"/>
              </w:rPr>
            </w:pPr>
            <w:r>
              <w:rPr>
                <w:rFonts w:ascii="Times New Roman" w:hAnsi="Times New Roman"/>
                <w:noProof/>
                <w:sz w:val="20"/>
              </w:rPr>
              <w:t>AT, BG, CY, CZ, DE, ES, HR, HU, LV, PT, RO, SI,SK, UK</w:t>
            </w:r>
          </w:p>
        </w:tc>
      </w:tr>
      <w:tr>
        <w:tc>
          <w:tcPr>
            <w:tcW w:w="4224" w:type="dxa"/>
            <w:vAlign w:val="center"/>
          </w:tcPr>
          <w:p>
            <w:pPr>
              <w:keepNext/>
              <w:spacing w:after="60"/>
              <w:rPr>
                <w:rFonts w:ascii="Times New Roman" w:hAnsi="Times New Roman" w:cs="Times New Roman"/>
                <w:noProof/>
                <w:color w:val="000000"/>
                <w:sz w:val="20"/>
                <w:szCs w:val="20"/>
              </w:rPr>
            </w:pPr>
            <w:r>
              <w:rPr>
                <w:rFonts w:ascii="Times New Roman" w:hAnsi="Times New Roman"/>
                <w:noProof/>
                <w:color w:val="000000"/>
                <w:sz w:val="20"/>
              </w:rPr>
              <w:t>Насърчаване на участието на родителите и обучение на учителите</w:t>
            </w:r>
          </w:p>
        </w:tc>
        <w:tc>
          <w:tcPr>
            <w:tcW w:w="4990" w:type="dxa"/>
          </w:tcPr>
          <w:p>
            <w:pPr>
              <w:keepNext/>
              <w:spacing w:after="60"/>
              <w:jc w:val="both"/>
              <w:rPr>
                <w:rFonts w:ascii="Times New Roman" w:hAnsi="Times New Roman" w:cs="Times New Roman"/>
                <w:noProof/>
                <w:sz w:val="20"/>
                <w:szCs w:val="20"/>
              </w:rPr>
            </w:pPr>
            <w:r>
              <w:rPr>
                <w:rFonts w:ascii="Times New Roman" w:hAnsi="Times New Roman"/>
                <w:noProof/>
                <w:sz w:val="20"/>
              </w:rPr>
              <w:t>AT, BE, BG, CY, DE, ES, FI, IT, LV, SI, SK</w:t>
            </w:r>
          </w:p>
        </w:tc>
      </w:tr>
      <w:tr>
        <w:tc>
          <w:tcPr>
            <w:tcW w:w="4224" w:type="dxa"/>
            <w:vAlign w:val="center"/>
          </w:tcPr>
          <w:p>
            <w:pPr>
              <w:keepNext/>
              <w:spacing w:after="60"/>
              <w:rPr>
                <w:rFonts w:ascii="Times New Roman" w:hAnsi="Times New Roman" w:cs="Times New Roman"/>
                <w:noProof/>
                <w:color w:val="000000"/>
                <w:sz w:val="20"/>
                <w:szCs w:val="20"/>
              </w:rPr>
            </w:pPr>
            <w:r>
              <w:rPr>
                <w:rFonts w:ascii="Times New Roman" w:hAnsi="Times New Roman"/>
                <w:noProof/>
                <w:color w:val="000000"/>
                <w:sz w:val="20"/>
              </w:rPr>
              <w:t>Насърчаване на участието и завършването на средно и висше образование</w:t>
            </w:r>
          </w:p>
        </w:tc>
        <w:tc>
          <w:tcPr>
            <w:tcW w:w="4990" w:type="dxa"/>
          </w:tcPr>
          <w:p>
            <w:pPr>
              <w:keepNext/>
              <w:spacing w:after="60"/>
              <w:jc w:val="both"/>
              <w:rPr>
                <w:rFonts w:ascii="Times New Roman" w:hAnsi="Times New Roman" w:cs="Times New Roman"/>
                <w:noProof/>
                <w:sz w:val="20"/>
                <w:szCs w:val="20"/>
              </w:rPr>
            </w:pPr>
            <w:r>
              <w:rPr>
                <w:rFonts w:ascii="Times New Roman" w:hAnsi="Times New Roman"/>
                <w:noProof/>
                <w:sz w:val="20"/>
              </w:rPr>
              <w:t>AT, BG, CZ, DE, ES, FI, HR, HU, PL, UK</w:t>
            </w:r>
          </w:p>
        </w:tc>
      </w:tr>
      <w:tr>
        <w:tc>
          <w:tcPr>
            <w:tcW w:w="4224" w:type="dxa"/>
            <w:vAlign w:val="center"/>
          </w:tcPr>
          <w:p>
            <w:pPr>
              <w:keepNext/>
              <w:spacing w:after="60"/>
              <w:rPr>
                <w:rFonts w:ascii="Times New Roman" w:hAnsi="Times New Roman" w:cs="Times New Roman"/>
                <w:noProof/>
                <w:sz w:val="20"/>
                <w:szCs w:val="20"/>
              </w:rPr>
            </w:pPr>
            <w:r>
              <w:rPr>
                <w:rFonts w:ascii="Times New Roman" w:hAnsi="Times New Roman"/>
                <w:noProof/>
                <w:color w:val="000000"/>
                <w:sz w:val="20"/>
              </w:rPr>
              <w:t>Разширяване на достъпа до втори шанс за получаване на образование и учене за възрастни</w:t>
            </w:r>
          </w:p>
        </w:tc>
        <w:tc>
          <w:tcPr>
            <w:tcW w:w="4990" w:type="dxa"/>
          </w:tcPr>
          <w:p>
            <w:pPr>
              <w:keepNext/>
              <w:spacing w:after="60"/>
              <w:jc w:val="both"/>
              <w:rPr>
                <w:rFonts w:ascii="Times New Roman" w:hAnsi="Times New Roman" w:cs="Times New Roman"/>
                <w:noProof/>
                <w:sz w:val="20"/>
                <w:szCs w:val="20"/>
              </w:rPr>
            </w:pPr>
            <w:r>
              <w:rPr>
                <w:rFonts w:ascii="Times New Roman" w:hAnsi="Times New Roman"/>
                <w:noProof/>
                <w:sz w:val="20"/>
              </w:rPr>
              <w:t>UK, BG, CY, DE, ES, SI</w:t>
            </w:r>
          </w:p>
        </w:tc>
      </w:tr>
      <w:tr>
        <w:tc>
          <w:tcPr>
            <w:tcW w:w="4224" w:type="dxa"/>
            <w:vAlign w:val="center"/>
          </w:tcPr>
          <w:p>
            <w:pPr>
              <w:spacing w:after="60"/>
              <w:ind w:right="1"/>
              <w:rPr>
                <w:rFonts w:ascii="Times New Roman" w:hAnsi="Times New Roman" w:cs="Times New Roman"/>
                <w:noProof/>
                <w:sz w:val="20"/>
                <w:szCs w:val="20"/>
              </w:rPr>
            </w:pPr>
            <w:r>
              <w:rPr>
                <w:rFonts w:ascii="Times New Roman" w:hAnsi="Times New Roman"/>
                <w:noProof/>
                <w:color w:val="000000"/>
                <w:sz w:val="20"/>
              </w:rPr>
              <w:t>Други</w:t>
            </w:r>
          </w:p>
        </w:tc>
        <w:tc>
          <w:tcPr>
            <w:tcW w:w="4990" w:type="dxa"/>
          </w:tcPr>
          <w:p>
            <w:pPr>
              <w:spacing w:after="60"/>
              <w:ind w:right="1"/>
              <w:jc w:val="both"/>
              <w:rPr>
                <w:rFonts w:ascii="Times New Roman" w:hAnsi="Times New Roman" w:cs="Times New Roman"/>
                <w:b/>
                <w:noProof/>
                <w:sz w:val="20"/>
                <w:szCs w:val="20"/>
              </w:rPr>
            </w:pPr>
            <w:r>
              <w:rPr>
                <w:rFonts w:ascii="Times New Roman" w:hAnsi="Times New Roman"/>
                <w:noProof/>
                <w:sz w:val="20"/>
              </w:rPr>
              <w:t>BE, CZ, ES, FI, DE, HR, HU, IT, LT, LV, RO, SI, SK, UK</w:t>
            </w:r>
          </w:p>
        </w:tc>
      </w:tr>
    </w:tbl>
    <w:p>
      <w:pPr>
        <w:spacing w:before="120" w:after="60" w:line="240" w:lineRule="auto"/>
        <w:jc w:val="both"/>
        <w:rPr>
          <w:rFonts w:ascii="Times New Roman" w:hAnsi="Times New Roman"/>
          <w:bCs/>
          <w:noProof/>
          <w:sz w:val="24"/>
        </w:rPr>
      </w:pPr>
      <w:r>
        <w:rPr>
          <w:rFonts w:ascii="Times New Roman" w:hAnsi="Times New Roman"/>
          <w:noProof/>
          <w:sz w:val="24"/>
        </w:rPr>
        <w:t xml:space="preserve">Едно по-скорошно положително развитие е насърчаването на приобщаващо образование и индивидуално съобразена подкрепа за деца в рамките на общото образование, като по този начин се предотвратява настаняването в специални училища въз основа на социалния произход. В някои държави членки беше подсилена правната уредба, която способства приобщаването, но тя следва да бъде съпроводена от ефективни мерки за прилагане. За постигането на осезаеми резултати са необходими подходящ мониторинг, устойчиво финансиране и подходящо обучение на учителите. Следва да се обърне по-голямо внимание на предоставянето на втори шанс за получаване на образование и ученето за възрастни, като се улесни преходът между нивата на образование, включително висше образование. Като приоритет следва се приеме изпълнението на активни мерки за премахване на сегрегацията, за да се осигури качествено образование за ромските деца в рамките на общообразователната система. Програмите за обучение следва да отговарят на действителните нужди на пазара на труда, за да се постигне реално подобряване на перспективите за заетост.  </w:t>
      </w:r>
    </w:p>
    <w:p>
      <w:pPr>
        <w:spacing w:before="120" w:after="60" w:line="240" w:lineRule="auto"/>
        <w:jc w:val="both"/>
        <w:rPr>
          <w:rFonts w:ascii="Times New Roman" w:hAnsi="Times New Roman" w:cs="Times New Roman"/>
          <w:noProof/>
          <w:sz w:val="24"/>
        </w:rPr>
      </w:pPr>
    </w:p>
    <w:p>
      <w:pPr>
        <w:keepNext/>
        <w:spacing w:after="120" w:line="240" w:lineRule="auto"/>
        <w:jc w:val="both"/>
        <w:rPr>
          <w:rFonts w:ascii="Times New Roman" w:hAnsi="Times New Roman" w:cs="Times New Roman"/>
          <w:b/>
          <w:noProof/>
          <w:sz w:val="24"/>
        </w:rPr>
      </w:pPr>
      <w:r>
        <w:rPr>
          <w:rFonts w:ascii="Times New Roman" w:hAnsi="Times New Roman"/>
          <w:b/>
          <w:noProof/>
          <w:sz w:val="24"/>
        </w:rPr>
        <w:t>3.3. Заетост</w:t>
      </w:r>
    </w:p>
    <w:p>
      <w:pPr>
        <w:keepNext/>
        <w:spacing w:after="120" w:line="240" w:lineRule="auto"/>
        <w:jc w:val="both"/>
        <w:rPr>
          <w:rFonts w:ascii="Times New Roman" w:hAnsi="Times New Roman" w:cs="Times New Roman"/>
          <w:noProof/>
          <w:sz w:val="24"/>
          <w:szCs w:val="24"/>
        </w:rPr>
      </w:pPr>
      <w:r>
        <w:rPr>
          <w:rFonts w:ascii="Times New Roman" w:hAnsi="Times New Roman"/>
          <w:b/>
          <w:noProof/>
          <w:sz w:val="24"/>
        </w:rPr>
        <w:t xml:space="preserve">Участието на ромите на пазара на труда продължава да бъде много слабо. </w:t>
      </w:r>
      <w:r>
        <w:rPr>
          <w:rFonts w:ascii="Times New Roman" w:hAnsi="Times New Roman"/>
          <w:noProof/>
          <w:sz w:val="24"/>
        </w:rPr>
        <w:t>Държавите членки отдадоха приоритет на общите мерки, насочени към безработните, обучението и субсидираните работни места за трайно безработните лица. Освен това държавите членки предлагат активизиране/общественополезен труд и мерки за лицата с мигрантски произход, без обаче това да има значително въздействие за ромите. Повечето от тях докладваха за мерки в подкрепа на първоначален професионален опит, професионално обучение или обучение на работното място, учене през целия живот и развитие на уменията. Няколко държави членки предприеха инициативи за общи услуги в областта на заетостта и самостоятелната заетост или предприемачеството. Въпреки всички тези мерки ромите продължават да бъдат най-слабо представената група на пазара на труда. Ниските нива на образование и умения и широко разпространената дискриминация са фактори, обясняващи лошите резултати в областта на заетостта. Възможно е активизирането и общественополезният труд да са допринесли за по-добри статистически резултати, но вместо да осигурят преход към отворения пазар на труда, те имаха по-скоро обратен ефект, задържайки участниците в тези мерки на нископлатени работни места с ниско качество, които са недостатъчни за преборване на бедността.</w:t>
      </w:r>
    </w:p>
    <w:tbl>
      <w:tblPr>
        <w:tblStyle w:val="TableGrid"/>
        <w:tblW w:w="9214" w:type="dxa"/>
        <w:tblInd w:w="-5" w:type="dxa"/>
        <w:tblLook w:val="04A0" w:firstRow="1" w:lastRow="0" w:firstColumn="1" w:lastColumn="0" w:noHBand="0" w:noVBand="1"/>
      </w:tblPr>
      <w:tblGrid>
        <w:gridCol w:w="4791"/>
        <w:gridCol w:w="4423"/>
      </w:tblGrid>
      <w:tr>
        <w:tc>
          <w:tcPr>
            <w:tcW w:w="4791" w:type="dxa"/>
            <w:shd w:val="clear" w:color="auto" w:fill="D9D9D9" w:themeFill="background1" w:themeFillShade="D9"/>
          </w:tcPr>
          <w:p>
            <w:pPr>
              <w:keepNext/>
              <w:spacing w:after="60"/>
              <w:jc w:val="both"/>
              <w:rPr>
                <w:rFonts w:ascii="Times New Roman" w:hAnsi="Times New Roman" w:cs="Times New Roman"/>
                <w:b/>
                <w:noProof/>
                <w:sz w:val="20"/>
                <w:szCs w:val="20"/>
              </w:rPr>
            </w:pPr>
            <w:r>
              <w:rPr>
                <w:rFonts w:ascii="Times New Roman" w:hAnsi="Times New Roman"/>
                <w:b/>
                <w:noProof/>
                <w:sz w:val="20"/>
              </w:rPr>
              <w:t>Мерки, препоръчани от Съвета</w:t>
            </w:r>
          </w:p>
        </w:tc>
        <w:tc>
          <w:tcPr>
            <w:tcW w:w="4423" w:type="dxa"/>
            <w:shd w:val="clear" w:color="auto" w:fill="D9D9D9" w:themeFill="background1" w:themeFillShade="D9"/>
          </w:tcPr>
          <w:p>
            <w:pPr>
              <w:keepNext/>
              <w:spacing w:after="60"/>
              <w:jc w:val="both"/>
              <w:rPr>
                <w:rFonts w:ascii="Times New Roman" w:hAnsi="Times New Roman" w:cs="Times New Roman"/>
                <w:b/>
                <w:noProof/>
                <w:sz w:val="20"/>
                <w:szCs w:val="20"/>
              </w:rPr>
            </w:pPr>
            <w:r>
              <w:rPr>
                <w:rFonts w:ascii="Times New Roman" w:hAnsi="Times New Roman"/>
                <w:b/>
                <w:noProof/>
                <w:sz w:val="20"/>
              </w:rPr>
              <w:t>Държави членки, които са докладвали мярка</w:t>
            </w:r>
          </w:p>
        </w:tc>
      </w:tr>
      <w:tr>
        <w:tc>
          <w:tcPr>
            <w:tcW w:w="4791" w:type="dxa"/>
          </w:tcPr>
          <w:p>
            <w:pPr>
              <w:keepNext/>
              <w:spacing w:after="60"/>
              <w:jc w:val="both"/>
              <w:rPr>
                <w:rFonts w:ascii="Times New Roman" w:hAnsi="Times New Roman" w:cs="Times New Roman"/>
                <w:noProof/>
                <w:sz w:val="20"/>
                <w:szCs w:val="20"/>
              </w:rPr>
            </w:pPr>
            <w:r>
              <w:rPr>
                <w:rFonts w:ascii="Times New Roman" w:hAnsi="Times New Roman"/>
                <w:noProof/>
                <w:sz w:val="20"/>
              </w:rPr>
              <w:t>Подпомагане на първоначалния професионален опит, професионалното обучение, обучението в процеса на работа и ученето през целия живот</w:t>
            </w:r>
          </w:p>
        </w:tc>
        <w:tc>
          <w:tcPr>
            <w:tcW w:w="4423" w:type="dxa"/>
          </w:tcPr>
          <w:p>
            <w:pPr>
              <w:keepNext/>
              <w:spacing w:after="60"/>
              <w:jc w:val="both"/>
              <w:rPr>
                <w:rFonts w:ascii="Times New Roman" w:hAnsi="Times New Roman" w:cs="Times New Roman"/>
                <w:noProof/>
                <w:sz w:val="20"/>
                <w:szCs w:val="20"/>
              </w:rPr>
            </w:pPr>
            <w:r>
              <w:rPr>
                <w:rFonts w:ascii="Times New Roman" w:hAnsi="Times New Roman"/>
                <w:noProof/>
                <w:sz w:val="20"/>
              </w:rPr>
              <w:t>AT, BE, BG, DE, EL, ES, FI, HR, HU, IT, LT, LV, PL, PT,SI, SK, UK</w:t>
            </w:r>
          </w:p>
        </w:tc>
      </w:tr>
      <w:tr>
        <w:tc>
          <w:tcPr>
            <w:tcW w:w="4791" w:type="dxa"/>
          </w:tcPr>
          <w:p>
            <w:pPr>
              <w:keepNext/>
              <w:spacing w:after="60"/>
              <w:jc w:val="both"/>
              <w:rPr>
                <w:rFonts w:ascii="Times New Roman" w:hAnsi="Times New Roman" w:cs="Times New Roman"/>
                <w:noProof/>
                <w:sz w:val="20"/>
                <w:szCs w:val="20"/>
              </w:rPr>
            </w:pPr>
            <w:r>
              <w:rPr>
                <w:rFonts w:ascii="Times New Roman" w:hAnsi="Times New Roman"/>
                <w:noProof/>
                <w:sz w:val="20"/>
              </w:rPr>
              <w:t>Подкрепа за самостоятелната заетост и предприемачеството</w:t>
            </w:r>
          </w:p>
        </w:tc>
        <w:tc>
          <w:tcPr>
            <w:tcW w:w="4423" w:type="dxa"/>
          </w:tcPr>
          <w:p>
            <w:pPr>
              <w:keepNext/>
              <w:spacing w:after="60"/>
              <w:jc w:val="both"/>
              <w:rPr>
                <w:rFonts w:ascii="Times New Roman" w:hAnsi="Times New Roman" w:cs="Times New Roman"/>
                <w:noProof/>
                <w:sz w:val="20"/>
                <w:szCs w:val="20"/>
              </w:rPr>
            </w:pPr>
            <w:r>
              <w:rPr>
                <w:rFonts w:ascii="Times New Roman" w:hAnsi="Times New Roman"/>
                <w:noProof/>
                <w:sz w:val="20"/>
              </w:rPr>
              <w:t>AT, BE, BG, ES, HR, HU, LT, SI, SK</w:t>
            </w:r>
          </w:p>
        </w:tc>
      </w:tr>
      <w:tr>
        <w:tc>
          <w:tcPr>
            <w:tcW w:w="4791" w:type="dxa"/>
          </w:tcPr>
          <w:p>
            <w:pPr>
              <w:keepNext/>
              <w:spacing w:after="60"/>
              <w:jc w:val="both"/>
              <w:rPr>
                <w:rFonts w:ascii="Times New Roman" w:hAnsi="Times New Roman" w:cs="Times New Roman"/>
                <w:noProof/>
                <w:sz w:val="20"/>
                <w:szCs w:val="20"/>
              </w:rPr>
            </w:pPr>
            <w:r>
              <w:rPr>
                <w:rFonts w:ascii="Times New Roman" w:hAnsi="Times New Roman"/>
                <w:noProof/>
                <w:sz w:val="20"/>
              </w:rPr>
              <w:t>Предоставяне на равен достъп до основните обществени служби по заетостта и индивидуално съобразена подкрепа</w:t>
            </w:r>
          </w:p>
        </w:tc>
        <w:tc>
          <w:tcPr>
            <w:tcW w:w="4423" w:type="dxa"/>
          </w:tcPr>
          <w:p>
            <w:pPr>
              <w:keepNext/>
              <w:spacing w:after="60"/>
              <w:jc w:val="both"/>
              <w:rPr>
                <w:rFonts w:ascii="Times New Roman" w:hAnsi="Times New Roman" w:cs="Times New Roman"/>
                <w:noProof/>
                <w:sz w:val="20"/>
                <w:szCs w:val="20"/>
              </w:rPr>
            </w:pPr>
            <w:r>
              <w:rPr>
                <w:rFonts w:ascii="Times New Roman" w:hAnsi="Times New Roman"/>
                <w:noProof/>
                <w:sz w:val="20"/>
              </w:rPr>
              <w:t>AT, BE, BG, DE, ES, FR, HR, HU, IT, LV, PT, SE, SI, SK</w:t>
            </w:r>
          </w:p>
        </w:tc>
      </w:tr>
      <w:tr>
        <w:tc>
          <w:tcPr>
            <w:tcW w:w="4791" w:type="dxa"/>
          </w:tcPr>
          <w:p>
            <w:pPr>
              <w:keepNext/>
              <w:spacing w:after="60"/>
              <w:jc w:val="both"/>
              <w:rPr>
                <w:rFonts w:ascii="Times New Roman" w:hAnsi="Times New Roman" w:cs="Times New Roman"/>
                <w:noProof/>
                <w:sz w:val="20"/>
                <w:szCs w:val="20"/>
              </w:rPr>
            </w:pPr>
            <w:r>
              <w:rPr>
                <w:rFonts w:ascii="Times New Roman" w:hAnsi="Times New Roman"/>
                <w:noProof/>
                <w:sz w:val="20"/>
              </w:rPr>
              <w:t>Премахване на пречките, в това число и дискриминацията, пред (повторното) влизане(то) на пазара на труда.</w:t>
            </w:r>
          </w:p>
        </w:tc>
        <w:tc>
          <w:tcPr>
            <w:tcW w:w="4423" w:type="dxa"/>
          </w:tcPr>
          <w:p>
            <w:pPr>
              <w:keepNext/>
              <w:spacing w:after="60"/>
              <w:jc w:val="both"/>
              <w:rPr>
                <w:rFonts w:ascii="Times New Roman" w:hAnsi="Times New Roman" w:cs="Times New Roman"/>
                <w:noProof/>
                <w:sz w:val="20"/>
                <w:szCs w:val="20"/>
              </w:rPr>
            </w:pPr>
            <w:r>
              <w:rPr>
                <w:rFonts w:ascii="Times New Roman" w:hAnsi="Times New Roman"/>
                <w:noProof/>
                <w:sz w:val="20"/>
              </w:rPr>
              <w:t>AT, FI, DE, ES, HR, HU, LT, SK, UK</w:t>
            </w:r>
          </w:p>
        </w:tc>
      </w:tr>
      <w:tr>
        <w:tc>
          <w:tcPr>
            <w:tcW w:w="4791" w:type="dxa"/>
          </w:tcPr>
          <w:p>
            <w:pPr>
              <w:spacing w:after="60"/>
              <w:ind w:right="1"/>
              <w:jc w:val="both"/>
              <w:rPr>
                <w:rFonts w:ascii="Times New Roman" w:hAnsi="Times New Roman" w:cs="Times New Roman"/>
                <w:noProof/>
                <w:sz w:val="20"/>
                <w:szCs w:val="20"/>
              </w:rPr>
            </w:pPr>
            <w:r>
              <w:rPr>
                <w:rFonts w:ascii="Times New Roman" w:hAnsi="Times New Roman"/>
                <w:noProof/>
                <w:sz w:val="20"/>
              </w:rPr>
              <w:t>Други</w:t>
            </w:r>
          </w:p>
        </w:tc>
        <w:tc>
          <w:tcPr>
            <w:tcW w:w="4423" w:type="dxa"/>
          </w:tcPr>
          <w:p>
            <w:pPr>
              <w:spacing w:after="60"/>
              <w:ind w:right="1"/>
              <w:jc w:val="both"/>
              <w:rPr>
                <w:rFonts w:ascii="Times New Roman" w:hAnsi="Times New Roman" w:cs="Times New Roman"/>
                <w:noProof/>
                <w:sz w:val="20"/>
                <w:szCs w:val="20"/>
              </w:rPr>
            </w:pPr>
            <w:r>
              <w:rPr>
                <w:rFonts w:ascii="Times New Roman" w:hAnsi="Times New Roman"/>
                <w:noProof/>
                <w:sz w:val="20"/>
              </w:rPr>
              <w:t>BE, CZ, EL, HU, LT, PT, RO, SK</w:t>
            </w:r>
          </w:p>
        </w:tc>
      </w:tr>
    </w:tbl>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Очевидно е, че са необходими всеобхватни, специално съобразени подходи. Следва по-добре да се използват иновативни мерки (като насърчаване на социалните предприятия и предприемачеството сред ромите, стимули за работодателите, информационни кампании за работодателите от частния сектор, насочени към ромите действия в рамките на гаранцията за младежта и насърчаване на отчитането на социалните съображения при възлагането на обществени поръчки), а така също и интегрирани подходи за активно приобщаване. Освен това от решаващо значение е въздействието на всички мерки за заетост на ромите да се наблюдава отблизо. Следва да се засили борбата срещу практиките на дискриминация на пазара на труда, като се осигури по-тясно сътрудничество с инспекцията по труда. Сумите, отпускани по линия на Европейския социален фонд, следва да бъдат използвани в пълна степен за гарантиране на ефективността и устойчивостта на мерките чрез интегрирана и персонализирана подкрепа. Освен това следва да се използват в пълна степен възможностите по линия на Европейския земеделски фонд за развитие на селските райони (ЕЗФРСР), за да се насърчава трудовата заетост на ромите в селските райони, където живеят мнозинството от тях.</w:t>
      </w:r>
    </w:p>
    <w:p>
      <w:pPr>
        <w:spacing w:after="120" w:line="240" w:lineRule="auto"/>
        <w:jc w:val="both"/>
        <w:rPr>
          <w:rFonts w:ascii="Times New Roman" w:hAnsi="Times New Roman" w:cs="Times New Roman"/>
          <w:b/>
          <w:noProof/>
          <w:sz w:val="24"/>
        </w:rPr>
      </w:pPr>
    </w:p>
    <w:p>
      <w:pPr>
        <w:keepNext/>
        <w:spacing w:after="120" w:line="240" w:lineRule="auto"/>
        <w:jc w:val="both"/>
        <w:rPr>
          <w:rFonts w:ascii="Times New Roman" w:hAnsi="Times New Roman" w:cs="Times New Roman"/>
          <w:b/>
          <w:noProof/>
          <w:sz w:val="24"/>
        </w:rPr>
      </w:pPr>
      <w:r>
        <w:rPr>
          <w:rFonts w:ascii="Times New Roman" w:hAnsi="Times New Roman"/>
          <w:b/>
          <w:noProof/>
          <w:sz w:val="24"/>
        </w:rPr>
        <w:t>3.4. Здравеопазване</w:t>
      </w:r>
    </w:p>
    <w:p>
      <w:pPr>
        <w:keepNext/>
        <w:spacing w:after="120" w:line="240" w:lineRule="auto"/>
        <w:jc w:val="both"/>
        <w:rPr>
          <w:rFonts w:ascii="Times New Roman" w:hAnsi="Times New Roman" w:cs="Times New Roman"/>
          <w:noProof/>
          <w:sz w:val="24"/>
        </w:rPr>
      </w:pPr>
      <w:r>
        <w:rPr>
          <w:rFonts w:ascii="Times New Roman" w:hAnsi="Times New Roman"/>
          <w:b/>
          <w:noProof/>
          <w:sz w:val="24"/>
        </w:rPr>
        <w:t>Продължава да е трудно преодоляването на неравнопоставеното третиране на ромите в областта на здравеопазването, по-специално в най-бедните райони.</w:t>
      </w:r>
      <w:r>
        <w:rPr>
          <w:rFonts w:ascii="Times New Roman" w:hAnsi="Times New Roman"/>
          <w:noProof/>
          <w:sz w:val="24"/>
        </w:rPr>
        <w:t xml:space="preserve"> Повечето държави членки докладваха за действия, които улесняват достъпа до здравно обслужване и се съсредоточават върху превантивни, защитни мерки, по-конкретно ваксиниране на децата, семейно планиране и повишаване на осведомеността по въпросите на здравето. Те също така работят с неправителствени организации. Въпреки това за някои роми достъпът до здравеопазване остава ограничен поради липсата на регистрация и здравна застраховка. За да се достигне до тези уязвими хора, са необходими по-нататъшни усилия, включително посредством участието им в инициативи в областта на здравните и социалните грижи.</w:t>
      </w:r>
      <w:r>
        <w:rPr>
          <w:rFonts w:ascii="Times New Roman" w:hAnsi="Times New Roman"/>
          <w:noProof/>
          <w:color w:val="1D1D1D"/>
          <w:sz w:val="24"/>
        </w:rPr>
        <w:t xml:space="preserve"> </w:t>
      </w:r>
      <w:r>
        <w:rPr>
          <w:rFonts w:ascii="Times New Roman" w:hAnsi="Times New Roman"/>
          <w:noProof/>
          <w:sz w:val="24"/>
        </w:rPr>
        <w:t>Всички държави членки следва също така да въведат дейности за повишаване на осведомеността, които са насочени както към здравните специалисти, така и към самите ромите.</w:t>
      </w:r>
    </w:p>
    <w:tbl>
      <w:tblPr>
        <w:tblStyle w:val="TableGrid"/>
        <w:tblW w:w="9214" w:type="dxa"/>
        <w:tblInd w:w="-5" w:type="dxa"/>
        <w:tblLook w:val="04A0" w:firstRow="1" w:lastRow="0" w:firstColumn="1" w:lastColumn="0" w:noHBand="0" w:noVBand="1"/>
      </w:tblPr>
      <w:tblGrid>
        <w:gridCol w:w="4508"/>
        <w:gridCol w:w="4706"/>
      </w:tblGrid>
      <w:tr>
        <w:tc>
          <w:tcPr>
            <w:tcW w:w="4508" w:type="dxa"/>
            <w:shd w:val="clear" w:color="auto" w:fill="D9D9D9" w:themeFill="background1" w:themeFillShade="D9"/>
          </w:tcPr>
          <w:p>
            <w:pPr>
              <w:keepNext/>
              <w:spacing w:after="60"/>
              <w:jc w:val="both"/>
              <w:rPr>
                <w:rFonts w:ascii="Times New Roman" w:hAnsi="Times New Roman" w:cs="Times New Roman"/>
                <w:b/>
                <w:noProof/>
                <w:sz w:val="20"/>
                <w:szCs w:val="20"/>
              </w:rPr>
            </w:pPr>
            <w:r>
              <w:rPr>
                <w:rFonts w:ascii="Times New Roman" w:hAnsi="Times New Roman"/>
                <w:b/>
                <w:noProof/>
                <w:sz w:val="20"/>
              </w:rPr>
              <w:t>Мерки, препоръчани от Съвета</w:t>
            </w:r>
          </w:p>
        </w:tc>
        <w:tc>
          <w:tcPr>
            <w:tcW w:w="4706" w:type="dxa"/>
            <w:shd w:val="clear" w:color="auto" w:fill="D9D9D9" w:themeFill="background1" w:themeFillShade="D9"/>
          </w:tcPr>
          <w:p>
            <w:pPr>
              <w:keepNext/>
              <w:spacing w:after="60"/>
              <w:jc w:val="both"/>
              <w:rPr>
                <w:rFonts w:ascii="Times New Roman" w:hAnsi="Times New Roman" w:cs="Times New Roman"/>
                <w:b/>
                <w:noProof/>
                <w:sz w:val="20"/>
                <w:szCs w:val="20"/>
              </w:rPr>
            </w:pPr>
            <w:r>
              <w:rPr>
                <w:rFonts w:ascii="Times New Roman" w:hAnsi="Times New Roman"/>
                <w:b/>
                <w:noProof/>
                <w:sz w:val="20"/>
              </w:rPr>
              <w:t>Държави членки, които са докладвали мярка</w:t>
            </w:r>
          </w:p>
        </w:tc>
      </w:tr>
      <w:tr>
        <w:tc>
          <w:tcPr>
            <w:tcW w:w="4508" w:type="dxa"/>
            <w:vAlign w:val="center"/>
          </w:tcPr>
          <w:p>
            <w:pPr>
              <w:keepNext/>
              <w:spacing w:after="60"/>
              <w:rPr>
                <w:rFonts w:ascii="Times New Roman" w:hAnsi="Times New Roman" w:cs="Times New Roman"/>
                <w:noProof/>
                <w:sz w:val="20"/>
                <w:szCs w:val="20"/>
              </w:rPr>
            </w:pPr>
            <w:r>
              <w:rPr>
                <w:rFonts w:ascii="Times New Roman" w:hAnsi="Times New Roman"/>
                <w:noProof/>
                <w:sz w:val="20"/>
              </w:rPr>
              <w:t>Премахване на пречките пред достъпа до системата на здравеопазване</w:t>
            </w:r>
          </w:p>
        </w:tc>
        <w:tc>
          <w:tcPr>
            <w:tcW w:w="4706" w:type="dxa"/>
          </w:tcPr>
          <w:p>
            <w:pPr>
              <w:keepNext/>
              <w:spacing w:after="60"/>
              <w:jc w:val="both"/>
              <w:rPr>
                <w:rFonts w:ascii="Times New Roman" w:hAnsi="Times New Roman" w:cs="Times New Roman"/>
                <w:noProof/>
                <w:sz w:val="20"/>
                <w:szCs w:val="20"/>
              </w:rPr>
            </w:pPr>
            <w:r>
              <w:rPr>
                <w:rFonts w:ascii="Times New Roman" w:hAnsi="Times New Roman"/>
                <w:noProof/>
                <w:sz w:val="20"/>
              </w:rPr>
              <w:t>AT, BE, BG, CZ, DE, ES, FI, FR, HU, LT, PL,RO, SE, SI, SK, UK</w:t>
            </w:r>
          </w:p>
        </w:tc>
      </w:tr>
      <w:tr>
        <w:tc>
          <w:tcPr>
            <w:tcW w:w="4508" w:type="dxa"/>
            <w:vAlign w:val="center"/>
          </w:tcPr>
          <w:p>
            <w:pPr>
              <w:keepNext/>
              <w:spacing w:after="60"/>
              <w:rPr>
                <w:rFonts w:ascii="Times New Roman" w:hAnsi="Times New Roman" w:cs="Times New Roman"/>
                <w:noProof/>
                <w:sz w:val="20"/>
                <w:szCs w:val="20"/>
              </w:rPr>
            </w:pPr>
            <w:r>
              <w:rPr>
                <w:rFonts w:ascii="Times New Roman" w:hAnsi="Times New Roman"/>
                <w:noProof/>
                <w:sz w:val="20"/>
              </w:rPr>
              <w:t>Подобряване на достъпа до медицински прегледи, предродилни и следродилни грижи, семейно планиране и др.</w:t>
            </w:r>
          </w:p>
        </w:tc>
        <w:tc>
          <w:tcPr>
            <w:tcW w:w="4706" w:type="dxa"/>
          </w:tcPr>
          <w:p>
            <w:pPr>
              <w:keepNext/>
              <w:spacing w:after="60"/>
              <w:jc w:val="both"/>
              <w:rPr>
                <w:rFonts w:ascii="Times New Roman" w:hAnsi="Times New Roman" w:cs="Times New Roman"/>
                <w:noProof/>
                <w:sz w:val="20"/>
                <w:szCs w:val="20"/>
              </w:rPr>
            </w:pPr>
            <w:r>
              <w:rPr>
                <w:rFonts w:ascii="Times New Roman" w:hAnsi="Times New Roman"/>
                <w:noProof/>
                <w:sz w:val="20"/>
              </w:rPr>
              <w:t>AT, BG, DE, ES, IT, PL, SI, SK</w:t>
            </w:r>
          </w:p>
          <w:p>
            <w:pPr>
              <w:keepNext/>
              <w:spacing w:after="60"/>
              <w:jc w:val="both"/>
              <w:rPr>
                <w:rFonts w:ascii="Times New Roman" w:hAnsi="Times New Roman" w:cs="Times New Roman"/>
                <w:noProof/>
                <w:sz w:val="20"/>
                <w:szCs w:val="20"/>
              </w:rPr>
            </w:pPr>
          </w:p>
        </w:tc>
      </w:tr>
      <w:tr>
        <w:tc>
          <w:tcPr>
            <w:tcW w:w="4508" w:type="dxa"/>
            <w:vAlign w:val="center"/>
          </w:tcPr>
          <w:p>
            <w:pPr>
              <w:keepNext/>
              <w:spacing w:after="60"/>
              <w:rPr>
                <w:rFonts w:ascii="Times New Roman" w:hAnsi="Times New Roman" w:cs="Times New Roman"/>
                <w:noProof/>
                <w:sz w:val="20"/>
                <w:szCs w:val="20"/>
              </w:rPr>
            </w:pPr>
            <w:r>
              <w:rPr>
                <w:rFonts w:ascii="Times New Roman" w:hAnsi="Times New Roman"/>
                <w:noProof/>
                <w:sz w:val="20"/>
              </w:rPr>
              <w:t>Насърчаване на достъпа до програми за безплатна ваксинация, насочени към децата и най-необлагодетелстваните групи и райони</w:t>
            </w:r>
          </w:p>
        </w:tc>
        <w:tc>
          <w:tcPr>
            <w:tcW w:w="4706" w:type="dxa"/>
          </w:tcPr>
          <w:p>
            <w:pPr>
              <w:keepNext/>
              <w:spacing w:after="60"/>
              <w:jc w:val="both"/>
              <w:rPr>
                <w:rFonts w:ascii="Times New Roman" w:hAnsi="Times New Roman" w:cs="Times New Roman"/>
                <w:noProof/>
                <w:sz w:val="20"/>
                <w:szCs w:val="20"/>
              </w:rPr>
            </w:pPr>
            <w:r>
              <w:rPr>
                <w:rFonts w:ascii="Times New Roman" w:hAnsi="Times New Roman"/>
                <w:noProof/>
                <w:sz w:val="20"/>
              </w:rPr>
              <w:t>AT, BE, BG, DE, ES, HU, PL, RO, SI, SK</w:t>
            </w:r>
          </w:p>
        </w:tc>
      </w:tr>
      <w:tr>
        <w:tc>
          <w:tcPr>
            <w:tcW w:w="4508" w:type="dxa"/>
            <w:vAlign w:val="center"/>
          </w:tcPr>
          <w:p>
            <w:pPr>
              <w:keepNext/>
              <w:spacing w:after="60"/>
              <w:rPr>
                <w:rFonts w:ascii="Times New Roman" w:hAnsi="Times New Roman" w:cs="Times New Roman"/>
                <w:noProof/>
                <w:sz w:val="20"/>
                <w:szCs w:val="20"/>
              </w:rPr>
            </w:pPr>
            <w:r>
              <w:rPr>
                <w:rFonts w:ascii="Times New Roman" w:hAnsi="Times New Roman"/>
                <w:noProof/>
                <w:sz w:val="20"/>
              </w:rPr>
              <w:t>Насърчаване на осведомеността по въпросите на здравето</w:t>
            </w:r>
          </w:p>
        </w:tc>
        <w:tc>
          <w:tcPr>
            <w:tcW w:w="4706" w:type="dxa"/>
          </w:tcPr>
          <w:p>
            <w:pPr>
              <w:keepNext/>
              <w:spacing w:after="60"/>
              <w:jc w:val="both"/>
              <w:rPr>
                <w:rFonts w:ascii="Times New Roman" w:hAnsi="Times New Roman" w:cs="Times New Roman"/>
                <w:noProof/>
                <w:sz w:val="20"/>
                <w:szCs w:val="20"/>
              </w:rPr>
            </w:pPr>
            <w:r>
              <w:rPr>
                <w:rFonts w:ascii="Times New Roman" w:hAnsi="Times New Roman"/>
                <w:noProof/>
                <w:sz w:val="20"/>
              </w:rPr>
              <w:t>AT, BG, CZ, DE, ES, FI, HR, HU, IT, PL, SI, SK</w:t>
            </w:r>
          </w:p>
        </w:tc>
      </w:tr>
      <w:tr>
        <w:tc>
          <w:tcPr>
            <w:tcW w:w="4508" w:type="dxa"/>
            <w:vAlign w:val="center"/>
          </w:tcPr>
          <w:p>
            <w:pPr>
              <w:spacing w:after="60"/>
              <w:ind w:right="1"/>
              <w:rPr>
                <w:rFonts w:ascii="Times New Roman" w:hAnsi="Times New Roman" w:cs="Times New Roman"/>
                <w:noProof/>
                <w:sz w:val="20"/>
                <w:szCs w:val="20"/>
              </w:rPr>
            </w:pPr>
            <w:r>
              <w:rPr>
                <w:rFonts w:ascii="Times New Roman" w:hAnsi="Times New Roman"/>
                <w:noProof/>
                <w:sz w:val="20"/>
              </w:rPr>
              <w:t>Други</w:t>
            </w:r>
          </w:p>
        </w:tc>
        <w:tc>
          <w:tcPr>
            <w:tcW w:w="4706" w:type="dxa"/>
          </w:tcPr>
          <w:p>
            <w:pPr>
              <w:spacing w:after="60"/>
              <w:ind w:right="1"/>
              <w:jc w:val="both"/>
              <w:rPr>
                <w:rFonts w:ascii="Times New Roman" w:hAnsi="Times New Roman" w:cs="Times New Roman"/>
                <w:noProof/>
                <w:sz w:val="20"/>
                <w:szCs w:val="20"/>
              </w:rPr>
            </w:pPr>
            <w:r>
              <w:rPr>
                <w:rFonts w:ascii="Times New Roman" w:hAnsi="Times New Roman"/>
                <w:noProof/>
                <w:sz w:val="20"/>
              </w:rPr>
              <w:t>BE, BG, EL, ES, FI, HR, IT, LT, PL, SK</w:t>
            </w:r>
          </w:p>
        </w:tc>
      </w:tr>
    </w:tbl>
    <w:p>
      <w:pPr>
        <w:spacing w:before="120" w:after="60" w:line="240" w:lineRule="auto"/>
        <w:jc w:val="both"/>
        <w:rPr>
          <w:rFonts w:ascii="Times New Roman" w:hAnsi="Times New Roman" w:cs="Times New Roman"/>
          <w:noProof/>
          <w:sz w:val="24"/>
          <w:szCs w:val="24"/>
        </w:rPr>
      </w:pPr>
    </w:p>
    <w:p>
      <w:pPr>
        <w:keepNext/>
        <w:keepLines/>
        <w:spacing w:after="120" w:line="240" w:lineRule="auto"/>
        <w:jc w:val="both"/>
        <w:rPr>
          <w:rFonts w:ascii="Times New Roman" w:hAnsi="Times New Roman" w:cs="Times New Roman"/>
          <w:noProof/>
          <w:sz w:val="24"/>
        </w:rPr>
      </w:pPr>
      <w:r>
        <w:rPr>
          <w:rFonts w:ascii="Times New Roman" w:hAnsi="Times New Roman"/>
          <w:b/>
          <w:noProof/>
          <w:sz w:val="24"/>
        </w:rPr>
        <w:t>3.5. Жилищно настаняване</w:t>
      </w:r>
    </w:p>
    <w:p>
      <w:pPr>
        <w:keepNext/>
        <w:keepLines/>
        <w:spacing w:after="0" w:line="240" w:lineRule="auto"/>
        <w:jc w:val="both"/>
        <w:rPr>
          <w:rFonts w:ascii="Times New Roman" w:hAnsi="Times New Roman" w:cs="Times New Roman"/>
          <w:noProof/>
          <w:sz w:val="24"/>
          <w:szCs w:val="24"/>
        </w:rPr>
      </w:pPr>
      <w:r>
        <w:rPr>
          <w:rFonts w:ascii="Times New Roman" w:hAnsi="Times New Roman"/>
          <w:b/>
          <w:noProof/>
          <w:sz w:val="24"/>
        </w:rPr>
        <w:t>Най-важните предизвикателства в областта на жилищното настаняване, а именно борбата срещу сегрегацията и предотвратяването на принудителното изселване, не бяха разгледани в достатъчна степен</w:t>
      </w:r>
      <w:r>
        <w:rPr>
          <w:rStyle w:val="FootnoteReference"/>
          <w:rFonts w:ascii="Times New Roman" w:hAnsi="Times New Roman"/>
          <w:noProof/>
          <w:sz w:val="24"/>
        </w:rPr>
        <w:footnoteReference w:id="21"/>
      </w:r>
      <w:r>
        <w:rPr>
          <w:noProof/>
        </w:rPr>
        <w:t>.</w:t>
      </w:r>
      <w:r>
        <w:rPr>
          <w:rFonts w:ascii="Times New Roman" w:hAnsi="Times New Roman"/>
          <w:b/>
          <w:noProof/>
          <w:sz w:val="24"/>
        </w:rPr>
        <w:t xml:space="preserve"> </w:t>
      </w:r>
      <w:r>
        <w:rPr>
          <w:rFonts w:ascii="Times New Roman" w:hAnsi="Times New Roman"/>
          <w:noProof/>
          <w:sz w:val="24"/>
        </w:rPr>
        <w:t xml:space="preserve">Няколко държави членки докладваха мерки за насърчаване на недискриминационния достъп до социални жилища, а други — за борба срещу сегрегацията. И в двете области са необходими по-нататъшни съгласувани, категорични действия, които евентуално могат да бъдат финансирани със средства на ЕС. Следва да се избягва използването на европейските структурни и инвестиционни фондове  по начин, който води до (допълнителна) сегрегация на жилищната база. Преодоляването на сегрегацията изисква дългосрочен подход. Предпоставките за успешното му постигане включват: </w:t>
      </w:r>
    </w:p>
    <w:p>
      <w:pPr>
        <w:pStyle w:val="CommentText"/>
        <w:numPr>
          <w:ilvl w:val="0"/>
          <w:numId w:val="1"/>
        </w:numPr>
        <w:spacing w:after="0"/>
        <w:ind w:left="357" w:hanging="357"/>
        <w:jc w:val="both"/>
        <w:rPr>
          <w:noProof/>
        </w:rPr>
      </w:pPr>
      <w:r>
        <w:rPr>
          <w:rFonts w:ascii="Times New Roman" w:hAnsi="Times New Roman"/>
          <w:noProof/>
        </w:rPr>
        <w:t>насочване на усилията към изоставащите региони и тези, изложени на риск;</w:t>
      </w:r>
    </w:p>
    <w:p>
      <w:pPr>
        <w:pStyle w:val="CommentText"/>
        <w:numPr>
          <w:ilvl w:val="0"/>
          <w:numId w:val="1"/>
        </w:numPr>
        <w:spacing w:after="0"/>
        <w:ind w:left="357" w:hanging="357"/>
        <w:jc w:val="both"/>
        <w:rPr>
          <w:noProof/>
        </w:rPr>
      </w:pPr>
      <w:r>
        <w:rPr>
          <w:rFonts w:ascii="Times New Roman" w:hAnsi="Times New Roman"/>
          <w:noProof/>
        </w:rPr>
        <w:t>осигуряване на координация между заинтересованите страни и участие на засегнатите ромски общности в изпълнението;</w:t>
      </w:r>
    </w:p>
    <w:p>
      <w:pPr>
        <w:pStyle w:val="CommentText"/>
        <w:numPr>
          <w:ilvl w:val="0"/>
          <w:numId w:val="1"/>
        </w:numPr>
        <w:spacing w:after="0"/>
        <w:ind w:left="357" w:hanging="357"/>
        <w:jc w:val="both"/>
        <w:rPr>
          <w:noProof/>
        </w:rPr>
      </w:pPr>
      <w:r>
        <w:rPr>
          <w:rFonts w:ascii="Times New Roman" w:hAnsi="Times New Roman"/>
          <w:noProof/>
        </w:rPr>
        <w:t>съчетаване на изграждането на инфраструктура с развитието на човешките ресурси;</w:t>
      </w:r>
    </w:p>
    <w:p>
      <w:pPr>
        <w:pStyle w:val="CommentText"/>
        <w:numPr>
          <w:ilvl w:val="0"/>
          <w:numId w:val="1"/>
        </w:numPr>
        <w:spacing w:after="0"/>
        <w:ind w:left="357" w:hanging="357"/>
        <w:jc w:val="both"/>
        <w:rPr>
          <w:noProof/>
        </w:rPr>
      </w:pPr>
      <w:r>
        <w:rPr>
          <w:rFonts w:ascii="Times New Roman" w:hAnsi="Times New Roman"/>
          <w:noProof/>
        </w:rPr>
        <w:t>узаконяване на жилища;</w:t>
      </w:r>
    </w:p>
    <w:p>
      <w:pPr>
        <w:pStyle w:val="CommentText"/>
        <w:numPr>
          <w:ilvl w:val="0"/>
          <w:numId w:val="1"/>
        </w:numPr>
        <w:spacing w:after="0"/>
        <w:ind w:left="357" w:hanging="357"/>
        <w:jc w:val="both"/>
        <w:rPr>
          <w:noProof/>
        </w:rPr>
      </w:pPr>
      <w:r>
        <w:rPr>
          <w:rFonts w:ascii="Times New Roman" w:hAnsi="Times New Roman"/>
          <w:noProof/>
        </w:rPr>
        <w:t>стартиране на подготвителни и съпътстващи мерки;</w:t>
      </w:r>
    </w:p>
    <w:p>
      <w:pPr>
        <w:pStyle w:val="CommentText"/>
        <w:numPr>
          <w:ilvl w:val="0"/>
          <w:numId w:val="1"/>
        </w:numPr>
        <w:spacing w:after="0"/>
        <w:ind w:left="357" w:hanging="357"/>
        <w:jc w:val="both"/>
        <w:rPr>
          <w:noProof/>
        </w:rPr>
      </w:pPr>
      <w:r>
        <w:rPr>
          <w:rFonts w:ascii="Times New Roman" w:hAnsi="Times New Roman"/>
          <w:noProof/>
        </w:rPr>
        <w:t xml:space="preserve">осигуряване на подходящи жилища в интегрирана рамка; </w:t>
      </w:r>
    </w:p>
    <w:p>
      <w:pPr>
        <w:pStyle w:val="CommentText"/>
        <w:numPr>
          <w:ilvl w:val="0"/>
          <w:numId w:val="1"/>
        </w:numPr>
        <w:spacing w:after="120"/>
        <w:ind w:left="357" w:hanging="357"/>
        <w:jc w:val="both"/>
        <w:rPr>
          <w:noProof/>
        </w:rPr>
      </w:pPr>
      <w:r>
        <w:rPr>
          <w:rFonts w:ascii="Times New Roman" w:hAnsi="Times New Roman"/>
          <w:noProof/>
        </w:rPr>
        <w:t>включване на усилията за премахване на сегрегацията като част от интегриран подход.</w:t>
      </w:r>
    </w:p>
    <w:tbl>
      <w:tblPr>
        <w:tblStyle w:val="TableGrid"/>
        <w:tblW w:w="9214" w:type="dxa"/>
        <w:tblInd w:w="-5" w:type="dxa"/>
        <w:tblLook w:val="04A0" w:firstRow="1" w:lastRow="0" w:firstColumn="1" w:lastColumn="0" w:noHBand="0" w:noVBand="1"/>
      </w:tblPr>
      <w:tblGrid>
        <w:gridCol w:w="4791"/>
        <w:gridCol w:w="4423"/>
      </w:tblGrid>
      <w:tr>
        <w:tc>
          <w:tcPr>
            <w:tcW w:w="4791" w:type="dxa"/>
            <w:shd w:val="clear" w:color="auto" w:fill="D9D9D9" w:themeFill="background1" w:themeFillShade="D9"/>
          </w:tcPr>
          <w:p>
            <w:pPr>
              <w:keepNext/>
              <w:spacing w:after="60"/>
              <w:jc w:val="both"/>
              <w:rPr>
                <w:rFonts w:ascii="Times New Roman" w:hAnsi="Times New Roman" w:cs="Times New Roman"/>
                <w:b/>
                <w:noProof/>
                <w:sz w:val="20"/>
                <w:szCs w:val="20"/>
              </w:rPr>
            </w:pPr>
            <w:r>
              <w:rPr>
                <w:rFonts w:ascii="Times New Roman" w:hAnsi="Times New Roman"/>
                <w:b/>
                <w:noProof/>
                <w:sz w:val="20"/>
              </w:rPr>
              <w:t>Мерки, препоръчани от Съвета</w:t>
            </w:r>
          </w:p>
        </w:tc>
        <w:tc>
          <w:tcPr>
            <w:tcW w:w="4423" w:type="dxa"/>
            <w:shd w:val="clear" w:color="auto" w:fill="D9D9D9" w:themeFill="background1" w:themeFillShade="D9"/>
          </w:tcPr>
          <w:p>
            <w:pPr>
              <w:keepNext/>
              <w:spacing w:after="60"/>
              <w:jc w:val="both"/>
              <w:rPr>
                <w:rFonts w:ascii="Times New Roman" w:hAnsi="Times New Roman" w:cs="Times New Roman"/>
                <w:b/>
                <w:noProof/>
                <w:sz w:val="20"/>
                <w:szCs w:val="20"/>
              </w:rPr>
            </w:pPr>
            <w:r>
              <w:rPr>
                <w:rFonts w:ascii="Times New Roman" w:hAnsi="Times New Roman"/>
                <w:b/>
                <w:noProof/>
                <w:sz w:val="20"/>
              </w:rPr>
              <w:t>Държави членки, които са докладвали мярка</w:t>
            </w:r>
          </w:p>
        </w:tc>
      </w:tr>
      <w:tr>
        <w:tc>
          <w:tcPr>
            <w:tcW w:w="4791" w:type="dxa"/>
            <w:vAlign w:val="center"/>
          </w:tcPr>
          <w:p>
            <w:pPr>
              <w:keepNext/>
              <w:spacing w:after="60"/>
              <w:rPr>
                <w:rFonts w:ascii="Times New Roman" w:hAnsi="Times New Roman" w:cs="Times New Roman"/>
                <w:noProof/>
                <w:sz w:val="20"/>
                <w:szCs w:val="20"/>
              </w:rPr>
            </w:pPr>
            <w:r>
              <w:rPr>
                <w:rFonts w:ascii="Times New Roman" w:hAnsi="Times New Roman"/>
                <w:noProof/>
                <w:sz w:val="20"/>
              </w:rPr>
              <w:t>Премахване на всякаква пространствена сегрегация и насърчаване на премахването на сегрегацията</w:t>
            </w:r>
          </w:p>
        </w:tc>
        <w:tc>
          <w:tcPr>
            <w:tcW w:w="4423" w:type="dxa"/>
          </w:tcPr>
          <w:p>
            <w:pPr>
              <w:keepNext/>
              <w:spacing w:after="60"/>
              <w:jc w:val="both"/>
              <w:rPr>
                <w:rFonts w:ascii="Times New Roman" w:hAnsi="Times New Roman" w:cs="Times New Roman"/>
                <w:noProof/>
                <w:sz w:val="20"/>
                <w:szCs w:val="20"/>
              </w:rPr>
            </w:pPr>
            <w:r>
              <w:rPr>
                <w:rFonts w:ascii="Times New Roman" w:hAnsi="Times New Roman"/>
                <w:noProof/>
                <w:sz w:val="20"/>
              </w:rPr>
              <w:t>CZ, HU, ES, IT, RO</w:t>
            </w:r>
          </w:p>
        </w:tc>
      </w:tr>
      <w:tr>
        <w:tc>
          <w:tcPr>
            <w:tcW w:w="4791" w:type="dxa"/>
            <w:vAlign w:val="center"/>
          </w:tcPr>
          <w:p>
            <w:pPr>
              <w:keepNext/>
              <w:spacing w:after="60"/>
              <w:rPr>
                <w:rFonts w:ascii="Times New Roman" w:hAnsi="Times New Roman" w:cs="Times New Roman"/>
                <w:noProof/>
                <w:sz w:val="20"/>
                <w:szCs w:val="20"/>
              </w:rPr>
            </w:pPr>
            <w:r>
              <w:rPr>
                <w:rFonts w:ascii="Times New Roman" w:hAnsi="Times New Roman"/>
                <w:noProof/>
                <w:sz w:val="20"/>
              </w:rPr>
              <w:t>Насърчаване на недискриминационния достъп до настаняване в социални жилища</w:t>
            </w:r>
          </w:p>
        </w:tc>
        <w:tc>
          <w:tcPr>
            <w:tcW w:w="4423" w:type="dxa"/>
          </w:tcPr>
          <w:p>
            <w:pPr>
              <w:keepNext/>
              <w:spacing w:after="60"/>
              <w:jc w:val="both"/>
              <w:rPr>
                <w:rFonts w:ascii="Times New Roman" w:hAnsi="Times New Roman" w:cs="Times New Roman"/>
                <w:noProof/>
                <w:sz w:val="20"/>
                <w:szCs w:val="20"/>
              </w:rPr>
            </w:pPr>
            <w:r>
              <w:rPr>
                <w:rFonts w:ascii="Times New Roman" w:hAnsi="Times New Roman"/>
                <w:noProof/>
                <w:sz w:val="20"/>
              </w:rPr>
              <w:t>AT, BE, BG, CZ, DE, ES, FI, FR, IT, SK, UK</w:t>
            </w:r>
          </w:p>
        </w:tc>
      </w:tr>
      <w:tr>
        <w:tc>
          <w:tcPr>
            <w:tcW w:w="4791" w:type="dxa"/>
            <w:vAlign w:val="center"/>
          </w:tcPr>
          <w:p>
            <w:pPr>
              <w:keepNext/>
              <w:spacing w:after="60"/>
              <w:rPr>
                <w:rFonts w:ascii="Times New Roman" w:hAnsi="Times New Roman" w:cs="Times New Roman"/>
                <w:noProof/>
                <w:sz w:val="20"/>
                <w:szCs w:val="20"/>
              </w:rPr>
            </w:pPr>
            <w:r>
              <w:rPr>
                <w:rFonts w:ascii="Times New Roman" w:hAnsi="Times New Roman"/>
                <w:noProof/>
                <w:sz w:val="20"/>
              </w:rPr>
              <w:t>Осигуряване на специално определени места за лагери на ромите номади</w:t>
            </w:r>
          </w:p>
        </w:tc>
        <w:tc>
          <w:tcPr>
            <w:tcW w:w="4423" w:type="dxa"/>
          </w:tcPr>
          <w:p>
            <w:pPr>
              <w:keepNext/>
              <w:spacing w:after="60"/>
              <w:jc w:val="both"/>
              <w:rPr>
                <w:rFonts w:ascii="Times New Roman" w:hAnsi="Times New Roman" w:cs="Times New Roman"/>
                <w:noProof/>
                <w:sz w:val="20"/>
                <w:szCs w:val="20"/>
              </w:rPr>
            </w:pPr>
            <w:r>
              <w:rPr>
                <w:rFonts w:ascii="Times New Roman" w:hAnsi="Times New Roman"/>
                <w:noProof/>
                <w:sz w:val="20"/>
              </w:rPr>
              <w:t>AT, BE, FR, UK</w:t>
            </w:r>
          </w:p>
        </w:tc>
      </w:tr>
      <w:tr>
        <w:tc>
          <w:tcPr>
            <w:tcW w:w="4791" w:type="dxa"/>
            <w:vAlign w:val="center"/>
          </w:tcPr>
          <w:p>
            <w:pPr>
              <w:keepNext/>
              <w:spacing w:after="60"/>
              <w:rPr>
                <w:rFonts w:ascii="Times New Roman" w:hAnsi="Times New Roman" w:cs="Times New Roman"/>
                <w:noProof/>
                <w:sz w:val="20"/>
                <w:szCs w:val="20"/>
              </w:rPr>
            </w:pPr>
            <w:r>
              <w:rPr>
                <w:rFonts w:ascii="Times New Roman" w:hAnsi="Times New Roman"/>
                <w:noProof/>
                <w:sz w:val="20"/>
              </w:rPr>
              <w:t>Осигуряване на достъп до комунални услуги</w:t>
            </w:r>
          </w:p>
        </w:tc>
        <w:tc>
          <w:tcPr>
            <w:tcW w:w="4423" w:type="dxa"/>
          </w:tcPr>
          <w:p>
            <w:pPr>
              <w:keepNext/>
              <w:spacing w:after="60"/>
              <w:jc w:val="both"/>
              <w:rPr>
                <w:rFonts w:ascii="Times New Roman" w:hAnsi="Times New Roman" w:cs="Times New Roman"/>
                <w:noProof/>
                <w:sz w:val="20"/>
                <w:szCs w:val="20"/>
              </w:rPr>
            </w:pPr>
            <w:r>
              <w:rPr>
                <w:rFonts w:ascii="Times New Roman" w:hAnsi="Times New Roman"/>
                <w:noProof/>
                <w:sz w:val="20"/>
              </w:rPr>
              <w:t>ES, HR, RO, SI</w:t>
            </w:r>
          </w:p>
        </w:tc>
      </w:tr>
      <w:tr>
        <w:tc>
          <w:tcPr>
            <w:tcW w:w="4791" w:type="dxa"/>
            <w:vAlign w:val="center"/>
          </w:tcPr>
          <w:p>
            <w:pPr>
              <w:spacing w:after="60"/>
              <w:ind w:right="1"/>
              <w:rPr>
                <w:rFonts w:ascii="Times New Roman" w:hAnsi="Times New Roman" w:cs="Times New Roman"/>
                <w:noProof/>
                <w:sz w:val="20"/>
                <w:szCs w:val="20"/>
              </w:rPr>
            </w:pPr>
            <w:r>
              <w:rPr>
                <w:rFonts w:ascii="Times New Roman" w:hAnsi="Times New Roman"/>
                <w:noProof/>
                <w:sz w:val="20"/>
              </w:rPr>
              <w:t>Други</w:t>
            </w:r>
          </w:p>
        </w:tc>
        <w:tc>
          <w:tcPr>
            <w:tcW w:w="4423" w:type="dxa"/>
          </w:tcPr>
          <w:p>
            <w:pPr>
              <w:spacing w:after="60"/>
              <w:ind w:right="1"/>
              <w:jc w:val="both"/>
              <w:rPr>
                <w:rFonts w:ascii="Times New Roman" w:hAnsi="Times New Roman" w:cs="Times New Roman"/>
                <w:noProof/>
                <w:sz w:val="20"/>
                <w:szCs w:val="20"/>
              </w:rPr>
            </w:pPr>
            <w:r>
              <w:rPr>
                <w:rFonts w:ascii="Times New Roman" w:hAnsi="Times New Roman"/>
                <w:noProof/>
                <w:sz w:val="20"/>
              </w:rPr>
              <w:t>AT, BE, BG, CZ, ES, HR, HU, IT, LT, PL, PT, RO, SK</w:t>
            </w:r>
          </w:p>
        </w:tc>
      </w:tr>
    </w:tbl>
    <w:p>
      <w:pPr>
        <w:spacing w:before="120" w:after="60" w:line="240" w:lineRule="auto"/>
        <w:jc w:val="both"/>
        <w:rPr>
          <w:rFonts w:ascii="Times New Roman" w:hAnsi="Times New Roman" w:cs="Times New Roman"/>
          <w:noProof/>
          <w:sz w:val="24"/>
        </w:rPr>
      </w:pPr>
      <w:r>
        <w:rPr>
          <w:rFonts w:ascii="Times New Roman" w:hAnsi="Times New Roman"/>
          <w:noProof/>
          <w:sz w:val="24"/>
        </w:rPr>
        <w:t>Някои от засегнатите държави въведоха и мерки във връзка с друг приоритет, подчертан в рамката на ЕС и препоръката на Съвета: осигуряването на места за лагери за пътуващите общности пропорционално на местните нужди. Всички засегнати държави членки следва да обърнат внимание на достъпа до комунални услуги, за да подобрят условията на живот на ромите.</w:t>
      </w:r>
    </w:p>
    <w:p>
      <w:pPr>
        <w:keepNext/>
        <w:spacing w:before="240" w:after="60" w:line="240" w:lineRule="auto"/>
        <w:jc w:val="both"/>
        <w:rPr>
          <w:rFonts w:ascii="Times New Roman" w:hAnsi="Times New Roman" w:cs="Times New Roman"/>
          <w:b/>
          <w:bCs/>
          <w:noProof/>
          <w:sz w:val="24"/>
        </w:rPr>
      </w:pPr>
      <w:r>
        <w:rPr>
          <w:rFonts w:ascii="Times New Roman" w:hAnsi="Times New Roman"/>
          <w:b/>
          <w:noProof/>
          <w:sz w:val="24"/>
        </w:rPr>
        <w:t>3.6. Структурни мерки</w:t>
      </w:r>
    </w:p>
    <w:p>
      <w:pPr>
        <w:keepNext/>
        <w:spacing w:after="60" w:line="240" w:lineRule="auto"/>
        <w:jc w:val="both"/>
        <w:rPr>
          <w:rFonts w:ascii="Times New Roman" w:hAnsi="Times New Roman"/>
          <w:bCs/>
          <w:noProof/>
          <w:sz w:val="24"/>
        </w:rPr>
      </w:pPr>
      <w:r>
        <w:rPr>
          <w:rFonts w:ascii="Times New Roman" w:hAnsi="Times New Roman"/>
          <w:b/>
          <w:noProof/>
          <w:sz w:val="24"/>
        </w:rPr>
        <w:t>Бяха предприети положителни стъпки за укрепване на работния и институционалния капацитет на националните звена за контакт по въпросите на ромите, въпреки че техният мандат и ресурси все още се различават значително.</w:t>
      </w:r>
      <w:r>
        <w:rPr>
          <w:rFonts w:ascii="Times New Roman" w:hAnsi="Times New Roman"/>
          <w:noProof/>
          <w:sz w:val="24"/>
        </w:rPr>
        <w:t xml:space="preserve"> Много от тях участват не само в координацията на съответните политики, но и при тяхното разработване и преразглеждане. Много от тези звена участваха активно в съгласуването на политическите приоритети с наличните финансови средства за програмния период 2014—2020 г.</w:t>
      </w:r>
      <w:r>
        <w:rPr>
          <w:rStyle w:val="FootnoteReference"/>
          <w:rFonts w:ascii="Times New Roman" w:hAnsi="Times New Roman"/>
          <w:noProof/>
          <w:sz w:val="24"/>
        </w:rPr>
        <w:footnoteReference w:id="22"/>
      </w:r>
      <w:r>
        <w:rPr>
          <w:rFonts w:ascii="Times New Roman" w:hAnsi="Times New Roman"/>
          <w:noProof/>
          <w:sz w:val="24"/>
        </w:rPr>
        <w:t xml:space="preserve"> Техните усилия допринесоха за избора на социално-икономическата интеграция на маргинализираните общности на ромите като специфичен инвестиционен приоритет в рамките на оперативните програми. Това осигури устойчиво финансиране за мерките за интегриране на ромите до 2020 г.</w:t>
      </w:r>
    </w:p>
    <w:p>
      <w:pPr>
        <w:spacing w:after="60" w:line="240" w:lineRule="auto"/>
        <w:ind w:right="1"/>
        <w:jc w:val="both"/>
        <w:rPr>
          <w:rFonts w:ascii="Times New Roman" w:hAnsi="Times New Roman"/>
          <w:b/>
          <w:bCs/>
          <w:noProof/>
          <w:sz w:val="24"/>
        </w:rPr>
      </w:pPr>
      <w:r>
        <w:rPr>
          <w:rFonts w:ascii="Times New Roman" w:hAnsi="Times New Roman"/>
          <w:noProof/>
          <w:sz w:val="24"/>
        </w:rPr>
        <w:t>Някои от националните звена за контакт по въпросите на ромите работят в тясно сътрудничество с местните органи, като предоставят методологична подкрепа в разработването на местни планове за действие, и си сътрудничат с представители на ромското гражданско общество и гражданското общество, защитаващо ромските интереси. Тяхната дейност е все по-видима за заинтересованите страни. Въпреки това е необходимо по-нататъшно подобряване по отношение, по-специално,</w:t>
      </w:r>
      <w:r>
        <w:rPr>
          <w:rFonts w:ascii="Times New Roman" w:hAnsi="Times New Roman"/>
          <w:b/>
          <w:noProof/>
          <w:sz w:val="24"/>
        </w:rPr>
        <w:t xml:space="preserve"> </w:t>
      </w:r>
      <w:r>
        <w:rPr>
          <w:rFonts w:ascii="Times New Roman" w:hAnsi="Times New Roman"/>
          <w:noProof/>
          <w:sz w:val="24"/>
        </w:rPr>
        <w:t xml:space="preserve">на </w:t>
      </w:r>
      <w:r>
        <w:rPr>
          <w:rFonts w:ascii="Times New Roman" w:hAnsi="Times New Roman"/>
          <w:b/>
          <w:noProof/>
          <w:sz w:val="24"/>
        </w:rPr>
        <w:t>сътрудничеството с местните власти, гражданското общество и особено с частния сектор при действията за изпълнение</w:t>
      </w:r>
      <w:r>
        <w:rPr>
          <w:rFonts w:ascii="Times New Roman" w:hAnsi="Times New Roman"/>
          <w:noProof/>
          <w:sz w:val="24"/>
        </w:rPr>
        <w:t>. От докладите на държавите членки става ясно, че по-голямата част от докладваните мерки, особено в областта на образованието и здравеопазването, се изпълняват от националните публични органи, докато за изпълнението на мерките в сферата на жилищното настаняване и заетостта обикновено отговарят местните органи. Гражданските организации са най-активни в здравеопазването, следвано от образованието, но следва допълнително да се насърчава тяхното партньорство в изпълнението във всички приложими области. Потенциалната роля на частния сектор остава до голяма степен неизползвана.</w:t>
      </w:r>
    </w:p>
    <w:p>
      <w:pPr>
        <w:spacing w:after="60" w:line="240" w:lineRule="auto"/>
        <w:ind w:right="1"/>
        <w:jc w:val="both"/>
        <w:rPr>
          <w:rFonts w:ascii="Times New Roman" w:hAnsi="Times New Roman"/>
          <w:bCs/>
          <w:noProof/>
          <w:sz w:val="24"/>
        </w:rPr>
      </w:pPr>
      <w:r>
        <w:rPr>
          <w:rFonts w:ascii="Times New Roman" w:hAnsi="Times New Roman"/>
          <w:noProof/>
          <w:sz w:val="24"/>
        </w:rPr>
        <w:t xml:space="preserve">В много държави членки е установено сътрудничество между звената за контакт и </w:t>
      </w:r>
      <w:r>
        <w:rPr>
          <w:rFonts w:ascii="Times New Roman" w:hAnsi="Times New Roman"/>
          <w:b/>
          <w:noProof/>
          <w:sz w:val="24"/>
        </w:rPr>
        <w:t>органите по въпросите на равенството</w:t>
      </w:r>
      <w:r>
        <w:rPr>
          <w:rStyle w:val="FootnoteReference"/>
          <w:rFonts w:ascii="Times New Roman" w:hAnsi="Times New Roman"/>
          <w:b/>
          <w:noProof/>
          <w:sz w:val="24"/>
        </w:rPr>
        <w:footnoteReference w:id="23"/>
      </w:r>
      <w:r>
        <w:rPr>
          <w:rFonts w:ascii="Times New Roman" w:hAnsi="Times New Roman"/>
          <w:noProof/>
          <w:sz w:val="24"/>
        </w:rPr>
        <w:t>. И двата вида органи предоставят принос за политиките и подкрепа, когато е необходимо. Все още е необходимо да се увеличат техните човешки и финансови ресурси и да се подобри сътрудничеството между тях и неговата ефективност.</w:t>
      </w:r>
    </w:p>
    <w:p>
      <w:pPr>
        <w:spacing w:after="60" w:line="240" w:lineRule="auto"/>
        <w:ind w:right="1"/>
        <w:jc w:val="both"/>
        <w:rPr>
          <w:rFonts w:ascii="Times New Roman" w:hAnsi="Times New Roman" w:cs="Times New Roman"/>
          <w:bCs/>
          <w:noProof/>
          <w:sz w:val="24"/>
        </w:rPr>
      </w:pPr>
      <w:r>
        <w:rPr>
          <w:rFonts w:ascii="Times New Roman" w:hAnsi="Times New Roman"/>
          <w:noProof/>
          <w:sz w:val="24"/>
        </w:rPr>
        <w:t xml:space="preserve">Все по-признато е значението на </w:t>
      </w:r>
      <w:r>
        <w:rPr>
          <w:rFonts w:ascii="Times New Roman" w:hAnsi="Times New Roman"/>
          <w:b/>
          <w:noProof/>
          <w:sz w:val="24"/>
        </w:rPr>
        <w:t>транснационалното сътрудничество</w:t>
      </w:r>
      <w:r>
        <w:rPr>
          <w:rFonts w:ascii="Times New Roman" w:hAnsi="Times New Roman"/>
          <w:noProof/>
          <w:sz w:val="24"/>
        </w:rPr>
        <w:t>, то се практикува все повече и се насърчава от всички заинтересовани страни на всички равнища. Органите обменят най-добри практики помежду си както на национално равнище (например чрез мрежата EURoma, свързваща звената за контакт и управляващите органи с цел да се подобри използването на европейските структурни и инвестиционни фондове за приобщаване на ромите), така и на общинско равнище (например в рамките на стратегията на ЕС за региона на река Дунав). С цел да се засили транснационалното сътрудничество за интегриране на ромите бяха сключени двустранни национални споразумения (например между Франция и Румъния, между Швеция и Румъния).</w:t>
      </w:r>
      <w:r>
        <w:rPr>
          <w:rFonts w:ascii="Times New Roman" w:hAnsi="Times New Roman"/>
          <w:noProof/>
          <w:color w:val="0F243E"/>
          <w:sz w:val="20"/>
        </w:rPr>
        <w:t xml:space="preserve"> </w:t>
      </w:r>
      <w:r>
        <w:rPr>
          <w:rFonts w:ascii="Times New Roman" w:hAnsi="Times New Roman"/>
          <w:noProof/>
          <w:sz w:val="24"/>
        </w:rPr>
        <w:t>Интегрирането на ромите е обхванато и от транснационалното сътрудничество на местно равнище (например в рамките на работната група за ромите на асоциация „Евроградове“ или на новия компонент по програма ROMACT в подкрепа на изграждането на капацитет и дейностите за транснационално сътрудничество с цел подпомагане на местните органи).</w:t>
      </w:r>
      <w:r>
        <w:rPr>
          <w:rFonts w:ascii="Times New Roman" w:hAnsi="Times New Roman"/>
          <w:noProof/>
          <w:color w:val="0F243E"/>
          <w:sz w:val="20"/>
        </w:rPr>
        <w:t xml:space="preserve"> </w:t>
      </w:r>
      <w:r>
        <w:rPr>
          <w:rFonts w:ascii="Times New Roman" w:hAnsi="Times New Roman"/>
          <w:noProof/>
          <w:sz w:val="24"/>
        </w:rPr>
        <w:t>Няколко положителни примера на сътрудничество между общини в Западна и Източна Европа са насочени към предоставянето на услуги за ромите, в това число в областта на образованието (например Глазгоу и Осло с Белфаст, Арад, Крайова, Тимишоара) или заетостта (например Гент с Глазгоу, Атина, Малмьо).</w:t>
      </w:r>
    </w:p>
    <w:p>
      <w:pPr>
        <w:spacing w:after="60" w:line="240" w:lineRule="auto"/>
        <w:ind w:right="1"/>
        <w:jc w:val="both"/>
        <w:rPr>
          <w:noProof/>
        </w:rPr>
      </w:pPr>
      <w:r>
        <w:rPr>
          <w:rFonts w:ascii="Times New Roman" w:hAnsi="Times New Roman"/>
          <w:noProof/>
          <w:sz w:val="24"/>
        </w:rPr>
        <w:t xml:space="preserve">Държавите членки предприеха стъпки за установяването на система за </w:t>
      </w:r>
      <w:r>
        <w:rPr>
          <w:rFonts w:ascii="Times New Roman" w:hAnsi="Times New Roman"/>
          <w:b/>
          <w:noProof/>
          <w:sz w:val="24"/>
        </w:rPr>
        <w:t xml:space="preserve">наблюдение </w:t>
      </w:r>
      <w:r>
        <w:rPr>
          <w:rFonts w:ascii="Times New Roman" w:hAnsi="Times New Roman"/>
          <w:noProof/>
          <w:sz w:val="24"/>
        </w:rPr>
        <w:t>на националните стратегии за интегриране на ромите.</w:t>
      </w:r>
      <w:r>
        <w:rPr>
          <w:noProof/>
        </w:rPr>
        <w:t xml:space="preserve"> </w:t>
      </w:r>
      <w:r>
        <w:rPr>
          <w:rFonts w:ascii="Times New Roman" w:hAnsi="Times New Roman"/>
          <w:noProof/>
          <w:sz w:val="24"/>
        </w:rPr>
        <w:t>Изискването в рамките на европейските структурни и инвестиционни фондове за наличието на стабилни методи за наблюдение играе важна роля за подобряване на оценката на въздействието на мерките за интегриране на ромите.  Въпреки това са необходими допълнителни усилия, за да се даде възможност за оценяване на резултатите за ромите от докладваните целенасочени и общи мерки, включително тяхното въздействие върху сегрегационните тенденции, нивото на образование и равнищата на заетост на ромите и достъпа до жилища и здравни услуги в една интегрирана рамка. За тази цел Агенцията на ЕС за основните права ще продължи дейността си за разработване на показатели за интегриране на ромите, които следва да подкрепят създаването на методология за докладване благодарение на принос от всички заинтересовани страни. Необходимо е по-добро съгласуване на наблюдението на мерките за интегриране на ромите и на средствата от европейските структурни и инвестиционни фондове за приобщаване на ромите, което да се постигне чрез по-тясна координация между звената за контакт и управляващите органи на европейските структурни и инвестиционни фондове, за да се гарантира, че средствата достигат до ромите.</w:t>
      </w:r>
    </w:p>
    <w:p>
      <w:pPr>
        <w:keepNext/>
        <w:spacing w:before="240" w:after="60" w:line="240" w:lineRule="auto"/>
        <w:jc w:val="both"/>
        <w:rPr>
          <w:rFonts w:ascii="Times New Roman" w:hAnsi="Times New Roman" w:cs="Times New Roman"/>
          <w:b/>
          <w:bCs/>
          <w:noProof/>
          <w:sz w:val="24"/>
        </w:rPr>
      </w:pPr>
      <w:r>
        <w:rPr>
          <w:rFonts w:ascii="Times New Roman" w:hAnsi="Times New Roman"/>
          <w:b/>
          <w:noProof/>
          <w:sz w:val="24"/>
        </w:rPr>
        <w:t>3.7. Финансиране</w:t>
      </w:r>
    </w:p>
    <w:p>
      <w:pPr>
        <w:keepNext/>
        <w:spacing w:after="60" w:line="240" w:lineRule="auto"/>
        <w:jc w:val="both"/>
        <w:rPr>
          <w:rFonts w:ascii="Times New Roman" w:hAnsi="Times New Roman" w:cs="Times New Roman"/>
          <w:bCs/>
          <w:noProof/>
          <w:sz w:val="24"/>
        </w:rPr>
      </w:pPr>
      <w:r>
        <w:rPr>
          <w:rFonts w:ascii="Times New Roman" w:hAnsi="Times New Roman"/>
          <w:noProof/>
          <w:sz w:val="24"/>
        </w:rPr>
        <w:t>В съобщението си от 2015 г. Комисията представи възможностите в рамките на програмния период 2014—2020 г. В работния документ на службите на Комисията за всяка държава членка беше докладвано по-общото разпределяне на средства на национално равнище за социално приобщаване и борба с бедността и дискриминацията. Следва да се отбележи, че в рамките на своето по-общо разпределяне на средства за социално приобщаване 12 държави членки</w:t>
      </w:r>
      <w:r>
        <w:rPr>
          <w:rStyle w:val="FootnoteReference"/>
          <w:rFonts w:ascii="Times New Roman" w:hAnsi="Times New Roman"/>
          <w:noProof/>
          <w:color w:val="000000"/>
          <w:sz w:val="24"/>
        </w:rPr>
        <w:footnoteReference w:id="24"/>
      </w:r>
      <w:r>
        <w:rPr>
          <w:rFonts w:ascii="Times New Roman" w:hAnsi="Times New Roman"/>
          <w:noProof/>
          <w:sz w:val="24"/>
        </w:rPr>
        <w:t xml:space="preserve"> избраха новия инвестиционен приоритет, който дава възможност за </w:t>
      </w:r>
      <w:r>
        <w:rPr>
          <w:rFonts w:ascii="Times New Roman" w:hAnsi="Times New Roman"/>
          <w:b/>
          <w:noProof/>
          <w:sz w:val="24"/>
        </w:rPr>
        <w:t>ясно определена, но не изключителна насоченост към ромите</w:t>
      </w:r>
      <w:r>
        <w:rPr>
          <w:rFonts w:ascii="Times New Roman" w:hAnsi="Times New Roman"/>
          <w:noProof/>
          <w:sz w:val="24"/>
        </w:rPr>
        <w:t>, и заделиха за него средства в общ размер от 1,5 милиарда евро.</w:t>
      </w:r>
      <w:r>
        <w:rPr>
          <w:rFonts w:ascii="Times New Roman" w:hAnsi="Times New Roman"/>
          <w:noProof/>
          <w:color w:val="000000"/>
          <w:sz w:val="24"/>
        </w:rPr>
        <w:t xml:space="preserve"> </w:t>
      </w:r>
      <w:r>
        <w:rPr>
          <w:rFonts w:ascii="Times New Roman" w:hAnsi="Times New Roman"/>
          <w:noProof/>
          <w:sz w:val="24"/>
        </w:rPr>
        <w:t>Бяха набелязани н</w:t>
      </w:r>
      <w:r>
        <w:rPr>
          <w:rFonts w:ascii="Times New Roman" w:hAnsi="Times New Roman"/>
          <w:noProof/>
          <w:color w:val="000000"/>
          <w:sz w:val="24"/>
        </w:rPr>
        <w:t>яколко други инвестиционни приоритета по европейските структурни и инвестиционни фондове, за да допринесат за приобщаването на ромите</w:t>
      </w:r>
      <w:r>
        <w:rPr>
          <w:rStyle w:val="FootnoteReference"/>
          <w:rFonts w:ascii="Times New Roman" w:hAnsi="Times New Roman"/>
          <w:noProof/>
          <w:color w:val="000000"/>
          <w:sz w:val="24"/>
        </w:rPr>
        <w:footnoteReference w:id="25"/>
      </w:r>
      <w:r>
        <w:rPr>
          <w:noProof/>
        </w:rPr>
        <w:t>.</w:t>
      </w:r>
    </w:p>
    <w:p>
      <w:pPr>
        <w:spacing w:after="60" w:line="240" w:lineRule="auto"/>
        <w:ind w:right="1"/>
        <w:jc w:val="both"/>
        <w:rPr>
          <w:rFonts w:ascii="Times New Roman" w:hAnsi="Times New Roman" w:cs="Times New Roman"/>
          <w:noProof/>
          <w:sz w:val="24"/>
        </w:rPr>
      </w:pPr>
      <w:r>
        <w:rPr>
          <w:rFonts w:ascii="Times New Roman" w:hAnsi="Times New Roman"/>
          <w:noProof/>
          <w:sz w:val="24"/>
        </w:rPr>
        <w:t xml:space="preserve">По отношение на </w:t>
      </w:r>
      <w:r>
        <w:rPr>
          <w:rFonts w:ascii="Times New Roman" w:hAnsi="Times New Roman"/>
          <w:b/>
          <w:noProof/>
          <w:sz w:val="24"/>
        </w:rPr>
        <w:t>националното публично финансиране</w:t>
      </w:r>
      <w:r>
        <w:rPr>
          <w:rFonts w:ascii="Times New Roman" w:hAnsi="Times New Roman"/>
          <w:noProof/>
          <w:sz w:val="24"/>
        </w:rPr>
        <w:t xml:space="preserve">, сред основните области на политиката най-много инвестиции привличат образованието и жилищното настаняване, много по-малко се инвестира в заетостта и още по-малко — в здравеопазването. Докладваното национално финансиране за хоризонтални и структурни мерки е незначително. По отношение на </w:t>
      </w:r>
      <w:r>
        <w:rPr>
          <w:rFonts w:ascii="Times New Roman" w:hAnsi="Times New Roman"/>
          <w:b/>
          <w:noProof/>
          <w:sz w:val="24"/>
        </w:rPr>
        <w:t>финансирането от европейските структурни и инвестиционни фондове</w:t>
      </w:r>
      <w:r>
        <w:rPr>
          <w:rFonts w:ascii="Times New Roman" w:hAnsi="Times New Roman"/>
          <w:noProof/>
          <w:sz w:val="24"/>
        </w:rPr>
        <w:t xml:space="preserve"> и в съответствие със специфичните за всяка държава препоръки в рамките на европейския семестър, двете основни инвестиционни области са приобщаващото образование (включително образованието в ранна детска възраст) и заетостта, като за жилищно настаняване също е заделена значителна сума. Средствата, отпуснати за инвестиции в здравеопазването, са значително по-малко. За хоризонтални и структурни мерки най-голямо финансиране, главно от европейските структурни и инвестиционни фондове, получават закрилата на жените и децата и борбата с дискриминацията. </w:t>
      </w:r>
    </w:p>
    <w:p>
      <w:pPr>
        <w:spacing w:after="60" w:line="240" w:lineRule="auto"/>
        <w:ind w:right="1"/>
        <w:jc w:val="both"/>
        <w:rPr>
          <w:rFonts w:ascii="Times New Roman" w:hAnsi="Times New Roman" w:cs="Times New Roman"/>
          <w:bCs/>
          <w:noProof/>
          <w:sz w:val="24"/>
        </w:rPr>
      </w:pPr>
      <w:r>
        <w:rPr>
          <w:rFonts w:ascii="Times New Roman" w:hAnsi="Times New Roman"/>
          <w:noProof/>
          <w:sz w:val="24"/>
        </w:rPr>
        <w:t xml:space="preserve">Няколко държави членки </w:t>
      </w:r>
      <w:r>
        <w:rPr>
          <w:rFonts w:ascii="Times New Roman" w:hAnsi="Times New Roman"/>
          <w:b/>
          <w:noProof/>
          <w:sz w:val="24"/>
        </w:rPr>
        <w:t>картографираха ромските общности</w:t>
      </w:r>
      <w:r>
        <w:rPr>
          <w:rFonts w:ascii="Times New Roman" w:hAnsi="Times New Roman"/>
          <w:noProof/>
          <w:sz w:val="24"/>
        </w:rPr>
        <w:t>, като въведоха етнически или социално-икономически показатели (т.е. нуждаещи се/сегрегирани квартали, лица в най-голяма нужда, карти на бедността и т.н.), за да се подобри насочването и разпределянето на средства от европейските структурни и инвестиционни фондове за интегриране на ромите.</w:t>
      </w:r>
    </w:p>
    <w:p>
      <w:pPr>
        <w:keepNext/>
        <w:spacing w:before="240" w:after="60" w:line="240" w:lineRule="auto"/>
        <w:jc w:val="both"/>
        <w:rPr>
          <w:rFonts w:ascii="Times New Roman" w:hAnsi="Times New Roman" w:cs="Times New Roman"/>
          <w:b/>
          <w:bCs/>
          <w:noProof/>
          <w:sz w:val="24"/>
        </w:rPr>
      </w:pPr>
      <w:r>
        <w:rPr>
          <w:rFonts w:ascii="Times New Roman" w:hAnsi="Times New Roman"/>
          <w:b/>
          <w:noProof/>
          <w:sz w:val="24"/>
        </w:rPr>
        <w:t>4. Разширяване</w:t>
      </w:r>
    </w:p>
    <w:p>
      <w:pPr>
        <w:spacing w:after="60" w:line="240" w:lineRule="auto"/>
        <w:ind w:right="1"/>
        <w:jc w:val="both"/>
        <w:rPr>
          <w:rFonts w:ascii="Times New Roman" w:hAnsi="Times New Roman" w:cs="Times New Roman"/>
          <w:bCs/>
          <w:noProof/>
          <w:sz w:val="24"/>
        </w:rPr>
      </w:pPr>
      <w:r>
        <w:rPr>
          <w:rFonts w:ascii="Times New Roman" w:hAnsi="Times New Roman"/>
          <w:noProof/>
          <w:sz w:val="24"/>
        </w:rPr>
        <w:t>Интегрирането на ромите продължава да бъде основен приоритет в процеса на разширяване. Комисията работи в тясно сътрудничество с държавите от Западните Балкани и Турция и следи за изпълнението на поетите задължения. По линия на Инструмента за предприсъединителна помощ (ИПП II) се полагат значителни усилия за подпомагане на програми за интегриране на ромите на национално и регионално равнище. Въпреки това положението на по-голямата част от ромските общности продължава да буди безпокойство. Приемането на законодателни или политически документи не е достатъчно. Следва на национално равнище да бъдат заделени достатъчни бюджетни средства за изпълнение на мерките за интегриране, като се обърне особено внимание на прилагането на местно равнище. Ромските общности трябва да участват пълноценно в планирането, изпълнението и наблюдението. Инициативата „Десетилетие на ромското включване“</w:t>
      </w:r>
      <w:r>
        <w:rPr>
          <w:rStyle w:val="FootnoteReference"/>
          <w:rFonts w:ascii="Times New Roman" w:hAnsi="Times New Roman"/>
          <w:noProof/>
          <w:sz w:val="24"/>
        </w:rPr>
        <w:footnoteReference w:id="26"/>
      </w:r>
      <w:r>
        <w:rPr>
          <w:rFonts w:ascii="Times New Roman" w:hAnsi="Times New Roman"/>
          <w:noProof/>
          <w:sz w:val="24"/>
        </w:rPr>
        <w:t xml:space="preserve"> гарантира, че интеграцията на ромите се превръща в част от политическия дневен ред. В етапа, следващ инициативата, усилията трябва да се съсредоточат върху постигането на измерими резултати на място, ясно намаляване на разликите между ромите и останалата част от населението, като се обърне особено внимание на приоритетните области (образование, заетост, здравеопазване, жилищно настаняване и гражданска документация), както и в хоризонталните области, свързани с пола и антиромските настроения. Политиките за интегриране на ромите трябва да бъдат засилени в отговор на настоящата криза с бежанците; значителна част от върнатите лица в държави от Западните Балкани, определени понастоящем като сигурни страни на произход, са роми.</w:t>
      </w:r>
    </w:p>
    <w:p>
      <w:pPr>
        <w:keepNext/>
        <w:spacing w:before="240" w:after="60" w:line="240" w:lineRule="auto"/>
        <w:jc w:val="both"/>
        <w:rPr>
          <w:rFonts w:ascii="Times New Roman" w:hAnsi="Times New Roman" w:cs="Times New Roman"/>
          <w:b/>
          <w:bCs/>
          <w:noProof/>
          <w:sz w:val="24"/>
        </w:rPr>
      </w:pPr>
      <w:r>
        <w:rPr>
          <w:rFonts w:ascii="Times New Roman" w:hAnsi="Times New Roman"/>
          <w:b/>
          <w:noProof/>
          <w:sz w:val="24"/>
        </w:rPr>
        <w:t>5. Заключения и следващи стъпки</w:t>
      </w:r>
    </w:p>
    <w:p>
      <w:pPr>
        <w:spacing w:after="60" w:line="240" w:lineRule="auto"/>
        <w:ind w:right="1"/>
        <w:jc w:val="both"/>
        <w:rPr>
          <w:rFonts w:ascii="Times New Roman" w:hAnsi="Times New Roman" w:cs="Times New Roman"/>
          <w:bCs/>
          <w:noProof/>
          <w:sz w:val="24"/>
        </w:rPr>
      </w:pPr>
      <w:r>
        <w:rPr>
          <w:rFonts w:ascii="Times New Roman" w:hAnsi="Times New Roman"/>
          <w:noProof/>
          <w:sz w:val="24"/>
        </w:rPr>
        <w:t xml:space="preserve">Правните, политическите и финансовите инструменти на европейско равнище бяха въведени. Държавите членки създадоха структури за координация, въведоха целенасочени и общи мерки в отговор на препоръката на Съвета и отпуснаха финансиране. При оценката бяха откроени </w:t>
      </w:r>
      <w:r>
        <w:rPr>
          <w:rFonts w:ascii="Times New Roman" w:hAnsi="Times New Roman"/>
          <w:b/>
          <w:noProof/>
          <w:sz w:val="24"/>
        </w:rPr>
        <w:t>някои положителни тенденции</w:t>
      </w:r>
      <w:r>
        <w:rPr>
          <w:rFonts w:ascii="Times New Roman" w:hAnsi="Times New Roman"/>
          <w:noProof/>
          <w:sz w:val="24"/>
        </w:rPr>
        <w:t xml:space="preserve">, като например нарастващото внимание към образованието в ранна детска възраст, новата връзка между приоритетите на политиката за интегриране на ромите и използването на европейските структурни и инвестиционни фондове за периода 2014—2020 г. и ролята на националните звена за контакт по въпросите на ромите при планирането на това финансиране. Усилията обаче не успяха да предотвратят по-нататъшното влошаване на условията на живот на ромите и широко разпространената враждебност на преобладаващото население. Бяха установени </w:t>
      </w:r>
      <w:r>
        <w:rPr>
          <w:rFonts w:ascii="Times New Roman" w:hAnsi="Times New Roman"/>
          <w:b/>
          <w:noProof/>
          <w:sz w:val="24"/>
        </w:rPr>
        <w:t>сериозни проблеми</w:t>
      </w:r>
      <w:r>
        <w:rPr>
          <w:rFonts w:ascii="Times New Roman" w:hAnsi="Times New Roman"/>
          <w:noProof/>
          <w:sz w:val="24"/>
        </w:rPr>
        <w:t xml:space="preserve"> в борбата срещу дискриминацията на ромите, особено по отношение на сегрегацията при жилищното настаняване и в образованието, както и в предотвратяването на принудителното изселване. Необходимо е да се предприемат действия, за да се гарантира трайна ангажираност на местно равнище и практическо прилагане. Продължават да са недостатъчни сътрудничеството с гражданското общество и участието на частния сектор в прилагането. Следва да се подобри и отчитането на ефекта от усилията за интегриране на място.</w:t>
      </w:r>
    </w:p>
    <w:p>
      <w:pPr>
        <w:spacing w:after="60" w:line="240" w:lineRule="auto"/>
        <w:ind w:right="1"/>
        <w:jc w:val="both"/>
        <w:rPr>
          <w:rFonts w:ascii="Times New Roman" w:hAnsi="Times New Roman" w:cs="Times New Roman"/>
          <w:noProof/>
          <w:sz w:val="24"/>
          <w:szCs w:val="24"/>
        </w:rPr>
      </w:pPr>
      <w:r>
        <w:rPr>
          <w:rFonts w:ascii="Times New Roman" w:hAnsi="Times New Roman"/>
          <w:noProof/>
          <w:sz w:val="24"/>
        </w:rPr>
        <w:t xml:space="preserve">Държавите членки следва да гарантират </w:t>
      </w:r>
      <w:r>
        <w:rPr>
          <w:rFonts w:ascii="Times New Roman" w:hAnsi="Times New Roman"/>
          <w:b/>
          <w:noProof/>
          <w:sz w:val="24"/>
        </w:rPr>
        <w:t>потвърждаване на политическата ангажираност за интегриране на ромите</w:t>
      </w:r>
      <w:r>
        <w:rPr>
          <w:rFonts w:ascii="Times New Roman" w:hAnsi="Times New Roman"/>
          <w:noProof/>
          <w:sz w:val="24"/>
        </w:rPr>
        <w:t xml:space="preserve">, така че съществуващите правни, политически и финансови инструменти да се използват изцяло за постигането на осезаеми резултати на място. </w:t>
      </w:r>
      <w:r>
        <w:rPr>
          <w:rFonts w:ascii="Times New Roman" w:hAnsi="Times New Roman"/>
          <w:b/>
          <w:noProof/>
          <w:sz w:val="24"/>
        </w:rPr>
        <w:t>Прилагането на местно равнище е от първостепенно значение.</w:t>
      </w:r>
    </w:p>
    <w:p>
      <w:pPr>
        <w:spacing w:after="60" w:line="240" w:lineRule="auto"/>
        <w:ind w:right="1"/>
        <w:jc w:val="both"/>
        <w:rPr>
          <w:rFonts w:ascii="Times New Roman" w:hAnsi="Times New Roman" w:cs="Times New Roman"/>
          <w:b/>
          <w:noProof/>
          <w:sz w:val="24"/>
          <w:szCs w:val="24"/>
        </w:rPr>
      </w:pPr>
      <w:r>
        <w:rPr>
          <w:rFonts w:ascii="Times New Roman" w:hAnsi="Times New Roman"/>
          <w:b/>
          <w:noProof/>
          <w:sz w:val="24"/>
        </w:rPr>
        <w:t>Комисията призовава държавите членки да разгледат следните спешни приоритети:</w:t>
      </w:r>
    </w:p>
    <w:p>
      <w:pPr>
        <w:pStyle w:val="ListParagraph"/>
        <w:numPr>
          <w:ilvl w:val="0"/>
          <w:numId w:val="4"/>
        </w:numPr>
        <w:spacing w:after="60"/>
        <w:ind w:right="1"/>
        <w:jc w:val="both"/>
        <w:rPr>
          <w:noProof/>
        </w:rPr>
      </w:pPr>
      <w:r>
        <w:rPr>
          <w:b/>
          <w:noProof/>
        </w:rPr>
        <w:t>Прилагане на законодателството</w:t>
      </w:r>
      <w:r>
        <w:rPr>
          <w:noProof/>
        </w:rPr>
        <w:t xml:space="preserve"> и предпазните мерки</w:t>
      </w:r>
      <w:r>
        <w:rPr>
          <w:b/>
          <w:noProof/>
        </w:rPr>
        <w:t xml:space="preserve"> за борба с дискриминацията, расизма и ксенофобията</w:t>
      </w:r>
      <w:r>
        <w:rPr>
          <w:noProof/>
        </w:rPr>
        <w:t xml:space="preserve"> на национално и местно равнище чрез: </w:t>
      </w:r>
    </w:p>
    <w:p>
      <w:pPr>
        <w:pStyle w:val="ListParagraph"/>
        <w:numPr>
          <w:ilvl w:val="1"/>
          <w:numId w:val="4"/>
        </w:numPr>
        <w:spacing w:after="60"/>
        <w:ind w:left="709" w:right="1" w:hanging="283"/>
        <w:jc w:val="both"/>
        <w:rPr>
          <w:noProof/>
        </w:rPr>
      </w:pPr>
      <w:r>
        <w:rPr>
          <w:noProof/>
        </w:rPr>
        <w:t xml:space="preserve">наблюдение, противостоене, докладване и санкциониране на дискриминацията срещу ромите във всички области на политиката; </w:t>
      </w:r>
    </w:p>
    <w:p>
      <w:pPr>
        <w:pStyle w:val="ListParagraph"/>
        <w:numPr>
          <w:ilvl w:val="1"/>
          <w:numId w:val="4"/>
        </w:numPr>
        <w:spacing w:after="60"/>
        <w:ind w:left="709" w:right="1" w:hanging="283"/>
        <w:jc w:val="both"/>
        <w:rPr>
          <w:noProof/>
        </w:rPr>
      </w:pPr>
      <w:r>
        <w:rPr>
          <w:noProof/>
        </w:rPr>
        <w:t xml:space="preserve">инкриминиране на публичното подбуждане към насилие или омраза, включително на основание на етнически произход; </w:t>
      </w:r>
    </w:p>
    <w:p>
      <w:pPr>
        <w:pStyle w:val="ListParagraph"/>
        <w:numPr>
          <w:ilvl w:val="1"/>
          <w:numId w:val="4"/>
        </w:numPr>
        <w:spacing w:after="60"/>
        <w:ind w:left="709" w:right="1" w:hanging="283"/>
        <w:jc w:val="both"/>
        <w:rPr>
          <w:noProof/>
        </w:rPr>
      </w:pPr>
      <w:r>
        <w:rPr>
          <w:noProof/>
        </w:rPr>
        <w:t xml:space="preserve">въвеждане на мерки за справяне с трафика на хора, които отчитат елементите, свързани с пола, и са съобразени с интересите на децата; </w:t>
      </w:r>
    </w:p>
    <w:p>
      <w:pPr>
        <w:pStyle w:val="ListParagraph"/>
        <w:numPr>
          <w:ilvl w:val="1"/>
          <w:numId w:val="4"/>
        </w:numPr>
        <w:spacing w:after="60"/>
        <w:ind w:left="709" w:right="1" w:hanging="283"/>
        <w:jc w:val="both"/>
        <w:rPr>
          <w:noProof/>
        </w:rPr>
      </w:pPr>
      <w:r>
        <w:rPr>
          <w:noProof/>
        </w:rPr>
        <w:t>провеждане на кампании за повишаване на осведомеността и за борба с дискриминацията, насочени към преобладаващото население и основните заинтересовани лица, за да се насърчи разбирането на икономическия императив и взаимните ползи от приобщаването на ромите.</w:t>
      </w:r>
    </w:p>
    <w:p>
      <w:pPr>
        <w:pStyle w:val="ListParagraph"/>
        <w:numPr>
          <w:ilvl w:val="0"/>
          <w:numId w:val="4"/>
        </w:numPr>
        <w:spacing w:after="60"/>
        <w:ind w:right="1"/>
        <w:jc w:val="both"/>
        <w:rPr>
          <w:noProof/>
        </w:rPr>
      </w:pPr>
      <w:r>
        <w:rPr>
          <w:b/>
          <w:noProof/>
        </w:rPr>
        <w:t>Предотвратяване на изселванията въз основа на етнически произход</w:t>
      </w:r>
      <w:r>
        <w:rPr>
          <w:noProof/>
        </w:rPr>
        <w:t>, като се гарантира, че всяко изселване се извършва при пълно спазване на основните права и се предоставя подходящо алтернативно жилищно настаняване за изселените семейства, за да се избегне бездомността и задълбочаването на социалното изключване, чрез проучване на възможностите за инвестиране на средства от европейските социални и инвестиционни фондове за подобряване на положението по отношение на жилищното настаняване на ромите.</w:t>
      </w:r>
    </w:p>
    <w:p>
      <w:pPr>
        <w:pStyle w:val="ListParagraph"/>
        <w:numPr>
          <w:ilvl w:val="0"/>
          <w:numId w:val="4"/>
        </w:numPr>
        <w:spacing w:after="60"/>
        <w:ind w:right="1"/>
        <w:jc w:val="both"/>
        <w:rPr>
          <w:noProof/>
        </w:rPr>
      </w:pPr>
      <w:r>
        <w:rPr>
          <w:b/>
          <w:noProof/>
        </w:rPr>
        <w:t>Премахване на сегрегацията в образованието и жилищното настаняване</w:t>
      </w:r>
      <w:r>
        <w:rPr>
          <w:noProof/>
        </w:rPr>
        <w:t xml:space="preserve"> в съответствие с насоките на Комисията чрез законодателни мерки, реформа на политиките с цел приобщаване, обучение на учителите, разпространение на приобщаващи методи и изрични мерки за премахване на сегрегацията, в съчетание с целенасочена подкрепа за преодоляване на всички пречки пред достъпа, като се използват в пълна степен възможностите в рамките на европейските структурни и инвестиционни фондове.  </w:t>
      </w:r>
    </w:p>
    <w:p>
      <w:pPr>
        <w:pStyle w:val="ListParagraph"/>
        <w:numPr>
          <w:ilvl w:val="0"/>
          <w:numId w:val="4"/>
        </w:numPr>
        <w:spacing w:after="60"/>
        <w:ind w:right="1"/>
        <w:jc w:val="both"/>
        <w:rPr>
          <w:noProof/>
        </w:rPr>
      </w:pPr>
      <w:r>
        <w:rPr>
          <w:b/>
          <w:noProof/>
        </w:rPr>
        <w:t>Въвеждане на предпазни и целеви мерки, за да се гарантира, че общите интервенции действително достигат до ромите</w:t>
      </w:r>
      <w:r>
        <w:rPr>
          <w:noProof/>
        </w:rPr>
        <w:t>, особено по отношение на заетостта и здравеопазването.</w:t>
      </w:r>
    </w:p>
    <w:p>
      <w:pPr>
        <w:pStyle w:val="ListParagraph"/>
        <w:numPr>
          <w:ilvl w:val="0"/>
          <w:numId w:val="4"/>
        </w:numPr>
        <w:spacing w:after="60"/>
        <w:ind w:right="1"/>
        <w:jc w:val="both"/>
        <w:rPr>
          <w:noProof/>
        </w:rPr>
      </w:pPr>
      <w:r>
        <w:rPr>
          <w:b/>
          <w:noProof/>
        </w:rPr>
        <w:t>Разширяване и умножаване на маломащабните инициативи</w:t>
      </w:r>
      <w:r>
        <w:rPr>
          <w:noProof/>
        </w:rPr>
        <w:t>, които са се доказали като успешни, с използването на средства от фондовете за програмния период 2014—2020 г.</w:t>
      </w:r>
    </w:p>
    <w:p>
      <w:pPr>
        <w:pStyle w:val="ListParagraph"/>
        <w:numPr>
          <w:ilvl w:val="0"/>
          <w:numId w:val="4"/>
        </w:numPr>
        <w:spacing w:after="60"/>
        <w:ind w:right="1"/>
        <w:jc w:val="both"/>
        <w:rPr>
          <w:noProof/>
        </w:rPr>
      </w:pPr>
      <w:r>
        <w:rPr>
          <w:b/>
          <w:noProof/>
        </w:rPr>
        <w:t>Доразработване на методологиите за събиране на данни, наблюдение и докладване</w:t>
      </w:r>
      <w:r>
        <w:rPr>
          <w:noProof/>
        </w:rPr>
        <w:t>, за да се отговори на очакванията за отчетност при изразходването на публични средства и за да се гарантира, че се оценява въздействието на целенасочените и общите мерки върху ромите, че се извличат поуки от изпълнението на политиките и в резултат на това политиките се преразглеждат.</w:t>
      </w:r>
    </w:p>
    <w:p>
      <w:pPr>
        <w:pStyle w:val="ListParagraph"/>
        <w:numPr>
          <w:ilvl w:val="0"/>
          <w:numId w:val="4"/>
        </w:numPr>
        <w:spacing w:after="60"/>
        <w:ind w:right="1"/>
        <w:jc w:val="both"/>
        <w:rPr>
          <w:noProof/>
        </w:rPr>
      </w:pPr>
      <w:r>
        <w:rPr>
          <w:b/>
          <w:noProof/>
        </w:rPr>
        <w:t>Пълноценно използване на националните платформи по въпросите на ромите, за да се осигури приобщаващо участие на всички заинтересовани страни</w:t>
      </w:r>
      <w:r>
        <w:rPr>
          <w:noProof/>
        </w:rPr>
        <w:t xml:space="preserve"> в изпълнението, наблюдението, докладването и прегледа на политиките, за да се насърчат обменът, оценката и трансферът на добри практики, за изграждане на партньорства и за още по-активно участие на ромските общности, местните органи, гражданското общество и частния сектор.</w:t>
      </w:r>
    </w:p>
    <w:p>
      <w:pPr>
        <w:spacing w:after="60" w:line="240" w:lineRule="auto"/>
        <w:ind w:right="1"/>
        <w:jc w:val="both"/>
        <w:rPr>
          <w:rFonts w:ascii="Times New Roman" w:hAnsi="Times New Roman" w:cs="Times New Roman"/>
          <w:noProof/>
          <w:sz w:val="24"/>
        </w:rPr>
      </w:pPr>
      <w:r>
        <w:rPr>
          <w:rFonts w:ascii="Times New Roman" w:hAnsi="Times New Roman"/>
          <w:noProof/>
          <w:sz w:val="24"/>
        </w:rPr>
        <w:t xml:space="preserve">Комисията ще продължи да подкрепя държавите членки, да гарантира необходимата ангажираност на европейско равнище за приобщаване на ромите и да използва всички налични средства за насърчаване на диалог и сътрудничество. </w:t>
      </w:r>
      <w:r>
        <w:rPr>
          <w:rFonts w:ascii="Times New Roman" w:hAnsi="Times New Roman"/>
          <w:b/>
          <w:noProof/>
          <w:sz w:val="24"/>
        </w:rPr>
        <w:t>Ключовите приоритети на Комисията включват следното:</w:t>
      </w:r>
    </w:p>
    <w:p>
      <w:pPr>
        <w:pStyle w:val="ListParagraph"/>
        <w:numPr>
          <w:ilvl w:val="0"/>
          <w:numId w:val="4"/>
        </w:numPr>
        <w:spacing w:after="60"/>
        <w:ind w:right="1"/>
        <w:jc w:val="both"/>
        <w:rPr>
          <w:noProof/>
        </w:rPr>
      </w:pPr>
      <w:r>
        <w:rPr>
          <w:b/>
          <w:noProof/>
        </w:rPr>
        <w:t>Предприемане на действия за осигуряване на пълно прилагане на законодателството за борба с дискриминацията и противодействие на антиромските настроения</w:t>
      </w:r>
      <w:r>
        <w:rPr>
          <w:noProof/>
        </w:rPr>
        <w:t xml:space="preserve"> чрез използване на наличните правни инструменти.  </w:t>
      </w:r>
    </w:p>
    <w:p>
      <w:pPr>
        <w:pStyle w:val="ListParagraph"/>
        <w:numPr>
          <w:ilvl w:val="0"/>
          <w:numId w:val="4"/>
        </w:numPr>
        <w:spacing w:after="60"/>
        <w:ind w:right="1"/>
        <w:jc w:val="both"/>
        <w:rPr>
          <w:noProof/>
        </w:rPr>
      </w:pPr>
      <w:r>
        <w:rPr>
          <w:b/>
          <w:noProof/>
        </w:rPr>
        <w:t>Подкрепа за националните платформи по въпросите на ромите</w:t>
      </w:r>
      <w:r>
        <w:rPr>
          <w:noProof/>
        </w:rPr>
        <w:t xml:space="preserve"> с цел насърчаване на приобщаващото сътрудничество между всички заинтересовани страни на национално равнище.</w:t>
      </w:r>
    </w:p>
    <w:p>
      <w:pPr>
        <w:pStyle w:val="ListParagraph"/>
        <w:numPr>
          <w:ilvl w:val="0"/>
          <w:numId w:val="4"/>
        </w:numPr>
        <w:spacing w:after="60"/>
        <w:ind w:right="1"/>
        <w:jc w:val="both"/>
        <w:rPr>
          <w:noProof/>
        </w:rPr>
      </w:pPr>
      <w:r>
        <w:rPr>
          <w:noProof/>
        </w:rPr>
        <w:t xml:space="preserve">Подпомагане на усилията на държавите членки за интегриране на ромите посредством </w:t>
      </w:r>
      <w:r>
        <w:rPr>
          <w:b/>
          <w:noProof/>
        </w:rPr>
        <w:t>улесняване на обмена, сътрудничеството и целенасочените тематични дискусии в рамките на мрежата на националните звена за контакт по въпросите на ромите</w:t>
      </w:r>
      <w:r>
        <w:rPr>
          <w:noProof/>
        </w:rPr>
        <w:t>.</w:t>
      </w:r>
    </w:p>
    <w:p>
      <w:pPr>
        <w:pStyle w:val="ListParagraph"/>
        <w:numPr>
          <w:ilvl w:val="0"/>
          <w:numId w:val="4"/>
        </w:numPr>
        <w:spacing w:after="60"/>
        <w:ind w:right="1"/>
        <w:jc w:val="both"/>
        <w:rPr>
          <w:noProof/>
        </w:rPr>
      </w:pPr>
      <w:r>
        <w:rPr>
          <w:noProof/>
        </w:rPr>
        <w:t xml:space="preserve">Осигуряване на </w:t>
      </w:r>
      <w:r>
        <w:rPr>
          <w:b/>
          <w:noProof/>
        </w:rPr>
        <w:t>диалог на високо равнище и насоки на политиката</w:t>
      </w:r>
      <w:r>
        <w:rPr>
          <w:noProof/>
        </w:rPr>
        <w:t xml:space="preserve"> посредством провеждането на двустранни мисии за наблюдение с участието на националните и местните власти, както и на гражданското общество.</w:t>
      </w:r>
    </w:p>
    <w:p>
      <w:pPr>
        <w:pStyle w:val="ListParagraph"/>
        <w:numPr>
          <w:ilvl w:val="0"/>
          <w:numId w:val="4"/>
        </w:numPr>
        <w:spacing w:after="60"/>
        <w:ind w:right="1"/>
        <w:jc w:val="both"/>
        <w:rPr>
          <w:noProof/>
        </w:rPr>
      </w:pPr>
      <w:r>
        <w:rPr>
          <w:noProof/>
        </w:rPr>
        <w:t xml:space="preserve">Насърчаване на участието и диалога на европейско равнище на всички заинтересовани страни в рамките на реформираната </w:t>
      </w:r>
      <w:r>
        <w:rPr>
          <w:b/>
          <w:noProof/>
        </w:rPr>
        <w:t>европейска платформа за приобщаване на ромите</w:t>
      </w:r>
      <w:r>
        <w:rPr>
          <w:noProof/>
        </w:rPr>
        <w:t>.</w:t>
      </w:r>
    </w:p>
    <w:p>
      <w:pPr>
        <w:pStyle w:val="ListParagraph"/>
        <w:numPr>
          <w:ilvl w:val="0"/>
          <w:numId w:val="4"/>
        </w:numPr>
        <w:spacing w:after="60"/>
        <w:ind w:right="1"/>
        <w:jc w:val="both"/>
        <w:rPr>
          <w:noProof/>
        </w:rPr>
      </w:pPr>
      <w:r>
        <w:rPr>
          <w:b/>
          <w:noProof/>
        </w:rPr>
        <w:t>Подкрепа за изграждането на капацитета на местните органи и гражданското общество</w:t>
      </w:r>
      <w:r>
        <w:rPr>
          <w:noProof/>
        </w:rPr>
        <w:t>, с цел да се насърчи тяхното активно мобилизиране.</w:t>
      </w:r>
    </w:p>
    <w:p>
      <w:pPr>
        <w:pStyle w:val="ListParagraph"/>
        <w:numPr>
          <w:ilvl w:val="0"/>
          <w:numId w:val="4"/>
        </w:numPr>
        <w:spacing w:after="60"/>
        <w:ind w:right="1"/>
        <w:jc w:val="both"/>
        <w:rPr>
          <w:noProof/>
        </w:rPr>
      </w:pPr>
      <w:r>
        <w:rPr>
          <w:b/>
          <w:noProof/>
        </w:rPr>
        <w:t>Разработване на стратегически подход към интегрирането на ромите за периода след 2020 г.</w:t>
      </w:r>
      <w:r>
        <w:rPr>
          <w:noProof/>
        </w:rPr>
        <w:t>, с оглед на евентуалното преразглеждане на препоръката на Съвета, предвидено за 2019 г., като се вземат под внимание оставащите различия между ромите и останалата част от населението в областта на образованието, заетостта, здравеопазването и жилищното настаняване, както и борбата срещу дискриминацията, а така също и текущите разисквания относно средносрочна оценка на рамката на ЕС за национални стратегии за интегриране на ромите.</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965174"/>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COM(2011) 173 final, подкрепена от държавните и правителствените ръководители на 23—24 юни 2011 г.</w:t>
      </w:r>
    </w:p>
  </w:footnote>
  <w:footnote w:id="2">
    <w:p>
      <w:pPr>
        <w:widowControl w:val="0"/>
        <w:autoSpaceDE w:val="0"/>
        <w:autoSpaceDN w:val="0"/>
        <w:adjustRightInd w:val="0"/>
        <w:spacing w:after="0" w:line="240" w:lineRule="auto"/>
        <w:ind w:right="-142"/>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Терминът „стратегии“ обхваща и интегрирани набори от мерки на политиката. Държавите членки са обозначени със следните съкращения: AT — Австрия , BE — Белгия, BG — България, CY — Кипър, CZ — Чешка република, DE — Германия, DK — Дания, EE — Естония, EL — Гърция, ES — Испания, FI — Финландия, FR — Франция, HU — Унгария, HR — Хърватия, IE — Ирландия, IT — Италия, LT — Литва, LU — Люксембург, LV — Латвия, MT — Малта, NL — Нидерландия, PL — Полша, PT — Португалия, RO — Румъния, SE — Швеция, SI — Словения, SK — Словакия, UK — Обединеното кралство. Малта няма ромско население на своя територия.</w:t>
      </w:r>
    </w:p>
  </w:footnote>
  <w:footnote w:id="3">
    <w:p>
      <w:pPr>
        <w:widowControl w:val="0"/>
        <w:autoSpaceDE w:val="0"/>
        <w:autoSpaceDN w:val="0"/>
        <w:adjustRightInd w:val="0"/>
        <w:spacing w:after="0" w:line="240" w:lineRule="auto"/>
        <w:ind w:right="-142"/>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OВ C 378, 24.12.2013 г., стp. 1.</w:t>
      </w:r>
    </w:p>
  </w:footnote>
  <w:footnote w:id="4">
    <w:p>
      <w:pPr>
        <w:widowControl w:val="0"/>
        <w:autoSpaceDE w:val="0"/>
        <w:autoSpaceDN w:val="0"/>
        <w:adjustRightInd w:val="0"/>
        <w:spacing w:after="0" w:line="240" w:lineRule="auto"/>
        <w:ind w:right="-142"/>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Работната група за разработване на показатели за интеграцията на ромите, с помощта на Агенцията за основните права и с участието на 17 държави членки (AT, BE, BG, CZ, EL, ES, FI, FR, HR, HU, IE, IT, NL, PT, RO, SK, UK), разработи рамка за докладване в съответствие със структурата на препоръката. Все още предстои да бъде финализирана рамка за показателите за интеграцията на ромите, която прави връзка между мерките и вложените ресурси и резултатите.</w:t>
      </w:r>
    </w:p>
  </w:footnote>
  <w:footnote w:id="5">
    <w:p>
      <w:pPr>
        <w:pStyle w:val="Defaul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color w:val="auto"/>
          <w:sz w:val="18"/>
        </w:rPr>
        <w:t>NL представи качествено проучване на условията на живот на ромите, възложено от правителството и извършено от университета „Erasmus“. В продължение на дълъг период от време DK не беше определила национално звено за контакт по въпросите на ромите. Неотдавна беше определено такова звено за контакт, но на Комисията не беше представен доклад относно мерките, въведени съгласно препоръката на Съвета.</w:t>
      </w:r>
    </w:p>
  </w:footnote>
  <w:footnote w:id="6">
    <w:p>
      <w:pPr>
        <w:spacing w:after="0" w:line="240" w:lineRule="auto"/>
        <w:ind w:right="-142"/>
        <w:jc w:val="both"/>
        <w:rPr>
          <w:rFonts w:ascii="Times New Roman" w:hAnsi="Times New Roman" w:cs="Times New Roman"/>
          <w:sz w:val="18"/>
          <w:szCs w:val="18"/>
          <w:lang w:val="pl-PL"/>
        </w:rPr>
      </w:pPr>
      <w:r>
        <w:rPr>
          <w:rStyle w:val="FootnoteReference"/>
          <w:rFonts w:ascii="Times New Roman" w:hAnsi="Times New Roman"/>
          <w:sz w:val="18"/>
        </w:rPr>
        <w:footnoteRef/>
      </w:r>
      <w:r>
        <w:rPr>
          <w:rFonts w:ascii="Times New Roman" w:hAnsi="Times New Roman"/>
          <w:sz w:val="18"/>
        </w:rPr>
        <w:t xml:space="preserve"> BG, CZ, HU, RO, SK: </w:t>
      </w:r>
      <w:hyperlink r:id="rId1">
        <w:r>
          <w:rPr>
            <w:rStyle w:val="Hyperlink"/>
            <w:rFonts w:ascii="Times New Roman" w:hAnsi="Times New Roman"/>
            <w:sz w:val="18"/>
          </w:rPr>
          <w:t>http://ec.europa.eu/europe2020/making-it-happen/country-specific-recommendations/index_en.htm</w:t>
        </w:r>
      </w:hyperlink>
      <w:r>
        <w:rPr>
          <w:rFonts w:ascii="Times New Roman" w:hAnsi="Times New Roman"/>
          <w:sz w:val="18"/>
        </w:rPr>
        <w:t>.</w:t>
      </w:r>
    </w:p>
  </w:footnote>
  <w:footnote w:id="7">
    <w:p>
      <w:pPr>
        <w:pStyle w:val="FootnoteText"/>
        <w:jc w:val="both"/>
      </w:pPr>
      <w:r>
        <w:rPr>
          <w:rStyle w:val="FootnoteReference"/>
          <w:rFonts w:ascii="Times New Roman" w:hAnsi="Times New Roman"/>
          <w:sz w:val="18"/>
        </w:rPr>
        <w:footnoteRef/>
      </w:r>
      <w:r>
        <w:t xml:space="preserve"> </w:t>
      </w:r>
      <w:r>
        <w:rPr>
          <w:rFonts w:ascii="Times New Roman" w:hAnsi="Times New Roman"/>
          <w:sz w:val="18"/>
        </w:rPr>
        <w:t>Участниците в мрежата се срещат два пъти годишно. Мрежата беше създадена през 2012 г. с цел да се насърчава взаимното учене и сътрудничество във връзка с изпълнението на националните стратегии за интегриране на ромите и Комисията да предоставя подкрепа по въпросите, набелязани от звената за контакт. В рамките на мрежата се сформират тематични работни групи (понастоящем по въпросите на транснационалното сътрудничество и ромските деца), които дават възможност за провеждането на по-задълбочени обсъждания.</w:t>
      </w:r>
    </w:p>
  </w:footnote>
  <w:footnote w:id="8">
    <w:p>
      <w:pPr>
        <w:pStyle w:val="FootnoteText"/>
      </w:pPr>
      <w:r>
        <w:rPr>
          <w:rStyle w:val="FootnoteReference"/>
          <w:rFonts w:ascii="Times New Roman" w:hAnsi="Times New Roman"/>
          <w:sz w:val="18"/>
        </w:rPr>
        <w:footnoteRef/>
      </w:r>
      <w:r>
        <w:t xml:space="preserve"> </w:t>
      </w:r>
      <w:hyperlink r:id="rId2">
        <w:r>
          <w:rPr>
            <w:rStyle w:val="Hyperlink"/>
            <w:rFonts w:ascii="Times New Roman" w:hAnsi="Times New Roman"/>
            <w:sz w:val="16"/>
          </w:rPr>
          <w:t>http://ec.europa.eu/justice/discrimination/roma/for-roma-with-roma/index_en.htm</w:t>
        </w:r>
      </w:hyperlink>
      <w:r>
        <w:rPr>
          <w:rStyle w:val="Hyperlink"/>
          <w:rFonts w:ascii="Times New Roman" w:hAnsi="Times New Roman"/>
          <w:sz w:val="16"/>
        </w:rPr>
        <w:t>.</w:t>
      </w:r>
    </w:p>
  </w:footnote>
  <w:footnote w:id="9">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Програмите ROMED2 и ROMACT.</w:t>
      </w:r>
    </w:p>
  </w:footnote>
  <w:footnote w:id="10">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Директива 2000/43/ЕО на Съвета от 29 юни 2000 г. относно прилагане на принципа на равно третиране на лица без разлика на расата или етническия произход (ОВ L 180, 19.7.2000 г.)</w:t>
      </w:r>
    </w:p>
  </w:footnote>
  <w:footnote w:id="11">
    <w:p>
      <w:pPr>
        <w:pStyle w:val="FootnoteText"/>
        <w:ind w:right="-142"/>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Словакия през април 2015 г. Първото производство започна през септември 2014 г. срещу Чешката република.</w:t>
      </w:r>
    </w:p>
  </w:footnote>
  <w:footnote w:id="12">
    <w:p>
      <w:pPr>
        <w:pStyle w:val="FootnoteText"/>
        <w:ind w:right="-142"/>
        <w:jc w:val="both"/>
        <w:rPr>
          <w:rFonts w:ascii="Times New Roman" w:hAnsi="Times New Roman" w:cs="Times New Roman"/>
          <w:sz w:val="18"/>
          <w:szCs w:val="18"/>
          <w:lang w:val="nn-NO"/>
        </w:rPr>
      </w:pPr>
      <w:r>
        <w:rPr>
          <w:rStyle w:val="FootnoteReference"/>
          <w:rFonts w:ascii="Times New Roman" w:hAnsi="Times New Roman"/>
          <w:sz w:val="18"/>
        </w:rPr>
        <w:footnoteRef/>
      </w:r>
      <w:r>
        <w:rPr>
          <w:rFonts w:ascii="Times New Roman" w:hAnsi="Times New Roman"/>
          <w:sz w:val="18"/>
        </w:rPr>
        <w:t xml:space="preserve"> 2008/913/ПВР, OВ L 328, 28.11.2008 г.</w:t>
      </w:r>
    </w:p>
  </w:footnote>
  <w:footnote w:id="13">
    <w:p>
      <w:pPr>
        <w:pStyle w:val="FootnoteText"/>
        <w:ind w:right="-142"/>
        <w:jc w:val="both"/>
        <w:rPr>
          <w:rFonts w:ascii="Times New Roman" w:hAnsi="Times New Roman" w:cs="Times New Roman"/>
          <w:sz w:val="18"/>
          <w:szCs w:val="18"/>
          <w:lang w:val="nn-NO"/>
        </w:rPr>
      </w:pPr>
      <w:r>
        <w:rPr>
          <w:rStyle w:val="FootnoteReference"/>
          <w:rFonts w:ascii="Times New Roman" w:hAnsi="Times New Roman"/>
          <w:sz w:val="18"/>
        </w:rPr>
        <w:footnoteRef/>
      </w:r>
      <w:r>
        <w:rPr>
          <w:rFonts w:ascii="Times New Roman" w:hAnsi="Times New Roman"/>
          <w:sz w:val="18"/>
        </w:rPr>
        <w:t xml:space="preserve"> </w:t>
      </w:r>
      <w:hyperlink r:id="rId3">
        <w:r>
          <w:rPr>
            <w:rStyle w:val="Hyperlink"/>
            <w:rFonts w:ascii="Times New Roman" w:hAnsi="Times New Roman"/>
            <w:sz w:val="18"/>
          </w:rPr>
          <w:t>http://ec.europa.eu/regional_policy/sources/docgener/informat/2014/thematic_guidance_fiche_segregation_en.pdf</w:t>
        </w:r>
      </w:hyperlink>
      <w:r>
        <w:rPr>
          <w:rFonts w:ascii="Times New Roman" w:hAnsi="Times New Roman"/>
          <w:sz w:val="18"/>
        </w:rPr>
        <w:t>.</w:t>
      </w:r>
    </w:p>
  </w:footnote>
  <w:footnote w:id="14">
    <w:p>
      <w:pPr>
        <w:pStyle w:val="FootnoteText"/>
        <w:ind w:right="-142"/>
        <w:jc w:val="both"/>
        <w:rPr>
          <w:rStyle w:val="Hyperlink"/>
          <w:rFonts w:ascii="Times New Roman" w:hAnsi="Times New Roman" w:cs="Times New Roman"/>
          <w:sz w:val="18"/>
          <w:szCs w:val="18"/>
          <w:lang w:val="nn-NO"/>
        </w:rPr>
      </w:pPr>
      <w:r>
        <w:rPr>
          <w:rStyle w:val="FootnoteReference"/>
          <w:rFonts w:ascii="Times New Roman" w:hAnsi="Times New Roman"/>
          <w:sz w:val="18"/>
        </w:rPr>
        <w:footnoteRef/>
      </w:r>
      <w:r>
        <w:rPr>
          <w:rFonts w:ascii="Times New Roman" w:hAnsi="Times New Roman"/>
          <w:sz w:val="18"/>
        </w:rPr>
        <w:t xml:space="preserve"> </w:t>
      </w:r>
      <w:hyperlink r:id="rId4">
        <w:r>
          <w:rPr>
            <w:rStyle w:val="Hyperlink"/>
            <w:rFonts w:ascii="Times New Roman" w:hAnsi="Times New Roman"/>
            <w:sz w:val="18"/>
          </w:rPr>
          <w:t>http://ec.europa.eu/justice/discrimination/files/rights_against_discrimination_web_en.pdf</w:t>
        </w:r>
      </w:hyperlink>
      <w:r>
        <w:rPr>
          <w:rStyle w:val="Hyperlink"/>
          <w:rFonts w:ascii="Times New Roman" w:hAnsi="Times New Roman"/>
          <w:sz w:val="18"/>
        </w:rPr>
        <w:t>.</w:t>
      </w:r>
    </w:p>
  </w:footnote>
  <w:footnote w:id="15">
    <w:p>
      <w:pPr>
        <w:pStyle w:val="FootnoteText"/>
        <w:ind w:right="-142"/>
        <w:jc w:val="both"/>
        <w:rPr>
          <w:rStyle w:val="Hyperlink"/>
          <w:rFonts w:ascii="Times New Roman" w:hAnsi="Times New Roman" w:cs="Times New Roman"/>
          <w:sz w:val="18"/>
          <w:szCs w:val="18"/>
          <w:lang w:val="nn-NO"/>
        </w:rPr>
      </w:pPr>
      <w:r>
        <w:rPr>
          <w:rStyle w:val="FootnoteReference"/>
          <w:rFonts w:ascii="Times New Roman" w:hAnsi="Times New Roman"/>
          <w:sz w:val="18"/>
        </w:rPr>
        <w:footnoteRef/>
      </w:r>
      <w:r>
        <w:rPr>
          <w:rFonts w:ascii="Times New Roman" w:hAnsi="Times New Roman"/>
          <w:sz w:val="18"/>
        </w:rPr>
        <w:t xml:space="preserve"> </w:t>
      </w:r>
      <w:hyperlink r:id="rId5">
        <w:r>
          <w:rPr>
            <w:rStyle w:val="Hyperlink"/>
            <w:rFonts w:ascii="Times New Roman" w:hAnsi="Times New Roman"/>
            <w:sz w:val="18"/>
          </w:rPr>
          <w:t>http://www.schooleducationgateway.eu/en/pub/resources/toolkitsforschools/general.htm</w:t>
        </w:r>
      </w:hyperlink>
      <w:r>
        <w:rPr>
          <w:rStyle w:val="Hyperlink"/>
          <w:rFonts w:ascii="Times New Roman" w:hAnsi="Times New Roman"/>
          <w:sz w:val="18"/>
        </w:rPr>
        <w:t>.</w:t>
      </w:r>
    </w:p>
  </w:footnote>
  <w:footnote w:id="16">
    <w:p>
      <w:pPr>
        <w:pStyle w:val="FootnoteText"/>
        <w:ind w:right="-142"/>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15.4.2015 г., 2015/2615(RSP).</w:t>
      </w:r>
    </w:p>
  </w:footnote>
  <w:footnote w:id="17">
    <w:p>
      <w:pPr>
        <w:pStyle w:val="FootnoteText"/>
        <w:ind w:right="-142"/>
        <w:jc w:val="both"/>
        <w:rPr>
          <w:rStyle w:val="Hyperlink"/>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Специално издание на Евробарометър 437, 2015 г.</w:t>
      </w:r>
    </w:p>
  </w:footnote>
  <w:footnote w:id="18">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BG, CZ, SK</w:t>
      </w:r>
    </w:p>
  </w:footnote>
  <w:footnote w:id="19">
    <w:p>
      <w:pPr>
        <w:pStyle w:val="FootnoteText"/>
        <w:ind w:right="-142"/>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Европол: Доклад за положението  — Трафикът на хора в ЕС.</w:t>
      </w:r>
    </w:p>
  </w:footnote>
  <w:footnote w:id="20">
    <w:p>
      <w:pPr>
        <w:pStyle w:val="FootnoteText"/>
        <w:rPr>
          <w:rFonts w:ascii="Times New Roman" w:hAnsi="Times New Roman" w:cs="Times New Roman"/>
          <w:sz w:val="18"/>
          <w:szCs w:val="18"/>
        </w:rPr>
      </w:pPr>
      <w:r>
        <w:rPr>
          <w:rStyle w:val="FootnoteReference"/>
          <w:rFonts w:ascii="Times New Roman" w:hAnsi="Times New Roman"/>
          <w:sz w:val="18"/>
        </w:rPr>
        <w:footnoteRef/>
      </w:r>
      <w:r>
        <w:t xml:space="preserve"> </w:t>
      </w:r>
      <w:r>
        <w:rPr>
          <w:rFonts w:ascii="Times New Roman" w:hAnsi="Times New Roman"/>
          <w:sz w:val="18"/>
        </w:rPr>
        <w:t>BG, CZ, HU, FI</w:t>
      </w:r>
    </w:p>
  </w:footnote>
  <w:footnote w:id="21">
    <w:p>
      <w:pPr>
        <w:pStyle w:val="FootnoteText"/>
        <w:ind w:right="-142"/>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През 2015 г. международни организации в областта на правата на човека и представители на гражданското общество изразиха многобройни опасения във връзка с принудителните изселвания в няколко държави членки. Вж. например </w:t>
      </w:r>
      <w:hyperlink r:id="rId6">
        <w:r>
          <w:rPr>
            <w:rStyle w:val="Hyperlink"/>
            <w:rFonts w:ascii="Times New Roman" w:hAnsi="Times New Roman"/>
            <w:sz w:val="18"/>
          </w:rPr>
          <w:t>http://www.coe.int/en/web/commissioner/-/european-countries-must-stop-forced-evictions-of-roma</w:t>
        </w:r>
      </w:hyperlink>
      <w:r>
        <w:rPr>
          <w:rStyle w:val="Hyperlink"/>
          <w:rFonts w:ascii="Times New Roman" w:hAnsi="Times New Roman"/>
          <w:sz w:val="18"/>
        </w:rPr>
        <w:t xml:space="preserve">. </w:t>
      </w:r>
      <w:r>
        <w:rPr>
          <w:rFonts w:ascii="Times New Roman" w:hAnsi="Times New Roman"/>
          <w:sz w:val="18"/>
        </w:rPr>
        <w:t>В повечето случаи не беше предоставено алтернативно настаняване в социални жилища, а в няколко случая децата бяха отведени от семействата.</w:t>
      </w:r>
    </w:p>
  </w:footnote>
  <w:footnote w:id="22">
    <w:p>
      <w:pPr>
        <w:pStyle w:val="FootnoteText"/>
      </w:pPr>
      <w:r>
        <w:rPr>
          <w:rStyle w:val="FootnoteReference"/>
          <w:rFonts w:ascii="Times New Roman" w:hAnsi="Times New Roman"/>
          <w:sz w:val="18"/>
        </w:rPr>
        <w:footnoteRef/>
      </w:r>
      <w:r>
        <w:t xml:space="preserve"> </w:t>
      </w:r>
      <w:r>
        <w:rPr>
          <w:rFonts w:ascii="Times New Roman" w:hAnsi="Times New Roman"/>
          <w:sz w:val="18"/>
        </w:rPr>
        <w:t xml:space="preserve">Във връзка с европейските структурни и инвестиционни фондове вж. </w:t>
      </w:r>
      <w:hyperlink r:id="rId7">
        <w:r>
          <w:rPr>
            <w:rStyle w:val="Hyperlink"/>
            <w:rFonts w:ascii="Times New Roman" w:hAnsi="Times New Roman"/>
            <w:sz w:val="18"/>
          </w:rPr>
          <w:t>http://ec.europa.eu/regional_policy/bg/funding/</w:t>
        </w:r>
      </w:hyperlink>
      <w:r>
        <w:rPr>
          <w:rFonts w:ascii="Times New Roman" w:hAnsi="Times New Roman"/>
          <w:sz w:val="18"/>
        </w:rPr>
        <w:t xml:space="preserve">; във връзка със засиленото партньорство в планирането, изпълнението и наблюдението на средства от европейските структурни и инвестиционни фондове вж. </w:t>
      </w:r>
      <w:hyperlink r:id="rId8">
        <w:r>
          <w:rPr>
            <w:rStyle w:val="Hyperlink"/>
            <w:rFonts w:ascii="Times New Roman" w:hAnsi="Times New Roman"/>
            <w:sz w:val="18"/>
          </w:rPr>
          <w:t>http://ec.europa.eu/regional_policy/en/policy/what/glossary/e/european-code-of-conduct</w:t>
        </w:r>
      </w:hyperlink>
      <w:r>
        <w:rPr>
          <w:rFonts w:ascii="Times New Roman" w:hAnsi="Times New Roman"/>
          <w:sz w:val="18"/>
        </w:rPr>
        <w:t>.</w:t>
      </w:r>
    </w:p>
  </w:footnote>
  <w:footnote w:id="23">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Органи, създадени в рамките на директивите на ЕС за равенството 2000/43/ЕО, 2004/113/ЕО и 2006/54/ЕО.</w:t>
      </w:r>
    </w:p>
  </w:footnote>
  <w:footnote w:id="24">
    <w:p>
      <w:pPr>
        <w:pStyle w:val="FootnoteText"/>
        <w:rPr>
          <w:rFonts w:ascii="Times New Roman" w:hAnsi="Times New Roman" w:cs="Times New Roman"/>
          <w:sz w:val="18"/>
          <w:szCs w:val="18"/>
        </w:rPr>
      </w:pPr>
      <w:r>
        <w:rPr>
          <w:rStyle w:val="FootnoteReference"/>
          <w:rFonts w:ascii="Times New Roman" w:hAnsi="Times New Roman"/>
          <w:sz w:val="18"/>
        </w:rPr>
        <w:footnoteRef/>
      </w:r>
      <w:r>
        <w:t xml:space="preserve"> </w:t>
      </w:r>
      <w:r>
        <w:rPr>
          <w:rFonts w:ascii="Times New Roman" w:hAnsi="Times New Roman"/>
          <w:sz w:val="18"/>
        </w:rPr>
        <w:t xml:space="preserve">AT, BE, BG, CZ, ES, FR, EL, HU, IT, PL, RO, SK </w:t>
      </w:r>
    </w:p>
  </w:footnote>
  <w:footnote w:id="25">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sz w:val="18"/>
        </w:rPr>
        <w:t>Например по Европейския социален фонд: намаляване на преждевременното напускане на училище и насърчаване на равния достъп до висококачествено предучилищно, основно и средно образование; или борба срещу всички форми на дискриминация и насърчаване на равенството на възможностите. По Европейския фонд за регионално развитие: социална, здравна или образователна инфраструктура или подкрепа за физическото, икономическото и социалното обновление на нуждаещите се общности.</w:t>
      </w:r>
    </w:p>
  </w:footnote>
  <w:footnote w:id="26">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9">
        <w:r>
          <w:rPr>
            <w:rStyle w:val="Hyperlink"/>
            <w:rFonts w:ascii="Times New Roman" w:hAnsi="Times New Roman"/>
            <w:sz w:val="18"/>
          </w:rPr>
          <w:t>http://www.romadecade.org/</w:t>
        </w:r>
      </w:hyperlink>
      <w:r>
        <w:rPr>
          <w:rFonts w:ascii="Times New Roman" w:hAnsi="Times New Roman"/>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22101"/>
    <w:multiLevelType w:val="hybridMultilevel"/>
    <w:tmpl w:val="2DBAAD70"/>
    <w:lvl w:ilvl="0" w:tplc="6B74B19C">
      <w:start w:val="1"/>
      <w:numFmt w:val="bullet"/>
      <w:lvlText w:val="•"/>
      <w:lvlJc w:val="left"/>
      <w:pPr>
        <w:ind w:left="360" w:hanging="360"/>
      </w:pPr>
      <w:rPr>
        <w:rFonts w:ascii="Times" w:hAnsi="Times"/>
      </w:rPr>
    </w:lvl>
    <w:lvl w:ilvl="1" w:tplc="CB8C6840">
      <w:start w:val="1"/>
      <w:numFmt w:val="bullet"/>
      <w:lvlText w:val="o"/>
      <w:lvlJc w:val="left"/>
      <w:pPr>
        <w:ind w:left="1080" w:hanging="360"/>
      </w:pPr>
      <w:rPr>
        <w:rFonts w:ascii="Courier New" w:hAnsi="Courier New"/>
      </w:rPr>
    </w:lvl>
    <w:lvl w:ilvl="2" w:tplc="F4841112">
      <w:start w:val="1"/>
      <w:numFmt w:val="bullet"/>
      <w:lvlText w:val=""/>
      <w:lvlJc w:val="left"/>
      <w:pPr>
        <w:ind w:left="1800" w:hanging="360"/>
      </w:pPr>
      <w:rPr>
        <w:rFonts w:ascii="Wingdings" w:hAnsi="Wingdings"/>
      </w:rPr>
    </w:lvl>
    <w:lvl w:ilvl="3" w:tplc="639E4150">
      <w:start w:val="1"/>
      <w:numFmt w:val="bullet"/>
      <w:lvlText w:val=""/>
      <w:lvlJc w:val="left"/>
      <w:pPr>
        <w:ind w:left="2520" w:hanging="360"/>
      </w:pPr>
      <w:rPr>
        <w:rFonts w:ascii="Symbol" w:hAnsi="Symbol"/>
      </w:rPr>
    </w:lvl>
    <w:lvl w:ilvl="4" w:tplc="27AE8168">
      <w:start w:val="1"/>
      <w:numFmt w:val="bullet"/>
      <w:lvlText w:val="o"/>
      <w:lvlJc w:val="left"/>
      <w:pPr>
        <w:ind w:left="3240" w:hanging="360"/>
      </w:pPr>
      <w:rPr>
        <w:rFonts w:ascii="Courier New" w:hAnsi="Courier New"/>
      </w:rPr>
    </w:lvl>
    <w:lvl w:ilvl="5" w:tplc="198EC73C">
      <w:start w:val="1"/>
      <w:numFmt w:val="bullet"/>
      <w:lvlText w:val=""/>
      <w:lvlJc w:val="left"/>
      <w:pPr>
        <w:ind w:left="3960" w:hanging="360"/>
      </w:pPr>
      <w:rPr>
        <w:rFonts w:ascii="Wingdings" w:hAnsi="Wingdings"/>
      </w:rPr>
    </w:lvl>
    <w:lvl w:ilvl="6" w:tplc="FBA6D62A">
      <w:start w:val="1"/>
      <w:numFmt w:val="bullet"/>
      <w:lvlText w:val=""/>
      <w:lvlJc w:val="left"/>
      <w:pPr>
        <w:ind w:left="4680" w:hanging="360"/>
      </w:pPr>
      <w:rPr>
        <w:rFonts w:ascii="Symbol" w:hAnsi="Symbol"/>
      </w:rPr>
    </w:lvl>
    <w:lvl w:ilvl="7" w:tplc="856AB214">
      <w:start w:val="1"/>
      <w:numFmt w:val="bullet"/>
      <w:lvlText w:val="o"/>
      <w:lvlJc w:val="left"/>
      <w:pPr>
        <w:ind w:left="5400" w:hanging="360"/>
      </w:pPr>
      <w:rPr>
        <w:rFonts w:ascii="Courier New" w:hAnsi="Courier New"/>
      </w:rPr>
    </w:lvl>
    <w:lvl w:ilvl="8" w:tplc="2AC42A7A">
      <w:start w:val="1"/>
      <w:numFmt w:val="bullet"/>
      <w:lvlText w:val=""/>
      <w:lvlJc w:val="left"/>
      <w:pPr>
        <w:ind w:left="6120" w:hanging="360"/>
      </w:pPr>
      <w:rPr>
        <w:rFonts w:ascii="Wingdings" w:hAnsi="Wingdings"/>
      </w:rPr>
    </w:lvl>
  </w:abstractNum>
  <w:abstractNum w:abstractNumId="1">
    <w:nsid w:val="3D551674"/>
    <w:multiLevelType w:val="hybridMultilevel"/>
    <w:tmpl w:val="13DC3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3D356A"/>
    <w:multiLevelType w:val="hybridMultilevel"/>
    <w:tmpl w:val="BB3687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E2E48A0"/>
    <w:multiLevelType w:val="hybridMultilevel"/>
    <w:tmpl w:val="BAD87F32"/>
    <w:lvl w:ilvl="0" w:tplc="6B74B19C">
      <w:start w:val="1"/>
      <w:numFmt w:val="bullet"/>
      <w:lvlText w:val="•"/>
      <w:lvlJc w:val="left"/>
      <w:pPr>
        <w:ind w:left="360" w:hanging="360"/>
      </w:pPr>
      <w:rPr>
        <w:rFonts w:ascii="Times" w:hAnsi="Times"/>
      </w:rPr>
    </w:lvl>
    <w:lvl w:ilvl="1" w:tplc="C1CC2A1E">
      <w:start w:val="1"/>
      <w:numFmt w:val="bullet"/>
      <w:lvlText w:val="o"/>
      <w:lvlJc w:val="left"/>
      <w:pPr>
        <w:ind w:left="1080" w:hanging="360"/>
      </w:pPr>
      <w:rPr>
        <w:rFonts w:ascii="Courier New" w:hAnsi="Courier New"/>
      </w:rPr>
    </w:lvl>
    <w:lvl w:ilvl="2" w:tplc="3E20E666">
      <w:start w:val="1"/>
      <w:numFmt w:val="bullet"/>
      <w:lvlText w:val=""/>
      <w:lvlJc w:val="left"/>
      <w:pPr>
        <w:ind w:left="1800" w:hanging="360"/>
      </w:pPr>
      <w:rPr>
        <w:rFonts w:ascii="Wingdings" w:hAnsi="Wingdings"/>
      </w:rPr>
    </w:lvl>
    <w:lvl w:ilvl="3" w:tplc="6520145C">
      <w:start w:val="1"/>
      <w:numFmt w:val="bullet"/>
      <w:lvlText w:val=""/>
      <w:lvlJc w:val="left"/>
      <w:pPr>
        <w:ind w:left="2520" w:hanging="360"/>
      </w:pPr>
      <w:rPr>
        <w:rFonts w:ascii="Symbol" w:hAnsi="Symbol"/>
      </w:rPr>
    </w:lvl>
    <w:lvl w:ilvl="4" w:tplc="70585698">
      <w:start w:val="1"/>
      <w:numFmt w:val="bullet"/>
      <w:lvlText w:val="o"/>
      <w:lvlJc w:val="left"/>
      <w:pPr>
        <w:ind w:left="3240" w:hanging="360"/>
      </w:pPr>
      <w:rPr>
        <w:rFonts w:ascii="Courier New" w:hAnsi="Courier New"/>
      </w:rPr>
    </w:lvl>
    <w:lvl w:ilvl="5" w:tplc="74F2F030">
      <w:start w:val="1"/>
      <w:numFmt w:val="bullet"/>
      <w:lvlText w:val=""/>
      <w:lvlJc w:val="left"/>
      <w:pPr>
        <w:ind w:left="3960" w:hanging="360"/>
      </w:pPr>
      <w:rPr>
        <w:rFonts w:ascii="Wingdings" w:hAnsi="Wingdings"/>
      </w:rPr>
    </w:lvl>
    <w:lvl w:ilvl="6" w:tplc="F36E47D8">
      <w:start w:val="1"/>
      <w:numFmt w:val="bullet"/>
      <w:lvlText w:val=""/>
      <w:lvlJc w:val="left"/>
      <w:pPr>
        <w:ind w:left="4680" w:hanging="360"/>
      </w:pPr>
      <w:rPr>
        <w:rFonts w:ascii="Symbol" w:hAnsi="Symbol"/>
      </w:rPr>
    </w:lvl>
    <w:lvl w:ilvl="7" w:tplc="9DA68196">
      <w:start w:val="1"/>
      <w:numFmt w:val="bullet"/>
      <w:lvlText w:val="o"/>
      <w:lvlJc w:val="left"/>
      <w:pPr>
        <w:ind w:left="5400" w:hanging="360"/>
      </w:pPr>
      <w:rPr>
        <w:rFonts w:ascii="Courier New" w:hAnsi="Courier New"/>
      </w:rPr>
    </w:lvl>
    <w:lvl w:ilvl="8" w:tplc="E5767058">
      <w:start w:val="1"/>
      <w:numFmt w:val="bullet"/>
      <w:lvlText w:val=""/>
      <w:lvlJc w:val="left"/>
      <w:pPr>
        <w:ind w:left="6120" w:hanging="360"/>
      </w:pPr>
      <w:rPr>
        <w:rFonts w:ascii="Wingdings" w:hAnsi="Wingdings"/>
      </w:rPr>
    </w:lvl>
  </w:abstractNum>
  <w:abstractNum w:abstractNumId="4">
    <w:nsid w:val="77831D74"/>
    <w:multiLevelType w:val="hybridMultilevel"/>
    <w:tmpl w:val="4F943112"/>
    <w:lvl w:ilvl="0" w:tplc="6B74B19C">
      <w:start w:val="1"/>
      <w:numFmt w:val="bullet"/>
      <w:lvlText w:val="•"/>
      <w:lvlJc w:val="left"/>
      <w:pPr>
        <w:ind w:left="360" w:hanging="360"/>
      </w:pPr>
      <w:rPr>
        <w:rFonts w:ascii="Times" w:hAnsi="Time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B2B7A0C"/>
    <w:multiLevelType w:val="hybridMultilevel"/>
    <w:tmpl w:val="EE2C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4185D21AB794D8FB1992745CEE112E2"/>
    <w:docVar w:name="LW_CROSSREFERENCE" w:val="{SWD(2016) 209 final}"/>
    <w:docVar w:name="LW_DocType" w:val="NORMAL"/>
    <w:docVar w:name="LW_EMISSION" w:val="27.6.2016"/>
    <w:docVar w:name="LW_EMISSION_ISODATE" w:val="2016-06-27"/>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424"/>
    <w:docVar w:name="LW_REF.INTERNE" w:val="&lt;UNUSED&gt;"/>
    <w:docVar w:name="LW_SOUS.TITRE.OBJ.CP" w:val="&lt;UNUSED&gt;"/>
    <w:docVar w:name="LW_SUPERTITRE" w:val="&lt;UNUSED&gt;"/>
    <w:docVar w:name="LW_TITRE.OBJ.CP" w:val="\u1054?\u1094?\u1077?\u1085?\u1082?\u1072? \u1085?\u1072? \u1080?\u1079?\u1087?\u1098?\u1083?\u1085?\u1077?\u1085?\u1080?\u1077?\u1090?\u1086? \u1085?\u1072? \u1056?\u1072?\u1084?\u1082?\u1072?\u1090?\u1072? \u1085?\u1072? \u1045?\u1057? \u1079?\u1072? \u1085?\u1072?\u1094?\u1080?\u1086?\u1085?\u1072?\u1083?\u1085?\u1080? \u1089?\u1090?\u1088?\u1072?\u1090?\u1077?\u1075?\u1080?\u1080? \u1079?\u1072? \u1080?\u1085?\u1090?\u1077?\u1075?\u1088?\u1080?\u1088?\u1072?\u1085?\u1077? \u1085?\u1072? \u1088?\u1086?\u1084?\u1080?\u1090?\u1077? \u1080? \u1055?\u1088?\u1077?\u1087?\u1086?\u1088?\u1098?\u1082?\u1072?\u1090?\u1072? \u1085?\u1072? \u1057?\u1098?\u1074?\u1077?\u1090?\u1072? \u1086?\u1090?\u1085?\u1086?\u1089?\u1085?\u1086? \u1077?\u1092?\u1077?\u1082?\u1090?\u1080?\u1074?\u1085?\u1080? \u1084?\u1077?\u1088?\u1082?\u1080? \u1079?\u1072? \u1080?\u1085?\u1090?\u1077?\u1075?\u1088?\u1080?\u1088?\u1072?\u1085?\u1077? \u1085?\u1072? \u1088?\u1086?\u1084?\u1080?\u1090?\u1077? \u1074? \u1076?\u1098?\u1088?\u1078?\u1072?\u1074?\u1080?\u1090?\u1077? \u1095?\u1083?\u1077?\u1085?\u1082?\u1080?, 2016 \u1075?."/>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Stamp" w:val="\\dossiers.dgt.cec.eu.int\dossiers\JUST\JUST-2016-01044\JUST-2016-01044-00-00-EN-REV-00.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olor w:val="000000"/>
      <w:sz w:val="24"/>
    </w:rPr>
  </w:style>
  <w:style w:type="character" w:customStyle="1" w:styleId="FooterCoverPageChar">
    <w:name w:val="Footer Cover Page Char"/>
    <w:basedOn w:val="DefaultParagraphFont"/>
    <w:link w:val="FooterCoverPage"/>
    <w:rPr>
      <w:rFonts w:ascii="Times New Roman" w:hAnsi="Times New Roman" w:cs="Times New Roman"/>
      <w:color w:val="00000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olor w:val="000000"/>
      <w:sz w:val="24"/>
    </w:rPr>
  </w:style>
  <w:style w:type="character" w:customStyle="1" w:styleId="HeaderCoverPageChar">
    <w:name w:val="Header Cover Page Char"/>
    <w:basedOn w:val="DefaultParagraphFont"/>
    <w:link w:val="HeaderCoverPage"/>
    <w:rPr>
      <w:rFonts w:ascii="Times New Roman" w:hAnsi="Times New Roman" w:cs="Times New Roman"/>
      <w:color w:val="000000"/>
      <w:sz w:val="24"/>
    </w:rPr>
  </w:style>
  <w:style w:type="paragraph" w:styleId="ListParagraph">
    <w:name w:val="List Paragraph"/>
    <w:aliases w:val="Fiche 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t"/>
    <w:basedOn w:val="Normal"/>
    <w:unhideWhenUsed/>
    <w:pPr>
      <w:spacing w:after="0" w:line="240" w:lineRule="auto"/>
    </w:pPr>
    <w:rPr>
      <w:sz w:val="24"/>
      <w:szCs w:val="24"/>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t Char"/>
    <w:basedOn w:val="DefaultParagraphFont"/>
    <w:rPr>
      <w:sz w:val="24"/>
      <w:szCs w:val="24"/>
    </w:rPr>
  </w:style>
  <w:style w:type="character" w:styleId="FootnoteReference">
    <w:name w:val="footnote reference"/>
    <w:aliases w:val="Footnotes refss,Footnote Refernece,Footnote Refernece + (Latein) Arial,10 pt,Blau,Footnote symbol,Footnote reference number,note TESI,nota pié di pagina,Footnote Reference Superscript,Appel note de bas de p.,callout,4_G,FR,BVI fnr"/>
    <w:basedOn w:val="DefaultParagraphFont"/>
    <w:link w:val="FootnoteReferneceChar"/>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pPr>
      <w:spacing w:before="240"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 w:type="character" w:styleId="Emphasis">
    <w:name w:val="Emphasis"/>
    <w:basedOn w:val="DefaultParagraphFont"/>
    <w:uiPriority w:val="20"/>
    <w:qFormat/>
    <w:rPr>
      <w:i/>
      <w:iCs/>
      <w:vanish w:val="0"/>
      <w:webHidden w:val="0"/>
      <w:color w:val="0099CC"/>
      <w:specVanish w:val="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olor w:val="000000"/>
      <w:sz w:val="24"/>
    </w:rPr>
  </w:style>
  <w:style w:type="character" w:customStyle="1" w:styleId="FooterCoverPageChar">
    <w:name w:val="Footer Cover Page Char"/>
    <w:basedOn w:val="DefaultParagraphFont"/>
    <w:link w:val="FooterCoverPage"/>
    <w:rPr>
      <w:rFonts w:ascii="Times New Roman" w:hAnsi="Times New Roman" w:cs="Times New Roman"/>
      <w:color w:val="00000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olor w:val="000000"/>
      <w:sz w:val="24"/>
    </w:rPr>
  </w:style>
  <w:style w:type="character" w:customStyle="1" w:styleId="HeaderCoverPageChar">
    <w:name w:val="Header Cover Page Char"/>
    <w:basedOn w:val="DefaultParagraphFont"/>
    <w:link w:val="HeaderCoverPage"/>
    <w:rPr>
      <w:rFonts w:ascii="Times New Roman" w:hAnsi="Times New Roman" w:cs="Times New Roman"/>
      <w:color w:val="000000"/>
      <w:sz w:val="24"/>
    </w:rPr>
  </w:style>
  <w:style w:type="paragraph" w:styleId="ListParagraph">
    <w:name w:val="List Paragraph"/>
    <w:aliases w:val="Fiche 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t"/>
    <w:basedOn w:val="Normal"/>
    <w:unhideWhenUsed/>
    <w:pPr>
      <w:spacing w:after="0" w:line="240" w:lineRule="auto"/>
    </w:pPr>
    <w:rPr>
      <w:sz w:val="24"/>
      <w:szCs w:val="24"/>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t Char"/>
    <w:basedOn w:val="DefaultParagraphFont"/>
    <w:rPr>
      <w:sz w:val="24"/>
      <w:szCs w:val="24"/>
    </w:rPr>
  </w:style>
  <w:style w:type="character" w:styleId="FootnoteReference">
    <w:name w:val="footnote reference"/>
    <w:aliases w:val="Footnotes refss,Footnote Refernece,Footnote Refernece + (Latein) Arial,10 pt,Blau,Footnote symbol,Footnote reference number,note TESI,nota pié di pagina,Footnote Reference Superscript,Appel note de bas de p.,callout,4_G,FR,BVI fnr"/>
    <w:basedOn w:val="DefaultParagraphFont"/>
    <w:link w:val="FootnoteReferneceChar"/>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pPr>
      <w:spacing w:before="240"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 w:type="character" w:styleId="Emphasis">
    <w:name w:val="Emphasis"/>
    <w:basedOn w:val="DefaultParagraphFont"/>
    <w:uiPriority w:val="20"/>
    <w:qFormat/>
    <w:rPr>
      <w:i/>
      <w:iCs/>
      <w:vanish w:val="0"/>
      <w:webHidden w:val="0"/>
      <w:color w:val="0099CC"/>
      <w:specVanish w:val="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807296">
      <w:bodyDiv w:val="1"/>
      <w:marLeft w:val="0"/>
      <w:marRight w:val="0"/>
      <w:marTop w:val="0"/>
      <w:marBottom w:val="0"/>
      <w:divBdr>
        <w:top w:val="none" w:sz="0" w:space="0" w:color="auto"/>
        <w:left w:val="none" w:sz="0" w:space="0" w:color="auto"/>
        <w:bottom w:val="none" w:sz="0" w:space="0" w:color="auto"/>
        <w:right w:val="none" w:sz="0" w:space="0" w:color="auto"/>
      </w:divBdr>
    </w:div>
    <w:div w:id="1119035041">
      <w:bodyDiv w:val="1"/>
      <w:marLeft w:val="0"/>
      <w:marRight w:val="0"/>
      <w:marTop w:val="0"/>
      <w:marBottom w:val="0"/>
      <w:divBdr>
        <w:top w:val="none" w:sz="0" w:space="0" w:color="auto"/>
        <w:left w:val="none" w:sz="0" w:space="0" w:color="auto"/>
        <w:bottom w:val="none" w:sz="0" w:space="0" w:color="auto"/>
        <w:right w:val="none" w:sz="0" w:space="0" w:color="auto"/>
      </w:divBdr>
    </w:div>
    <w:div w:id="1465201485">
      <w:bodyDiv w:val="1"/>
      <w:marLeft w:val="0"/>
      <w:marRight w:val="0"/>
      <w:marTop w:val="0"/>
      <w:marBottom w:val="0"/>
      <w:divBdr>
        <w:top w:val="none" w:sz="0" w:space="0" w:color="auto"/>
        <w:left w:val="none" w:sz="0" w:space="0" w:color="auto"/>
        <w:bottom w:val="none" w:sz="0" w:space="0" w:color="auto"/>
        <w:right w:val="none" w:sz="0" w:space="0" w:color="auto"/>
      </w:divBdr>
    </w:div>
    <w:div w:id="182689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regional_policy/en/policy/what/glossary/e/european-code-of-conduct" TargetMode="External"/><Relationship Id="rId3" Type="http://schemas.openxmlformats.org/officeDocument/2006/relationships/hyperlink" Target="http://ec.europa.eu/regional_policy/sources/docgener/informat/2014/thematic_guidance_fiche_segregation_en.pdf" TargetMode="External"/><Relationship Id="rId7" Type="http://schemas.openxmlformats.org/officeDocument/2006/relationships/hyperlink" Target="http://ec.europa.eu/regional_policy/bg/funding/" TargetMode="External"/><Relationship Id="rId2" Type="http://schemas.openxmlformats.org/officeDocument/2006/relationships/hyperlink" Target="http://ec.europa.eu/justice/discrimination/roma/for-roma-with-roma/index_en.htm" TargetMode="External"/><Relationship Id="rId1" Type="http://schemas.openxmlformats.org/officeDocument/2006/relationships/hyperlink" Target="http://ec.europa.eu/europe2020/making-it-happen/country-specific-recommendations/index_en.htm" TargetMode="External"/><Relationship Id="rId6" Type="http://schemas.openxmlformats.org/officeDocument/2006/relationships/hyperlink" Target="http://www.coe.int/en/web/commissioner/-/european-countries-must-stop-forced-evictions-of-roma" TargetMode="External"/><Relationship Id="rId5" Type="http://schemas.openxmlformats.org/officeDocument/2006/relationships/hyperlink" Target="http://www.schooleducationgateway.eu/en/pub/resources/toolkitsforschools/general.htm" TargetMode="External"/><Relationship Id="rId4" Type="http://schemas.openxmlformats.org/officeDocument/2006/relationships/hyperlink" Target="http://ec.europa.eu/justice/discrimination/files/rights_against_discrimination_web_en.pdf" TargetMode="External"/><Relationship Id="rId9" Type="http://schemas.openxmlformats.org/officeDocument/2006/relationships/hyperlink" Target="http://www.romadeca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A7E49-F3CC-4996-AF48-C14DAE051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5734</Words>
  <Characters>34409</Characters>
  <Application>Microsoft Office Word</Application>
  <DocSecurity>0</DocSecurity>
  <Lines>661</Lines>
  <Paragraphs>204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2016-04-25T08:51:00Z</cp:lastPrinted>
  <dcterms:created xsi:type="dcterms:W3CDTF">2016-06-09T14:25:00Z</dcterms:created>
  <dcterms:modified xsi:type="dcterms:W3CDTF">2016-07-04T12:44:00Z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_NewReviewCycle">
    <vt:lpwstr/>
  </property>
</Properties>
</file>