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CA6C5C49C9D45EABA859A568853518F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 решение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за сключването на Споразумението между Европейския съюз и Кралство Норвегия относно взаимното предоставяне на достъп за риболов в Скагерак за кораби под знамето на Дания, Норвегия и Швеция</w:t>
      </w:r>
    </w:p>
    <w:p>
      <w:pPr>
        <w:jc w:val="center"/>
        <w:rPr>
          <w:b/>
          <w:smallCaps/>
          <w:noProof/>
          <w:szCs w:val="24"/>
        </w:rPr>
      </w:pPr>
      <w:r>
        <w:rPr>
          <w:b/>
          <w:smallCaps/>
          <w:noProof/>
        </w:rPr>
        <w:t>Споразумение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между Европейския съюз и Кралство Норвегия относно взаимното предоставяне на достъп за риболов в Скагерак за кораби под знамето на Дания, Норвегия и Швеция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Европейският съюз и Кралство Норвегия, наричани по-нататък „страните“,</w:t>
      </w:r>
    </w:p>
    <w:p>
      <w:pPr>
        <w:rPr>
          <w:noProof/>
          <w:szCs w:val="24"/>
        </w:rPr>
      </w:pPr>
      <w:r>
        <w:rPr>
          <w:noProof/>
        </w:rPr>
        <w:t>КАТО ИМАТ ПРЕДВИД разпоредбите на Конвенцията на ООН по морско право от 10 декември 1982 г., наричана по-нататък „конвенцията“;</w:t>
      </w:r>
    </w:p>
    <w:p>
      <w:pPr>
        <w:rPr>
          <w:noProof/>
          <w:szCs w:val="24"/>
        </w:rPr>
      </w:pPr>
      <w:r>
        <w:rPr>
          <w:noProof/>
        </w:rPr>
        <w:t>КАТО ОТЧИТАТ Споразумението в областта на рибарството между Европейската икономическа общност и Кралство Норвегия от 27 февруари 1980 г., наричано по-нататък „споразумението от 1980 г.“;</w:t>
      </w:r>
    </w:p>
    <w:p>
      <w:pPr>
        <w:rPr>
          <w:noProof/>
          <w:szCs w:val="24"/>
        </w:rPr>
      </w:pPr>
      <w:r>
        <w:rPr>
          <w:noProof/>
        </w:rPr>
        <w:t>КАТО ИМАТ ПРЕДВИД, че действието на Споразумението относно взаимното предоставяне на достъп за риболов в Скагерак и Категат между Дания, Норвегия и Швеция от 19 декември 1966 г. бе прекратено на 7 август 2012 г.;</w:t>
      </w:r>
    </w:p>
    <w:p>
      <w:pPr>
        <w:rPr>
          <w:noProof/>
          <w:szCs w:val="24"/>
        </w:rPr>
      </w:pPr>
      <w:r>
        <w:rPr>
          <w:noProof/>
        </w:rPr>
        <w:t xml:space="preserve">КАТО ПОЗНАВАТ традиционния характер на рибарските дейности, извършвани от Дания, Норвегия и Швеция в Скагерак; </w:t>
      </w:r>
    </w:p>
    <w:p>
      <w:pPr>
        <w:rPr>
          <w:noProof/>
          <w:szCs w:val="24"/>
        </w:rPr>
      </w:pPr>
      <w:r>
        <w:rPr>
          <w:noProof/>
        </w:rPr>
        <w:t>КАТО СЕ СТРЕМЯТ да подкрепят взаимното предоставяне на достъп за корабите под знамето на Дания, Норвегия и Швеция по отношение на извършвания в Скагерак риболов извън зоните, обхващащи четири морски мили от изходните линии на другите посочени държави, в тяхното териториално море и в прилежащите зони на риболовна юрисдикция;</w:t>
      </w:r>
    </w:p>
    <w:p>
      <w:pPr>
        <w:rPr>
          <w:noProof/>
          <w:szCs w:val="24"/>
        </w:rPr>
      </w:pPr>
      <w:r>
        <w:rPr>
          <w:noProof/>
        </w:rPr>
        <w:t>КАТО ПОДЧЕРТАВАТ, че е важно риболовните кораби да спазват приетите от съответните крайбрежни държави законови и подзаконови разпоредби, както и мерки за контрол и прилагане, в съответствие с разпоредбите на конвенцията, споразумението от 1980 г. и настоящото споразумение, за да се гарантира опазването и устойчивото използване на живите морски ресурси в Скагерак,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СЕ СПОРАЗУМЯХА ЗА СЛЕДНОТО:</w:t>
      </w:r>
    </w:p>
    <w:p>
      <w:pPr>
        <w:jc w:val="center"/>
        <w:rPr>
          <w:i/>
          <w:noProof/>
          <w:szCs w:val="24"/>
        </w:rPr>
      </w:pPr>
      <w:r>
        <w:rPr>
          <w:i/>
          <w:noProof/>
        </w:rPr>
        <w:t>Член 1</w:t>
      </w:r>
    </w:p>
    <w:p>
      <w:pPr>
        <w:rPr>
          <w:noProof/>
          <w:szCs w:val="24"/>
        </w:rPr>
      </w:pPr>
      <w:r>
        <w:rPr>
          <w:noProof/>
        </w:rPr>
        <w:t xml:space="preserve">Настоящото споразумение се прилага по отношение на зоната в Скагерак, която на запад е ограничена от правата, минаваща през фаровете Hanstholm и Lindesnes, а на юг — от правата, минаваща през фаровете Skagen и Tistlarna, в частите от териториалното </w:t>
      </w:r>
      <w:r>
        <w:rPr>
          <w:noProof/>
        </w:rPr>
        <w:lastRenderedPageBreak/>
        <w:t>море и прилежащите зони на риболовна юрисдикция на Дания, Норвегия и Швеция, които се простират извън зоните, обхващащи четири морски мили (1 морска миля = 1852 метра) от изходните линии, от които се измерва ширината на териториалното море.</w:t>
      </w:r>
    </w:p>
    <w:p>
      <w:pPr>
        <w:jc w:val="center"/>
        <w:rPr>
          <w:i/>
          <w:noProof/>
          <w:szCs w:val="24"/>
        </w:rPr>
      </w:pPr>
    </w:p>
    <w:p>
      <w:pPr>
        <w:spacing w:before="0" w:after="200" w:line="276" w:lineRule="auto"/>
        <w:jc w:val="left"/>
        <w:rPr>
          <w:i/>
          <w:noProof/>
          <w:szCs w:val="24"/>
        </w:rPr>
      </w:pPr>
      <w:r>
        <w:rPr>
          <w:noProof/>
        </w:rPr>
        <w:br w:type="page"/>
      </w:r>
    </w:p>
    <w:p>
      <w:pPr>
        <w:jc w:val="center"/>
        <w:rPr>
          <w:i/>
          <w:noProof/>
          <w:szCs w:val="24"/>
        </w:rPr>
      </w:pPr>
      <w:r>
        <w:rPr>
          <w:i/>
          <w:noProof/>
        </w:rPr>
        <w:lastRenderedPageBreak/>
        <w:t>Член 2</w:t>
      </w:r>
    </w:p>
    <w:p>
      <w:pPr>
        <w:rPr>
          <w:noProof/>
          <w:szCs w:val="24"/>
        </w:rPr>
      </w:pPr>
      <w:r>
        <w:rPr>
          <w:noProof/>
        </w:rPr>
        <w:t xml:space="preserve">В посочената в член 1 зона всяка страна се задължава — въз основа на своята риболовна юрисдикция, в съответствие с конвенцията и съгласно приложимите закони — да позволи на корабите под знамето на Дания, Норвегия и Швеция да извършват риболов при спазване на съответните разпоредби на споразумението от 1980 г. и съгласно разпределението, договорено между страните. </w:t>
      </w:r>
    </w:p>
    <w:p>
      <w:pPr>
        <w:jc w:val="center"/>
        <w:rPr>
          <w:i/>
          <w:noProof/>
          <w:szCs w:val="24"/>
        </w:rPr>
      </w:pPr>
    </w:p>
    <w:p>
      <w:pPr>
        <w:jc w:val="center"/>
        <w:rPr>
          <w:i/>
          <w:noProof/>
          <w:szCs w:val="24"/>
        </w:rPr>
      </w:pPr>
      <w:r>
        <w:rPr>
          <w:i/>
          <w:noProof/>
        </w:rPr>
        <w:t>Член 3</w:t>
      </w:r>
    </w:p>
    <w:p>
      <w:pPr>
        <w:rPr>
          <w:noProof/>
          <w:szCs w:val="24"/>
        </w:rPr>
      </w:pPr>
      <w:r>
        <w:rPr>
          <w:noProof/>
        </w:rPr>
        <w:t>Страните си сътрудничат, за да определят, доколкото е възможно, хармонизирани правила и разпоредби по отношение на риболова в зоната, посочена в член 1.</w:t>
      </w:r>
    </w:p>
    <w:p>
      <w:pPr>
        <w:jc w:val="center"/>
        <w:rPr>
          <w:i/>
          <w:noProof/>
          <w:szCs w:val="24"/>
        </w:rPr>
      </w:pPr>
    </w:p>
    <w:p>
      <w:pPr>
        <w:jc w:val="center"/>
        <w:rPr>
          <w:i/>
          <w:noProof/>
          <w:szCs w:val="24"/>
        </w:rPr>
      </w:pPr>
      <w:r>
        <w:rPr>
          <w:i/>
          <w:noProof/>
        </w:rPr>
        <w:t>Член 4</w:t>
      </w:r>
    </w:p>
    <w:p>
      <w:pPr>
        <w:rPr>
          <w:noProof/>
          <w:szCs w:val="24"/>
        </w:rPr>
      </w:pPr>
      <w:r>
        <w:rPr>
          <w:noProof/>
        </w:rPr>
        <w:t>Страните се договарят да се консултират по въпроси, свързани с изпълнението и правилното функциониране на настоящото споразумение, или — при наличие на спор — относно неговото тълкуване.</w:t>
      </w:r>
    </w:p>
    <w:p>
      <w:pPr>
        <w:jc w:val="center"/>
        <w:rPr>
          <w:i/>
          <w:noProof/>
          <w:szCs w:val="24"/>
        </w:rPr>
      </w:pPr>
    </w:p>
    <w:p>
      <w:pPr>
        <w:jc w:val="center"/>
        <w:rPr>
          <w:i/>
          <w:noProof/>
          <w:szCs w:val="24"/>
        </w:rPr>
      </w:pPr>
      <w:r>
        <w:rPr>
          <w:i/>
          <w:noProof/>
        </w:rPr>
        <w:t>Член 5</w:t>
      </w:r>
    </w:p>
    <w:p>
      <w:pPr>
        <w:rPr>
          <w:noProof/>
          <w:szCs w:val="24"/>
        </w:rPr>
      </w:pPr>
      <w:r>
        <w:rPr>
          <w:noProof/>
        </w:rPr>
        <w:t xml:space="preserve">Настоящото споразумение не засяга разпоредбите на другите споразумения относно извършването на риболов от корабите на една от страните в риболовната юрисдикция на другата страна. </w:t>
      </w:r>
    </w:p>
    <w:p>
      <w:pPr>
        <w:jc w:val="center"/>
        <w:rPr>
          <w:i/>
          <w:noProof/>
          <w:szCs w:val="24"/>
        </w:rPr>
      </w:pPr>
    </w:p>
    <w:p>
      <w:pPr>
        <w:jc w:val="center"/>
        <w:rPr>
          <w:i/>
          <w:noProof/>
          <w:szCs w:val="24"/>
        </w:rPr>
      </w:pPr>
      <w:r>
        <w:rPr>
          <w:i/>
          <w:noProof/>
        </w:rPr>
        <w:t>Член 6</w:t>
      </w:r>
    </w:p>
    <w:p>
      <w:pPr>
        <w:rPr>
          <w:noProof/>
          <w:szCs w:val="24"/>
        </w:rPr>
      </w:pPr>
      <w:r>
        <w:rPr>
          <w:noProof/>
        </w:rPr>
        <w:t>Без да се засягат разпоредбите на член 1, настоящото споразумение се прилага, от една страна, на териториите, в рамките на които се прилагат Договорът за Европейския съюз и Договорът за функционирането на Европейския съюз, и в съответствие с предвидените в посочените договори условия, а от друга страна — на територията на Кралство Норвегия.</w:t>
      </w:r>
    </w:p>
    <w:p>
      <w:pPr>
        <w:jc w:val="center"/>
        <w:rPr>
          <w:i/>
          <w:noProof/>
          <w:szCs w:val="24"/>
        </w:rPr>
      </w:pPr>
    </w:p>
    <w:p>
      <w:pPr>
        <w:jc w:val="center"/>
        <w:rPr>
          <w:i/>
          <w:noProof/>
          <w:szCs w:val="24"/>
        </w:rPr>
      </w:pPr>
      <w:r>
        <w:rPr>
          <w:i/>
          <w:noProof/>
        </w:rPr>
        <w:t>Член 7</w:t>
      </w:r>
    </w:p>
    <w:p>
      <w:pPr>
        <w:rPr>
          <w:noProof/>
          <w:szCs w:val="24"/>
        </w:rPr>
      </w:pPr>
      <w:r>
        <w:rPr>
          <w:noProof/>
        </w:rPr>
        <w:t xml:space="preserve">Настоящото споразумение влиза в сила от деня, в който е получено последното уведомление, че страните са изпълнили необходимите за неговото влизане в сила вътрешни процедури. </w:t>
      </w:r>
    </w:p>
    <w:p>
      <w:pPr>
        <w:jc w:val="center"/>
        <w:rPr>
          <w:i/>
          <w:noProof/>
          <w:szCs w:val="24"/>
        </w:rPr>
      </w:pPr>
    </w:p>
    <w:p>
      <w:pPr>
        <w:jc w:val="center"/>
        <w:rPr>
          <w:i/>
          <w:noProof/>
          <w:szCs w:val="24"/>
        </w:rPr>
      </w:pPr>
      <w:r>
        <w:rPr>
          <w:i/>
          <w:noProof/>
        </w:rPr>
        <w:t>Член 8</w:t>
      </w:r>
    </w:p>
    <w:p>
      <w:pPr>
        <w:rPr>
          <w:noProof/>
          <w:szCs w:val="24"/>
        </w:rPr>
      </w:pPr>
      <w:r>
        <w:rPr>
          <w:noProof/>
        </w:rPr>
        <w:t xml:space="preserve">Настоящото споразумение е в сила до 1 януари 2022 г. Ако споразумението не бъде прекратено от някоя от страните с предизвестие за прекратяване, подадено най-малко една година преди изтичането на посочения срок, то остава в сила за допълнителни шестгодишни срокове, при условие че не е било подадено предизвестие за прекратяване най-малко една година преди изтичането на всеки такъв срок. </w:t>
      </w:r>
    </w:p>
    <w:p>
      <w:pPr>
        <w:jc w:val="center"/>
        <w:rPr>
          <w:i/>
          <w:noProof/>
          <w:szCs w:val="24"/>
        </w:rPr>
      </w:pPr>
    </w:p>
    <w:p>
      <w:pPr>
        <w:jc w:val="center"/>
        <w:rPr>
          <w:i/>
          <w:noProof/>
          <w:szCs w:val="24"/>
        </w:rPr>
      </w:pPr>
      <w:r>
        <w:rPr>
          <w:i/>
          <w:noProof/>
        </w:rPr>
        <w:lastRenderedPageBreak/>
        <w:t>Член 9</w:t>
      </w:r>
    </w:p>
    <w:p>
      <w:pPr>
        <w:rPr>
          <w:noProof/>
          <w:szCs w:val="24"/>
        </w:rPr>
      </w:pPr>
      <w:r>
        <w:rPr>
          <w:noProof/>
        </w:rPr>
        <w:t>До момента на влизането му в сила настоящото споразумение се прилага временно за не повече от две години от датата на неговото подписване.</w:t>
      </w:r>
    </w:p>
    <w:p>
      <w:pPr>
        <w:jc w:val="center"/>
        <w:rPr>
          <w:i/>
          <w:noProof/>
          <w:szCs w:val="24"/>
        </w:rPr>
      </w:pPr>
    </w:p>
    <w:p>
      <w:pPr>
        <w:jc w:val="center"/>
        <w:rPr>
          <w:i/>
          <w:noProof/>
          <w:szCs w:val="24"/>
        </w:rPr>
      </w:pPr>
      <w:r>
        <w:rPr>
          <w:i/>
          <w:noProof/>
        </w:rPr>
        <w:t>Член 10</w:t>
      </w:r>
    </w:p>
    <w:p>
      <w:pPr>
        <w:rPr>
          <w:noProof/>
          <w:szCs w:val="24"/>
        </w:rPr>
      </w:pPr>
      <w:r>
        <w:rPr>
          <w:noProof/>
        </w:rPr>
        <w:t>Настоящото споразумение е съставено в два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норвежки език, като всеки от посочените текстове е автентичен. В случай на противоречие или спор предимство има текстът на английски език.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9AADC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232E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760E4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AE227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DE478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09C5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8E63F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926A8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6-23 09:37:5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CA6C5C49C9D45EABA859A568853518F"/>
    <w:docVar w:name="LW_CROSSREFERENCE" w:val="&lt;UNUSED&gt;"/>
    <w:docVar w:name="LW_DocType" w:val="ANNEX"/>
    <w:docVar w:name="LW_EMISSION" w:val="23.6.2016"/>
    <w:docVar w:name="LW_EMISSION_ISODATE" w:val="2016-06-2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\u1090?\u1086? \u1085?\u1072? \u1057?\u1087?\u1086?\u1088?\u1072?\u1079?\u1091?\u1084?\u1077?\u1085?\u1080?\u1077?\u1090?\u1086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4?\u1079?\u1072?\u1080?\u1084?\u1085?\u1086?\u1090?\u1086? \u1087?\u1088?\u1077?\u1076?\u1086?\u1089?\u1090?\u1072?\u1074?\u1103?\u1085?\u1077? \u1085?\u1072? \u1076?\u1086?\u1089?\u1090?\u1098?\u1087? \u1079?\u1072? \u1088?\u1080?\u1073?\u1086?\u1083?\u1086?\u1074? \u1074? \u1057?\u1082?\u1072?\u1075?\u1077?\u1088?\u1072?\u1082? \u1079?\u1072? \u1082?\u1086?\u1088?\u1072?\u1073?\u1080? \u1087?\u1086?\u1076? \u1079?\u1085?\u1072?\u1084?\u1077?\u1090?\u1086? \u1085?\u1072? \u1044?\u1072?\u1085?\u1080?\u1103?, \u1053?\u1086?\u1088?\u1074?\u1077?\u1075?\u1080?\u1103? \u1080? \u1064?\u1074?\u1077?\u1094?\u1080?\u1103?"/>
    <w:docVar w:name="LW_PART_NBR" w:val="1"/>
    <w:docVar w:name="LW_PART_NBR_TOTAL" w:val="1"/>
    <w:docVar w:name="LW_REF.INST.NEW" w:val="COM"/>
    <w:docVar w:name="LW_REF.INST.NEW_ADOPTED" w:val="final"/>
    <w:docVar w:name="LW_REF.INST.NEW_TEXT" w:val="(2016) 41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705</Words>
  <Characters>4069</Characters>
  <Application>Microsoft Office Word</Application>
  <DocSecurity>0</DocSecurity>
  <Lines>99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SPALLA Maria Tiziana (MARE)</dc:creator>
  <cp:lastModifiedBy>DIGIT/A3</cp:lastModifiedBy>
  <cp:revision>7</cp:revision>
  <cp:lastPrinted>2016-05-04T12:44:00Z</cp:lastPrinted>
  <dcterms:created xsi:type="dcterms:W3CDTF">2016-05-10T09:28:00Z</dcterms:created>
  <dcterms:modified xsi:type="dcterms:W3CDTF">2016-06-23T07:37:00Z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