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FAC" w:rsidRDefault="008723A0">
      <w:pPr>
        <w:pStyle w:val="Pagedecouverture"/>
        <w:rPr>
          <w:noProof/>
        </w:rPr>
      </w:pPr>
      <w:bookmarkStart w:id="0" w:name="LW_BM_COVERPAGE"/>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A416C0F48234E64A577988A8DA1C2B7" style="width:450.6pt;height:405.95pt">
            <v:imagedata r:id="rId8" o:title=""/>
          </v:shape>
        </w:pict>
      </w:r>
      <w:bookmarkEnd w:id="1"/>
    </w:p>
    <w:bookmarkEnd w:id="0"/>
    <w:p w:rsidR="00D53FAC" w:rsidRDefault="00D53FAC">
      <w:pPr>
        <w:rPr>
          <w:noProof/>
        </w:rPr>
        <w:sectPr w:rsidR="00D53FAC">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D53FAC" w:rsidRDefault="008723A0">
      <w:pPr>
        <w:pBdr>
          <w:top w:val="single" w:sz="4" w:space="1" w:color="auto"/>
          <w:left w:val="single" w:sz="4" w:space="4" w:color="auto"/>
          <w:bottom w:val="single" w:sz="4" w:space="1" w:color="auto"/>
          <w:right w:val="single" w:sz="4" w:space="4" w:color="auto"/>
        </w:pBdr>
        <w:spacing w:after="60"/>
        <w:jc w:val="center"/>
        <w:rPr>
          <w:rFonts w:ascii="Times New Roman" w:hAnsi="Times New Roman" w:cs="Times New Roman"/>
          <w:b/>
          <w:noProof/>
          <w:sz w:val="20"/>
          <w:szCs w:val="20"/>
        </w:rPr>
      </w:pPr>
      <w:r>
        <w:rPr>
          <w:rFonts w:ascii="Times New Roman" w:hAnsi="Times New Roman" w:cs="Times New Roman"/>
          <w:b/>
          <w:noProof/>
          <w:sz w:val="20"/>
          <w:szCs w:val="20"/>
        </w:rPr>
        <w:lastRenderedPageBreak/>
        <w:t>Scaling-up of funding under the Facility for Refugees in Turkey following the 18 March Statement</w:t>
      </w:r>
    </w:p>
    <w:p w:rsidR="00D53FAC" w:rsidRDefault="00D53FAC">
      <w:pPr>
        <w:spacing w:after="0"/>
        <w:rPr>
          <w:rFonts w:ascii="Times New Roman" w:hAnsi="Times New Roman" w:cs="Times New Roman"/>
          <w:b/>
          <w:bCs/>
          <w:noProof/>
          <w:sz w:val="16"/>
          <w:szCs w:val="16"/>
        </w:rPr>
      </w:pPr>
    </w:p>
    <w:tbl>
      <w:tblPr>
        <w:tblStyle w:val="TableGrid"/>
        <w:tblW w:w="0" w:type="auto"/>
        <w:jc w:val="center"/>
        <w:tblInd w:w="-1025" w:type="dxa"/>
        <w:tblLook w:val="04A0" w:firstRow="1" w:lastRow="0" w:firstColumn="1" w:lastColumn="0" w:noHBand="0" w:noVBand="1"/>
      </w:tblPr>
      <w:tblGrid>
        <w:gridCol w:w="2196"/>
        <w:gridCol w:w="3000"/>
        <w:gridCol w:w="2741"/>
        <w:gridCol w:w="2419"/>
        <w:gridCol w:w="2401"/>
        <w:gridCol w:w="2712"/>
      </w:tblGrid>
      <w:tr w:rsidR="00D53FAC">
        <w:trPr>
          <w:jc w:val="center"/>
        </w:trPr>
        <w:tc>
          <w:tcPr>
            <w:tcW w:w="2196" w:type="dxa"/>
            <w:shd w:val="clear" w:color="auto" w:fill="D9D9D9" w:themeFill="background1" w:themeFillShade="D9"/>
          </w:tcPr>
          <w:p w:rsidR="00D53FAC" w:rsidRDefault="008723A0">
            <w:pPr>
              <w:rPr>
                <w:rFonts w:ascii="Times New Roman" w:hAnsi="Times New Roman" w:cs="Times New Roman"/>
                <w:b/>
                <w:noProof/>
                <w:sz w:val="16"/>
                <w:szCs w:val="16"/>
              </w:rPr>
            </w:pPr>
            <w:r>
              <w:rPr>
                <w:rFonts w:ascii="Times New Roman" w:hAnsi="Times New Roman" w:cs="Times New Roman"/>
                <w:b/>
                <w:noProof/>
                <w:sz w:val="16"/>
                <w:szCs w:val="16"/>
              </w:rPr>
              <w:t>Funding Strand under the Fast-Track Approach</w:t>
            </w:r>
          </w:p>
        </w:tc>
        <w:tc>
          <w:tcPr>
            <w:tcW w:w="3000" w:type="dxa"/>
            <w:shd w:val="clear" w:color="auto" w:fill="D9D9D9" w:themeFill="background1" w:themeFillShade="D9"/>
          </w:tcPr>
          <w:p w:rsidR="00D53FAC" w:rsidRDefault="008723A0">
            <w:pPr>
              <w:rPr>
                <w:rFonts w:ascii="Times New Roman" w:hAnsi="Times New Roman" w:cs="Times New Roman"/>
                <w:b/>
                <w:noProof/>
                <w:sz w:val="16"/>
                <w:szCs w:val="16"/>
              </w:rPr>
            </w:pPr>
            <w:r>
              <w:rPr>
                <w:rFonts w:ascii="Times New Roman" w:hAnsi="Times New Roman" w:cs="Times New Roman"/>
                <w:b/>
                <w:noProof/>
                <w:sz w:val="16"/>
                <w:szCs w:val="16"/>
              </w:rPr>
              <w:t>Humanitarian Assistance</w:t>
            </w:r>
          </w:p>
        </w:tc>
        <w:tc>
          <w:tcPr>
            <w:tcW w:w="2741" w:type="dxa"/>
            <w:shd w:val="clear" w:color="auto" w:fill="D9D9D9" w:themeFill="background1" w:themeFillShade="D9"/>
          </w:tcPr>
          <w:p w:rsidR="00D53FAC" w:rsidRDefault="008723A0">
            <w:pPr>
              <w:rPr>
                <w:rFonts w:ascii="Times New Roman" w:hAnsi="Times New Roman" w:cs="Times New Roman"/>
                <w:b/>
                <w:noProof/>
                <w:sz w:val="16"/>
                <w:szCs w:val="16"/>
              </w:rPr>
            </w:pPr>
            <w:r>
              <w:rPr>
                <w:rFonts w:ascii="Times New Roman" w:hAnsi="Times New Roman" w:cs="Times New Roman"/>
                <w:b/>
                <w:noProof/>
                <w:sz w:val="16"/>
                <w:szCs w:val="16"/>
              </w:rPr>
              <w:t>Special Measure on Support to Returned Migrants</w:t>
            </w:r>
          </w:p>
        </w:tc>
        <w:tc>
          <w:tcPr>
            <w:tcW w:w="2419" w:type="dxa"/>
            <w:shd w:val="clear" w:color="auto" w:fill="D9D9D9" w:themeFill="background1" w:themeFillShade="D9"/>
          </w:tcPr>
          <w:p w:rsidR="00D53FAC" w:rsidRDefault="008723A0">
            <w:pPr>
              <w:rPr>
                <w:rFonts w:ascii="Times New Roman" w:hAnsi="Times New Roman" w:cs="Times New Roman"/>
                <w:b/>
                <w:noProof/>
                <w:sz w:val="16"/>
                <w:szCs w:val="16"/>
              </w:rPr>
            </w:pPr>
            <w:r>
              <w:rPr>
                <w:rFonts w:ascii="Times New Roman" w:hAnsi="Times New Roman" w:cs="Times New Roman"/>
                <w:b/>
                <w:noProof/>
                <w:sz w:val="16"/>
                <w:szCs w:val="16"/>
              </w:rPr>
              <w:t>Special Measure(s) on Education and Health</w:t>
            </w:r>
          </w:p>
        </w:tc>
        <w:tc>
          <w:tcPr>
            <w:tcW w:w="2401" w:type="dxa"/>
            <w:shd w:val="clear" w:color="auto" w:fill="D9D9D9" w:themeFill="background1" w:themeFillShade="D9"/>
          </w:tcPr>
          <w:p w:rsidR="00D53FAC" w:rsidRDefault="008723A0">
            <w:pPr>
              <w:rPr>
                <w:rFonts w:ascii="Times New Roman" w:hAnsi="Times New Roman" w:cs="Times New Roman"/>
                <w:b/>
                <w:noProof/>
                <w:sz w:val="16"/>
                <w:szCs w:val="16"/>
              </w:rPr>
            </w:pPr>
            <w:r>
              <w:rPr>
                <w:rFonts w:ascii="Times New Roman" w:hAnsi="Times New Roman" w:cs="Times New Roman"/>
                <w:b/>
                <w:noProof/>
                <w:sz w:val="16"/>
                <w:szCs w:val="16"/>
              </w:rPr>
              <w:t>Socio-economic Support and Infrastructure</w:t>
            </w:r>
          </w:p>
        </w:tc>
        <w:tc>
          <w:tcPr>
            <w:tcW w:w="2712" w:type="dxa"/>
            <w:shd w:val="clear" w:color="auto" w:fill="D9D9D9" w:themeFill="background1" w:themeFillShade="D9"/>
          </w:tcPr>
          <w:p w:rsidR="00D53FAC" w:rsidRDefault="008723A0">
            <w:pPr>
              <w:rPr>
                <w:rFonts w:ascii="Times New Roman" w:hAnsi="Times New Roman" w:cs="Times New Roman"/>
                <w:b/>
                <w:noProof/>
                <w:sz w:val="16"/>
                <w:szCs w:val="16"/>
              </w:rPr>
            </w:pPr>
            <w:r>
              <w:rPr>
                <w:rFonts w:ascii="Times New Roman" w:hAnsi="Times New Roman" w:cs="Times New Roman"/>
                <w:b/>
                <w:noProof/>
                <w:sz w:val="16"/>
                <w:szCs w:val="16"/>
              </w:rPr>
              <w:t xml:space="preserve">EU Regional Trust Fund in Response to the Syrian </w:t>
            </w:r>
            <w:r>
              <w:rPr>
                <w:rFonts w:ascii="Times New Roman" w:hAnsi="Times New Roman" w:cs="Times New Roman"/>
                <w:b/>
                <w:noProof/>
                <w:sz w:val="16"/>
                <w:szCs w:val="16"/>
              </w:rPr>
              <w:t>Crisis (EUTF)</w:t>
            </w:r>
          </w:p>
        </w:tc>
      </w:tr>
      <w:tr w:rsidR="00D53FAC">
        <w:trPr>
          <w:jc w:val="center"/>
        </w:trPr>
        <w:tc>
          <w:tcPr>
            <w:tcW w:w="2196" w:type="dxa"/>
          </w:tcPr>
          <w:p w:rsidR="00D53FAC" w:rsidRDefault="008723A0">
            <w:pPr>
              <w:rPr>
                <w:rFonts w:ascii="Times New Roman" w:hAnsi="Times New Roman" w:cs="Times New Roman"/>
                <w:b/>
                <w:noProof/>
                <w:sz w:val="16"/>
                <w:szCs w:val="16"/>
              </w:rPr>
            </w:pPr>
            <w:r>
              <w:rPr>
                <w:rFonts w:ascii="Times New Roman" w:hAnsi="Times New Roman" w:cs="Times New Roman"/>
                <w:b/>
                <w:noProof/>
                <w:sz w:val="16"/>
                <w:szCs w:val="16"/>
              </w:rPr>
              <w:t>Next steps</w:t>
            </w:r>
          </w:p>
        </w:tc>
        <w:tc>
          <w:tcPr>
            <w:tcW w:w="3000" w:type="dxa"/>
          </w:tcPr>
          <w:p w:rsidR="00D53FAC" w:rsidRDefault="008723A0">
            <w:pPr>
              <w:jc w:val="center"/>
              <w:rPr>
                <w:rFonts w:ascii="Times New Roman" w:hAnsi="Times New Roman" w:cs="Times New Roman"/>
                <w:b/>
                <w:noProof/>
                <w:sz w:val="16"/>
                <w:szCs w:val="16"/>
              </w:rPr>
            </w:pPr>
            <w:r>
              <w:rPr>
                <w:rFonts w:ascii="Times New Roman" w:hAnsi="Times New Roman" w:cs="Times New Roman"/>
                <w:b/>
                <w:noProof/>
                <w:sz w:val="16"/>
                <w:szCs w:val="16"/>
              </w:rPr>
              <w:t>July-September</w:t>
            </w:r>
          </w:p>
          <w:p w:rsidR="00D53FAC" w:rsidRDefault="008723A0">
            <w:pPr>
              <w:rPr>
                <w:rFonts w:ascii="Times New Roman" w:hAnsi="Times New Roman" w:cs="Times New Roman"/>
                <w:noProof/>
                <w:sz w:val="16"/>
                <w:szCs w:val="16"/>
              </w:rPr>
            </w:pPr>
            <w:r>
              <w:rPr>
                <w:rFonts w:ascii="Times New Roman" w:hAnsi="Times New Roman" w:cs="Times New Roman"/>
                <w:noProof/>
                <w:sz w:val="16"/>
                <w:szCs w:val="16"/>
              </w:rPr>
              <w:t xml:space="preserve">Roll-out of the Humanitarian Implementation Plan agreed in June, including contracting of projects worth </w:t>
            </w:r>
            <w:r>
              <w:rPr>
                <w:rFonts w:ascii="Times New Roman" w:hAnsi="Times New Roman" w:cs="Times New Roman"/>
                <w:b/>
                <w:noProof/>
                <w:sz w:val="16"/>
                <w:szCs w:val="16"/>
              </w:rPr>
              <w:t>EUR 75 million</w:t>
            </w:r>
            <w:r>
              <w:rPr>
                <w:rFonts w:ascii="Times New Roman" w:hAnsi="Times New Roman" w:cs="Times New Roman"/>
                <w:noProof/>
                <w:sz w:val="16"/>
                <w:szCs w:val="16"/>
              </w:rPr>
              <w:t xml:space="preserve"> by the end of July.</w:t>
            </w:r>
          </w:p>
        </w:tc>
        <w:tc>
          <w:tcPr>
            <w:tcW w:w="2741" w:type="dxa"/>
          </w:tcPr>
          <w:p w:rsidR="00D53FAC" w:rsidRDefault="008723A0">
            <w:pPr>
              <w:jc w:val="center"/>
              <w:rPr>
                <w:rFonts w:ascii="Times New Roman" w:hAnsi="Times New Roman" w:cs="Times New Roman"/>
                <w:b/>
                <w:noProof/>
                <w:sz w:val="16"/>
                <w:szCs w:val="16"/>
              </w:rPr>
            </w:pPr>
            <w:r>
              <w:rPr>
                <w:rFonts w:ascii="Times New Roman" w:hAnsi="Times New Roman" w:cs="Times New Roman"/>
                <w:b/>
                <w:noProof/>
                <w:sz w:val="16"/>
                <w:szCs w:val="16"/>
              </w:rPr>
              <w:t>Pending</w:t>
            </w:r>
          </w:p>
          <w:p w:rsidR="00D53FAC" w:rsidRDefault="008723A0">
            <w:pPr>
              <w:rPr>
                <w:rFonts w:ascii="Times New Roman" w:hAnsi="Times New Roman" w:cs="Times New Roman"/>
                <w:noProof/>
                <w:sz w:val="16"/>
                <w:szCs w:val="16"/>
              </w:rPr>
            </w:pPr>
            <w:r>
              <w:rPr>
                <w:rFonts w:ascii="Times New Roman" w:hAnsi="Times New Roman" w:cs="Times New Roman"/>
                <w:noProof/>
                <w:sz w:val="16"/>
                <w:szCs w:val="16"/>
              </w:rPr>
              <w:t xml:space="preserve">Draft direct agreement for the implementation of the special </w:t>
            </w:r>
            <w:r>
              <w:rPr>
                <w:rFonts w:ascii="Times New Roman" w:hAnsi="Times New Roman" w:cs="Times New Roman"/>
                <w:noProof/>
                <w:sz w:val="16"/>
                <w:szCs w:val="16"/>
              </w:rPr>
              <w:t>measure on support to returned migrants finalised in May, pending signature by the Turkish authorities.</w:t>
            </w:r>
          </w:p>
        </w:tc>
        <w:tc>
          <w:tcPr>
            <w:tcW w:w="2419" w:type="dxa"/>
          </w:tcPr>
          <w:p w:rsidR="00D53FAC" w:rsidRDefault="008723A0">
            <w:pPr>
              <w:jc w:val="center"/>
              <w:rPr>
                <w:rFonts w:ascii="Times New Roman" w:hAnsi="Times New Roman" w:cs="Times New Roman"/>
                <w:b/>
                <w:noProof/>
                <w:sz w:val="16"/>
                <w:szCs w:val="16"/>
              </w:rPr>
            </w:pPr>
            <w:r>
              <w:rPr>
                <w:rFonts w:ascii="Times New Roman" w:hAnsi="Times New Roman" w:cs="Times New Roman"/>
                <w:b/>
                <w:noProof/>
                <w:sz w:val="16"/>
                <w:szCs w:val="16"/>
              </w:rPr>
              <w:t>Until end July</w:t>
            </w:r>
          </w:p>
          <w:p w:rsidR="00D53FAC" w:rsidRDefault="008723A0">
            <w:pPr>
              <w:rPr>
                <w:rFonts w:ascii="Times New Roman" w:hAnsi="Times New Roman" w:cs="Times New Roman"/>
                <w:noProof/>
                <w:sz w:val="16"/>
                <w:szCs w:val="16"/>
              </w:rPr>
            </w:pPr>
            <w:r>
              <w:rPr>
                <w:rFonts w:ascii="Times New Roman" w:hAnsi="Times New Roman" w:cs="Times New Roman"/>
                <w:noProof/>
                <w:sz w:val="16"/>
                <w:szCs w:val="16"/>
              </w:rPr>
              <w:t>Adoption of special measures, including grants to Ministries for Education and Health.</w:t>
            </w:r>
          </w:p>
        </w:tc>
        <w:tc>
          <w:tcPr>
            <w:tcW w:w="2401" w:type="dxa"/>
          </w:tcPr>
          <w:p w:rsidR="00D53FAC" w:rsidRDefault="008723A0">
            <w:pPr>
              <w:jc w:val="center"/>
              <w:rPr>
                <w:rFonts w:ascii="Times New Roman" w:hAnsi="Times New Roman" w:cs="Times New Roman"/>
                <w:noProof/>
                <w:sz w:val="16"/>
                <w:szCs w:val="16"/>
              </w:rPr>
            </w:pPr>
            <w:r>
              <w:rPr>
                <w:rFonts w:ascii="Times New Roman" w:hAnsi="Times New Roman" w:cs="Times New Roman"/>
                <w:b/>
                <w:noProof/>
                <w:sz w:val="16"/>
                <w:szCs w:val="16"/>
              </w:rPr>
              <w:t>End June</w:t>
            </w:r>
          </w:p>
          <w:p w:rsidR="00D53FAC" w:rsidRDefault="008723A0">
            <w:pPr>
              <w:rPr>
                <w:rFonts w:ascii="Times New Roman" w:hAnsi="Times New Roman" w:cs="Times New Roman"/>
                <w:i/>
                <w:noProof/>
                <w:sz w:val="16"/>
                <w:szCs w:val="16"/>
              </w:rPr>
            </w:pPr>
            <w:r>
              <w:rPr>
                <w:rFonts w:ascii="Times New Roman" w:hAnsi="Times New Roman" w:cs="Times New Roman"/>
                <w:i/>
                <w:noProof/>
                <w:sz w:val="16"/>
                <w:szCs w:val="16"/>
              </w:rPr>
              <w:t xml:space="preserve">24 June </w:t>
            </w:r>
          </w:p>
          <w:p w:rsidR="00D53FAC" w:rsidRDefault="008723A0">
            <w:pPr>
              <w:rPr>
                <w:rFonts w:ascii="Times New Roman" w:hAnsi="Times New Roman" w:cs="Times New Roman"/>
                <w:noProof/>
                <w:sz w:val="16"/>
                <w:szCs w:val="16"/>
              </w:rPr>
            </w:pPr>
            <w:r>
              <w:rPr>
                <w:rFonts w:ascii="Times New Roman" w:hAnsi="Times New Roman" w:cs="Times New Roman"/>
                <w:noProof/>
                <w:sz w:val="16"/>
                <w:szCs w:val="16"/>
              </w:rPr>
              <w:t xml:space="preserve">International Financial Institutions (IFIs) roundtable to discuss package. </w:t>
            </w:r>
          </w:p>
          <w:p w:rsidR="00D53FAC" w:rsidRDefault="00D53FAC">
            <w:pPr>
              <w:rPr>
                <w:rFonts w:ascii="Times New Roman" w:hAnsi="Times New Roman" w:cs="Times New Roman"/>
                <w:noProof/>
                <w:sz w:val="16"/>
                <w:szCs w:val="16"/>
              </w:rPr>
            </w:pPr>
          </w:p>
          <w:p w:rsidR="00D53FAC" w:rsidRDefault="008723A0">
            <w:pPr>
              <w:rPr>
                <w:rFonts w:ascii="Times New Roman" w:hAnsi="Times New Roman" w:cs="Times New Roman"/>
                <w:i/>
                <w:noProof/>
                <w:sz w:val="16"/>
                <w:szCs w:val="16"/>
              </w:rPr>
            </w:pPr>
            <w:r>
              <w:rPr>
                <w:rFonts w:ascii="Times New Roman" w:hAnsi="Times New Roman" w:cs="Times New Roman"/>
                <w:i/>
                <w:noProof/>
                <w:sz w:val="16"/>
                <w:szCs w:val="16"/>
              </w:rPr>
              <w:t xml:space="preserve">29 June </w:t>
            </w:r>
          </w:p>
          <w:p w:rsidR="00D53FAC" w:rsidRDefault="008723A0">
            <w:pPr>
              <w:rPr>
                <w:rFonts w:ascii="Times New Roman" w:hAnsi="Times New Roman" w:cs="Times New Roman"/>
                <w:noProof/>
                <w:sz w:val="16"/>
                <w:szCs w:val="16"/>
              </w:rPr>
            </w:pPr>
            <w:r>
              <w:rPr>
                <w:rFonts w:ascii="Times New Roman" w:hAnsi="Times New Roman" w:cs="Times New Roman"/>
                <w:noProof/>
                <w:sz w:val="16"/>
                <w:szCs w:val="16"/>
              </w:rPr>
              <w:t>IFI roundtable with Turkey to endorse package.</w:t>
            </w:r>
          </w:p>
          <w:p w:rsidR="00D53FAC" w:rsidRDefault="00D53FAC">
            <w:pPr>
              <w:rPr>
                <w:rFonts w:ascii="Times New Roman" w:hAnsi="Times New Roman" w:cs="Times New Roman"/>
                <w:noProof/>
                <w:sz w:val="16"/>
                <w:szCs w:val="16"/>
              </w:rPr>
            </w:pPr>
          </w:p>
          <w:p w:rsidR="00D53FAC" w:rsidRDefault="008723A0">
            <w:pPr>
              <w:jc w:val="center"/>
              <w:rPr>
                <w:rFonts w:ascii="Times New Roman" w:hAnsi="Times New Roman" w:cs="Times New Roman"/>
                <w:b/>
                <w:noProof/>
                <w:sz w:val="16"/>
                <w:szCs w:val="16"/>
              </w:rPr>
            </w:pPr>
            <w:r>
              <w:rPr>
                <w:rFonts w:ascii="Times New Roman" w:hAnsi="Times New Roman" w:cs="Times New Roman"/>
                <w:b/>
                <w:noProof/>
                <w:sz w:val="16"/>
                <w:szCs w:val="16"/>
              </w:rPr>
              <w:t>Until end July</w:t>
            </w:r>
          </w:p>
          <w:p w:rsidR="00D53FAC" w:rsidRDefault="008723A0">
            <w:pPr>
              <w:rPr>
                <w:rFonts w:ascii="Times New Roman" w:hAnsi="Times New Roman" w:cs="Times New Roman"/>
                <w:noProof/>
                <w:sz w:val="16"/>
                <w:szCs w:val="16"/>
              </w:rPr>
            </w:pPr>
            <w:r>
              <w:rPr>
                <w:rFonts w:ascii="Times New Roman" w:hAnsi="Times New Roman" w:cs="Times New Roman"/>
                <w:noProof/>
                <w:sz w:val="16"/>
                <w:szCs w:val="16"/>
              </w:rPr>
              <w:t>Adoption of IFI funding, where mature, for municipal and social infrastructure and socio-economic support.</w:t>
            </w:r>
          </w:p>
        </w:tc>
        <w:tc>
          <w:tcPr>
            <w:tcW w:w="2712" w:type="dxa"/>
          </w:tcPr>
          <w:p w:rsidR="00D53FAC" w:rsidRDefault="008723A0">
            <w:pPr>
              <w:jc w:val="center"/>
              <w:rPr>
                <w:rFonts w:ascii="Times New Roman" w:hAnsi="Times New Roman" w:cs="Times New Roman"/>
                <w:b/>
                <w:noProof/>
                <w:sz w:val="16"/>
                <w:szCs w:val="16"/>
              </w:rPr>
            </w:pPr>
            <w:r>
              <w:rPr>
                <w:rFonts w:ascii="Times New Roman" w:hAnsi="Times New Roman" w:cs="Times New Roman"/>
                <w:b/>
                <w:noProof/>
                <w:sz w:val="16"/>
                <w:szCs w:val="16"/>
              </w:rPr>
              <w:t>By summer</w:t>
            </w:r>
          </w:p>
          <w:p w:rsidR="00D53FAC" w:rsidRDefault="008723A0">
            <w:pPr>
              <w:rPr>
                <w:rFonts w:ascii="Times New Roman" w:hAnsi="Times New Roman" w:cs="Times New Roman"/>
                <w:noProof/>
                <w:sz w:val="16"/>
                <w:szCs w:val="16"/>
              </w:rPr>
            </w:pPr>
            <w:r>
              <w:rPr>
                <w:rFonts w:ascii="Times New Roman" w:hAnsi="Times New Roman" w:cs="Times New Roman"/>
                <w:noProof/>
                <w:sz w:val="16"/>
                <w:szCs w:val="16"/>
              </w:rPr>
              <w:t xml:space="preserve">Another five projects identified worth </w:t>
            </w:r>
            <w:r>
              <w:rPr>
                <w:rFonts w:ascii="Times New Roman" w:hAnsi="Times New Roman" w:cs="Times New Roman"/>
                <w:b/>
                <w:noProof/>
                <w:sz w:val="16"/>
                <w:szCs w:val="16"/>
              </w:rPr>
              <w:t>EUR 84 million</w:t>
            </w:r>
            <w:r>
              <w:rPr>
                <w:rFonts w:ascii="Times New Roman" w:hAnsi="Times New Roman" w:cs="Times New Roman"/>
                <w:noProof/>
                <w:sz w:val="16"/>
                <w:szCs w:val="16"/>
              </w:rPr>
              <w:t xml:space="preserve"> – still to be finalised and launched.</w:t>
            </w:r>
          </w:p>
          <w:p w:rsidR="00D53FAC" w:rsidRDefault="00D53FAC">
            <w:pPr>
              <w:jc w:val="center"/>
              <w:rPr>
                <w:rFonts w:ascii="Times New Roman" w:hAnsi="Times New Roman" w:cs="Times New Roman"/>
                <w:b/>
                <w:noProof/>
                <w:sz w:val="16"/>
                <w:szCs w:val="16"/>
              </w:rPr>
            </w:pPr>
          </w:p>
          <w:p w:rsidR="00D53FAC" w:rsidRDefault="008723A0">
            <w:pPr>
              <w:jc w:val="center"/>
              <w:rPr>
                <w:rFonts w:ascii="Times New Roman" w:hAnsi="Times New Roman" w:cs="Times New Roman"/>
                <w:b/>
                <w:noProof/>
                <w:sz w:val="16"/>
                <w:szCs w:val="16"/>
              </w:rPr>
            </w:pPr>
            <w:r>
              <w:rPr>
                <w:rFonts w:ascii="Times New Roman" w:hAnsi="Times New Roman" w:cs="Times New Roman"/>
                <w:b/>
                <w:noProof/>
                <w:sz w:val="16"/>
                <w:szCs w:val="16"/>
              </w:rPr>
              <w:t>Until end July</w:t>
            </w:r>
          </w:p>
          <w:p w:rsidR="00D53FAC" w:rsidRDefault="008723A0">
            <w:pPr>
              <w:rPr>
                <w:rFonts w:ascii="Times New Roman" w:hAnsi="Times New Roman" w:cs="Times New Roman"/>
                <w:noProof/>
                <w:sz w:val="16"/>
                <w:szCs w:val="16"/>
              </w:rPr>
            </w:pPr>
            <w:r>
              <w:rPr>
                <w:rFonts w:ascii="Times New Roman" w:hAnsi="Times New Roman" w:cs="Times New Roman"/>
                <w:noProof/>
                <w:sz w:val="16"/>
                <w:szCs w:val="16"/>
              </w:rPr>
              <w:t>Adoption of EUTF top-up.</w:t>
            </w:r>
          </w:p>
          <w:p w:rsidR="00D53FAC" w:rsidRDefault="00D53FAC">
            <w:pPr>
              <w:rPr>
                <w:rFonts w:ascii="Times New Roman" w:hAnsi="Times New Roman" w:cs="Times New Roman"/>
                <w:noProof/>
                <w:sz w:val="16"/>
                <w:szCs w:val="16"/>
              </w:rPr>
            </w:pPr>
          </w:p>
          <w:p w:rsidR="00D53FAC" w:rsidRDefault="008723A0">
            <w:pPr>
              <w:jc w:val="center"/>
              <w:rPr>
                <w:rFonts w:ascii="Times New Roman" w:hAnsi="Times New Roman" w:cs="Times New Roman"/>
                <w:noProof/>
                <w:sz w:val="16"/>
                <w:szCs w:val="16"/>
              </w:rPr>
            </w:pPr>
            <w:r>
              <w:rPr>
                <w:rFonts w:ascii="Times New Roman" w:hAnsi="Times New Roman" w:cs="Times New Roman"/>
                <w:b/>
                <w:noProof/>
                <w:sz w:val="16"/>
                <w:szCs w:val="16"/>
              </w:rPr>
              <w:t>Continuous</w:t>
            </w:r>
          </w:p>
          <w:p w:rsidR="00D53FAC" w:rsidRDefault="008723A0">
            <w:pPr>
              <w:rPr>
                <w:rFonts w:ascii="Times New Roman" w:hAnsi="Times New Roman" w:cs="Times New Roman"/>
                <w:noProof/>
                <w:sz w:val="16"/>
                <w:szCs w:val="16"/>
              </w:rPr>
            </w:pPr>
            <w:r>
              <w:rPr>
                <w:rFonts w:ascii="Times New Roman" w:hAnsi="Times New Roman" w:cs="Times New Roman"/>
                <w:noProof/>
                <w:sz w:val="16"/>
                <w:szCs w:val="16"/>
              </w:rPr>
              <w:t>New projects under EUTF in areas not covered by other strands: labour market access, community action</w:t>
            </w:r>
            <w:r>
              <w:rPr>
                <w:rFonts w:ascii="Times New Roman" w:hAnsi="Times New Roman" w:cs="Times New Roman"/>
                <w:noProof/>
                <w:sz w:val="16"/>
                <w:szCs w:val="16"/>
              </w:rPr>
              <w:t>s, smaller grant initiatives, other integration and soft measures.</w:t>
            </w:r>
          </w:p>
        </w:tc>
      </w:tr>
      <w:tr w:rsidR="00D53FAC">
        <w:trPr>
          <w:trHeight w:val="2426"/>
          <w:jc w:val="center"/>
        </w:trPr>
        <w:tc>
          <w:tcPr>
            <w:tcW w:w="2196" w:type="dxa"/>
          </w:tcPr>
          <w:p w:rsidR="00D53FAC" w:rsidRDefault="008723A0">
            <w:pPr>
              <w:rPr>
                <w:rFonts w:ascii="Times New Roman" w:hAnsi="Times New Roman" w:cs="Times New Roman"/>
                <w:b/>
                <w:noProof/>
                <w:sz w:val="16"/>
                <w:szCs w:val="16"/>
              </w:rPr>
            </w:pPr>
            <w:r>
              <w:rPr>
                <w:rFonts w:ascii="Times New Roman" w:hAnsi="Times New Roman" w:cs="Times New Roman"/>
                <w:b/>
                <w:noProof/>
                <w:sz w:val="16"/>
                <w:szCs w:val="16"/>
              </w:rPr>
              <w:t>Achievements</w:t>
            </w:r>
          </w:p>
        </w:tc>
        <w:tc>
          <w:tcPr>
            <w:tcW w:w="3000" w:type="dxa"/>
          </w:tcPr>
          <w:p w:rsidR="00D53FAC" w:rsidRDefault="008723A0">
            <w:pPr>
              <w:jc w:val="center"/>
              <w:rPr>
                <w:rFonts w:ascii="Times New Roman" w:hAnsi="Times New Roman" w:cs="Times New Roman"/>
                <w:noProof/>
                <w:sz w:val="16"/>
                <w:szCs w:val="16"/>
              </w:rPr>
            </w:pPr>
            <w:r>
              <w:rPr>
                <w:rFonts w:ascii="Times New Roman" w:hAnsi="Times New Roman" w:cs="Times New Roman"/>
                <w:b/>
                <w:noProof/>
                <w:sz w:val="16"/>
                <w:szCs w:val="16"/>
              </w:rPr>
              <w:t>3 June</w:t>
            </w:r>
          </w:p>
          <w:p w:rsidR="00D53FAC" w:rsidRDefault="008723A0">
            <w:pPr>
              <w:rPr>
                <w:rFonts w:ascii="Times New Roman" w:hAnsi="Times New Roman" w:cs="Times New Roman"/>
                <w:noProof/>
                <w:sz w:val="16"/>
                <w:szCs w:val="16"/>
              </w:rPr>
            </w:pPr>
            <w:r>
              <w:rPr>
                <w:rFonts w:ascii="Times New Roman" w:hAnsi="Times New Roman" w:cs="Times New Roman"/>
                <w:noProof/>
                <w:sz w:val="16"/>
                <w:szCs w:val="16"/>
              </w:rPr>
              <w:t>Publication of DG ECHO's Humanitarian Implementation Plan including the first allocation (</w:t>
            </w:r>
            <w:r>
              <w:rPr>
                <w:rFonts w:ascii="Times New Roman" w:hAnsi="Times New Roman" w:cs="Times New Roman"/>
                <w:b/>
                <w:noProof/>
                <w:sz w:val="16"/>
                <w:szCs w:val="16"/>
              </w:rPr>
              <w:t>EUR 505.65 million</w:t>
            </w:r>
            <w:r>
              <w:rPr>
                <w:rFonts w:ascii="Times New Roman" w:hAnsi="Times New Roman" w:cs="Times New Roman"/>
                <w:noProof/>
                <w:sz w:val="16"/>
                <w:szCs w:val="16"/>
              </w:rPr>
              <w:t xml:space="preserve">) for the Emergency Social Safety Net (ESSN) and </w:t>
            </w:r>
            <w:r>
              <w:rPr>
                <w:rFonts w:ascii="Times New Roman" w:hAnsi="Times New Roman" w:cs="Times New Roman"/>
                <w:noProof/>
                <w:sz w:val="16"/>
                <w:szCs w:val="16"/>
              </w:rPr>
              <w:t>complementary measures.</w:t>
            </w:r>
          </w:p>
          <w:p w:rsidR="00D53FAC" w:rsidRDefault="00D53FAC">
            <w:pPr>
              <w:rPr>
                <w:rFonts w:ascii="Times New Roman" w:hAnsi="Times New Roman" w:cs="Times New Roman"/>
                <w:noProof/>
                <w:sz w:val="16"/>
                <w:szCs w:val="16"/>
              </w:rPr>
            </w:pPr>
          </w:p>
          <w:p w:rsidR="00D53FAC" w:rsidRDefault="008723A0">
            <w:pPr>
              <w:jc w:val="center"/>
              <w:rPr>
                <w:rFonts w:ascii="Times New Roman" w:hAnsi="Times New Roman" w:cs="Times New Roman"/>
                <w:b/>
                <w:noProof/>
                <w:sz w:val="16"/>
                <w:szCs w:val="16"/>
              </w:rPr>
            </w:pPr>
            <w:r>
              <w:rPr>
                <w:rFonts w:ascii="Times New Roman" w:hAnsi="Times New Roman" w:cs="Times New Roman"/>
                <w:b/>
                <w:noProof/>
                <w:sz w:val="16"/>
                <w:szCs w:val="16"/>
              </w:rPr>
              <w:t>March/April</w:t>
            </w:r>
          </w:p>
          <w:p w:rsidR="00D53FAC" w:rsidRDefault="008723A0">
            <w:pPr>
              <w:rPr>
                <w:rFonts w:ascii="Times New Roman" w:hAnsi="Times New Roman" w:cs="Times New Roman"/>
                <w:noProof/>
                <w:sz w:val="16"/>
                <w:szCs w:val="16"/>
              </w:rPr>
            </w:pPr>
            <w:r>
              <w:rPr>
                <w:rFonts w:ascii="Times New Roman" w:hAnsi="Times New Roman" w:cs="Times New Roman"/>
                <w:noProof/>
                <w:sz w:val="16"/>
                <w:szCs w:val="16"/>
              </w:rPr>
              <w:t xml:space="preserve">DG ECHO signs projects with 17 humanitarian partners worth </w:t>
            </w:r>
            <w:r>
              <w:rPr>
                <w:rFonts w:ascii="Times New Roman" w:hAnsi="Times New Roman" w:cs="Times New Roman"/>
                <w:b/>
                <w:noProof/>
                <w:sz w:val="16"/>
                <w:szCs w:val="16"/>
              </w:rPr>
              <w:t>EUR 90 million</w:t>
            </w:r>
            <w:r>
              <w:rPr>
                <w:rFonts w:ascii="Times New Roman" w:hAnsi="Times New Roman" w:cs="Times New Roman"/>
                <w:noProof/>
                <w:sz w:val="16"/>
                <w:szCs w:val="16"/>
              </w:rPr>
              <w:t>.</w:t>
            </w:r>
          </w:p>
          <w:p w:rsidR="00D53FAC" w:rsidRDefault="00D53FAC">
            <w:pPr>
              <w:jc w:val="center"/>
              <w:rPr>
                <w:rFonts w:ascii="Times New Roman" w:hAnsi="Times New Roman" w:cs="Times New Roman"/>
                <w:b/>
                <w:noProof/>
                <w:sz w:val="16"/>
                <w:szCs w:val="16"/>
              </w:rPr>
            </w:pPr>
          </w:p>
        </w:tc>
        <w:tc>
          <w:tcPr>
            <w:tcW w:w="2741" w:type="dxa"/>
          </w:tcPr>
          <w:p w:rsidR="00D53FAC" w:rsidRDefault="008723A0">
            <w:pPr>
              <w:jc w:val="center"/>
              <w:rPr>
                <w:rFonts w:ascii="Times New Roman" w:hAnsi="Times New Roman" w:cs="Times New Roman"/>
                <w:noProof/>
                <w:sz w:val="16"/>
                <w:szCs w:val="16"/>
              </w:rPr>
            </w:pPr>
            <w:r>
              <w:rPr>
                <w:rFonts w:ascii="Times New Roman" w:hAnsi="Times New Roman" w:cs="Times New Roman"/>
                <w:b/>
                <w:noProof/>
                <w:sz w:val="16"/>
                <w:szCs w:val="16"/>
              </w:rPr>
              <w:t>19 April</w:t>
            </w:r>
          </w:p>
          <w:p w:rsidR="00D53FAC" w:rsidRDefault="008723A0">
            <w:pPr>
              <w:rPr>
                <w:rFonts w:ascii="Times New Roman" w:hAnsi="Times New Roman" w:cs="Times New Roman"/>
                <w:noProof/>
                <w:sz w:val="16"/>
                <w:szCs w:val="16"/>
              </w:rPr>
            </w:pPr>
            <w:r>
              <w:rPr>
                <w:rFonts w:ascii="Times New Roman" w:hAnsi="Times New Roman" w:cs="Times New Roman"/>
                <w:noProof/>
                <w:sz w:val="16"/>
                <w:szCs w:val="16"/>
              </w:rPr>
              <w:t xml:space="preserve">First Special Measure of </w:t>
            </w:r>
            <w:r>
              <w:rPr>
                <w:rFonts w:ascii="Times New Roman" w:hAnsi="Times New Roman" w:cs="Times New Roman"/>
                <w:b/>
                <w:noProof/>
                <w:sz w:val="16"/>
                <w:szCs w:val="16"/>
              </w:rPr>
              <w:t>EUR 60 million</w:t>
            </w:r>
            <w:r>
              <w:rPr>
                <w:rFonts w:ascii="Times New Roman" w:hAnsi="Times New Roman" w:cs="Times New Roman"/>
                <w:noProof/>
                <w:sz w:val="16"/>
                <w:szCs w:val="16"/>
              </w:rPr>
              <w:t xml:space="preserve"> contracted to provide food, shelter and health care for returned migrants from Greece.</w:t>
            </w:r>
          </w:p>
        </w:tc>
        <w:tc>
          <w:tcPr>
            <w:tcW w:w="2419" w:type="dxa"/>
          </w:tcPr>
          <w:p w:rsidR="00D53FAC" w:rsidRDefault="008723A0">
            <w:pPr>
              <w:rPr>
                <w:rFonts w:ascii="Times New Roman" w:hAnsi="Times New Roman" w:cs="Times New Roman"/>
                <w:noProof/>
                <w:sz w:val="16"/>
                <w:szCs w:val="16"/>
              </w:rPr>
            </w:pPr>
            <w:r>
              <w:rPr>
                <w:rFonts w:ascii="Times New Roman" w:hAnsi="Times New Roman" w:cs="Times New Roman"/>
                <w:noProof/>
                <w:sz w:val="16"/>
                <w:szCs w:val="16"/>
              </w:rPr>
              <w:t>Funding</w:t>
            </w:r>
            <w:r>
              <w:rPr>
                <w:rFonts w:ascii="Times New Roman" w:hAnsi="Times New Roman" w:cs="Times New Roman"/>
                <w:noProof/>
                <w:sz w:val="16"/>
                <w:szCs w:val="16"/>
              </w:rPr>
              <w:t xml:space="preserve"> needs for Education and Health had previously been addressed under short-term measures through DG ECHO and EUTF.</w:t>
            </w:r>
          </w:p>
        </w:tc>
        <w:tc>
          <w:tcPr>
            <w:tcW w:w="2401" w:type="dxa"/>
          </w:tcPr>
          <w:p w:rsidR="00D53FAC" w:rsidRDefault="008723A0">
            <w:pPr>
              <w:jc w:val="center"/>
              <w:rPr>
                <w:rFonts w:ascii="Times New Roman" w:hAnsi="Times New Roman" w:cs="Times New Roman"/>
                <w:noProof/>
                <w:sz w:val="16"/>
                <w:szCs w:val="16"/>
              </w:rPr>
            </w:pPr>
            <w:r>
              <w:rPr>
                <w:rFonts w:ascii="Times New Roman" w:hAnsi="Times New Roman" w:cs="Times New Roman"/>
                <w:b/>
                <w:noProof/>
                <w:sz w:val="16"/>
                <w:szCs w:val="16"/>
              </w:rPr>
              <w:t>22 April</w:t>
            </w:r>
          </w:p>
          <w:p w:rsidR="00D53FAC" w:rsidRDefault="008723A0">
            <w:pPr>
              <w:rPr>
                <w:rFonts w:ascii="Times New Roman" w:hAnsi="Times New Roman" w:cs="Times New Roman"/>
                <w:noProof/>
                <w:sz w:val="16"/>
                <w:szCs w:val="16"/>
              </w:rPr>
            </w:pPr>
            <w:r>
              <w:rPr>
                <w:rFonts w:ascii="Times New Roman" w:hAnsi="Times New Roman" w:cs="Times New Roman"/>
                <w:noProof/>
                <w:sz w:val="16"/>
                <w:szCs w:val="16"/>
              </w:rPr>
              <w:t>IFI roundtable followed up by bilateral meetings on infrastructure and socio-economic support.</w:t>
            </w:r>
          </w:p>
        </w:tc>
        <w:tc>
          <w:tcPr>
            <w:tcW w:w="2712" w:type="dxa"/>
          </w:tcPr>
          <w:p w:rsidR="00D53FAC" w:rsidRDefault="008723A0">
            <w:pPr>
              <w:jc w:val="center"/>
              <w:rPr>
                <w:rFonts w:ascii="Times New Roman" w:hAnsi="Times New Roman" w:cs="Times New Roman"/>
                <w:b/>
                <w:noProof/>
                <w:sz w:val="16"/>
                <w:szCs w:val="16"/>
              </w:rPr>
            </w:pPr>
            <w:r>
              <w:rPr>
                <w:rFonts w:ascii="Times New Roman" w:hAnsi="Times New Roman" w:cs="Times New Roman"/>
                <w:b/>
                <w:noProof/>
                <w:sz w:val="16"/>
                <w:szCs w:val="16"/>
              </w:rPr>
              <w:t>By 26 May</w:t>
            </w:r>
          </w:p>
          <w:p w:rsidR="00D53FAC" w:rsidRDefault="008723A0">
            <w:pPr>
              <w:spacing w:after="60"/>
              <w:rPr>
                <w:rFonts w:ascii="Times New Roman" w:hAnsi="Times New Roman" w:cs="Times New Roman"/>
                <w:noProof/>
                <w:sz w:val="16"/>
                <w:szCs w:val="16"/>
              </w:rPr>
            </w:pPr>
            <w:r>
              <w:rPr>
                <w:rFonts w:ascii="Times New Roman" w:hAnsi="Times New Roman" w:cs="Times New Roman"/>
                <w:noProof/>
                <w:sz w:val="16"/>
                <w:szCs w:val="16"/>
              </w:rPr>
              <w:t xml:space="preserve">Four new projects for some </w:t>
            </w:r>
            <w:r>
              <w:rPr>
                <w:rFonts w:ascii="Times New Roman" w:hAnsi="Times New Roman" w:cs="Times New Roman"/>
                <w:b/>
                <w:noProof/>
                <w:sz w:val="16"/>
                <w:szCs w:val="16"/>
              </w:rPr>
              <w:t>E</w:t>
            </w:r>
            <w:r>
              <w:rPr>
                <w:rFonts w:ascii="Times New Roman" w:hAnsi="Times New Roman" w:cs="Times New Roman"/>
                <w:b/>
                <w:noProof/>
                <w:sz w:val="16"/>
                <w:szCs w:val="16"/>
              </w:rPr>
              <w:t>UR 28 million</w:t>
            </w:r>
            <w:r>
              <w:rPr>
                <w:rFonts w:ascii="Times New Roman" w:hAnsi="Times New Roman" w:cs="Times New Roman"/>
                <w:noProof/>
                <w:sz w:val="16"/>
                <w:szCs w:val="16"/>
              </w:rPr>
              <w:t xml:space="preserve"> signed to provide additional education infrastructure, skills training, social support.</w:t>
            </w:r>
          </w:p>
          <w:p w:rsidR="00D53FAC" w:rsidRDefault="008723A0">
            <w:pPr>
              <w:jc w:val="center"/>
              <w:rPr>
                <w:rFonts w:ascii="Times New Roman" w:hAnsi="Times New Roman" w:cs="Times New Roman"/>
                <w:noProof/>
                <w:sz w:val="16"/>
                <w:szCs w:val="16"/>
              </w:rPr>
            </w:pPr>
            <w:r>
              <w:rPr>
                <w:rFonts w:ascii="Times New Roman" w:hAnsi="Times New Roman" w:cs="Times New Roman"/>
                <w:b/>
                <w:noProof/>
                <w:sz w:val="16"/>
                <w:szCs w:val="16"/>
              </w:rPr>
              <w:t xml:space="preserve">11 April </w:t>
            </w:r>
          </w:p>
          <w:p w:rsidR="00D53FAC" w:rsidRDefault="008723A0">
            <w:pPr>
              <w:spacing w:after="60"/>
              <w:rPr>
                <w:rFonts w:ascii="Times New Roman" w:hAnsi="Times New Roman" w:cs="Times New Roman"/>
                <w:noProof/>
                <w:sz w:val="16"/>
                <w:szCs w:val="16"/>
              </w:rPr>
            </w:pPr>
            <w:r>
              <w:rPr>
                <w:rFonts w:ascii="Times New Roman" w:hAnsi="Times New Roman" w:cs="Times New Roman"/>
                <w:noProof/>
                <w:sz w:val="16"/>
                <w:szCs w:val="16"/>
              </w:rPr>
              <w:t xml:space="preserve">EUTF Board endorsed new concept notes.  </w:t>
            </w:r>
          </w:p>
          <w:p w:rsidR="00D53FAC" w:rsidRDefault="008723A0">
            <w:pPr>
              <w:jc w:val="center"/>
              <w:rPr>
                <w:rFonts w:ascii="Times New Roman" w:hAnsi="Times New Roman" w:cs="Times New Roman"/>
                <w:noProof/>
                <w:sz w:val="16"/>
                <w:szCs w:val="16"/>
              </w:rPr>
            </w:pPr>
            <w:r>
              <w:rPr>
                <w:rFonts w:ascii="Times New Roman" w:hAnsi="Times New Roman" w:cs="Times New Roman"/>
                <w:b/>
                <w:noProof/>
                <w:sz w:val="16"/>
                <w:szCs w:val="16"/>
              </w:rPr>
              <w:t>4 March</w:t>
            </w:r>
          </w:p>
          <w:p w:rsidR="00D53FAC" w:rsidRDefault="008723A0">
            <w:pPr>
              <w:rPr>
                <w:rFonts w:ascii="Times New Roman" w:hAnsi="Times New Roman" w:cs="Times New Roman"/>
                <w:b/>
                <w:noProof/>
                <w:sz w:val="16"/>
                <w:szCs w:val="16"/>
              </w:rPr>
            </w:pPr>
            <w:r>
              <w:rPr>
                <w:rFonts w:ascii="Times New Roman" w:hAnsi="Times New Roman" w:cs="Times New Roman"/>
                <w:noProof/>
                <w:sz w:val="16"/>
                <w:szCs w:val="16"/>
              </w:rPr>
              <w:t xml:space="preserve">UNICEF regional contract signed with </w:t>
            </w:r>
            <w:r>
              <w:rPr>
                <w:rFonts w:ascii="Times New Roman" w:hAnsi="Times New Roman" w:cs="Times New Roman"/>
                <w:b/>
                <w:noProof/>
                <w:sz w:val="16"/>
                <w:szCs w:val="16"/>
              </w:rPr>
              <w:t>EUR 37 million</w:t>
            </w:r>
            <w:r>
              <w:rPr>
                <w:rFonts w:ascii="Times New Roman" w:hAnsi="Times New Roman" w:cs="Times New Roman"/>
                <w:noProof/>
                <w:sz w:val="16"/>
                <w:szCs w:val="16"/>
              </w:rPr>
              <w:t xml:space="preserve"> component for Turkey.</w:t>
            </w:r>
          </w:p>
        </w:tc>
      </w:tr>
      <w:tr w:rsidR="00D53FAC">
        <w:trPr>
          <w:jc w:val="center"/>
        </w:trPr>
        <w:tc>
          <w:tcPr>
            <w:tcW w:w="15469" w:type="dxa"/>
            <w:gridSpan w:val="6"/>
            <w:shd w:val="clear" w:color="auto" w:fill="D9D9D9" w:themeFill="background1" w:themeFillShade="D9"/>
          </w:tcPr>
          <w:p w:rsidR="00D53FAC" w:rsidRDefault="008723A0">
            <w:pPr>
              <w:rPr>
                <w:rFonts w:ascii="Times New Roman" w:hAnsi="Times New Roman" w:cs="Times New Roman"/>
                <w:b/>
                <w:noProof/>
                <w:sz w:val="16"/>
                <w:szCs w:val="16"/>
                <w:highlight w:val="yellow"/>
              </w:rPr>
            </w:pPr>
            <w:r>
              <w:rPr>
                <w:rFonts w:ascii="Times New Roman" w:hAnsi="Times New Roman" w:cs="Times New Roman"/>
                <w:b/>
                <w:noProof/>
                <w:sz w:val="16"/>
                <w:szCs w:val="16"/>
              </w:rPr>
              <w:t>Facility Governance</w:t>
            </w:r>
          </w:p>
        </w:tc>
      </w:tr>
      <w:tr w:rsidR="00D53FAC">
        <w:trPr>
          <w:jc w:val="center"/>
        </w:trPr>
        <w:tc>
          <w:tcPr>
            <w:tcW w:w="2196" w:type="dxa"/>
          </w:tcPr>
          <w:p w:rsidR="00D53FAC" w:rsidRDefault="008723A0">
            <w:pPr>
              <w:rPr>
                <w:rFonts w:ascii="Times New Roman" w:hAnsi="Times New Roman" w:cs="Times New Roman"/>
                <w:b/>
                <w:noProof/>
                <w:sz w:val="16"/>
                <w:szCs w:val="16"/>
                <w:highlight w:val="yellow"/>
              </w:rPr>
            </w:pPr>
            <w:r>
              <w:rPr>
                <w:rFonts w:ascii="Times New Roman" w:hAnsi="Times New Roman" w:cs="Times New Roman"/>
                <w:b/>
                <w:noProof/>
                <w:sz w:val="16"/>
                <w:szCs w:val="16"/>
              </w:rPr>
              <w:t>Timeline since April</w:t>
            </w:r>
          </w:p>
        </w:tc>
        <w:tc>
          <w:tcPr>
            <w:tcW w:w="3000" w:type="dxa"/>
          </w:tcPr>
          <w:p w:rsidR="00D53FAC" w:rsidRDefault="008723A0">
            <w:pPr>
              <w:jc w:val="center"/>
              <w:rPr>
                <w:rFonts w:ascii="Times New Roman" w:hAnsi="Times New Roman" w:cs="Times New Roman"/>
                <w:b/>
                <w:noProof/>
                <w:sz w:val="16"/>
                <w:szCs w:val="16"/>
              </w:rPr>
            </w:pPr>
            <w:r>
              <w:rPr>
                <w:rFonts w:ascii="Times New Roman" w:hAnsi="Times New Roman" w:cs="Times New Roman"/>
                <w:b/>
                <w:noProof/>
                <w:sz w:val="16"/>
                <w:szCs w:val="16"/>
              </w:rPr>
              <w:t>April</w:t>
            </w:r>
          </w:p>
          <w:p w:rsidR="00D53FAC" w:rsidRDefault="008723A0">
            <w:pPr>
              <w:rPr>
                <w:rFonts w:ascii="Times New Roman" w:hAnsi="Times New Roman" w:cs="Times New Roman"/>
                <w:noProof/>
                <w:sz w:val="16"/>
                <w:szCs w:val="16"/>
              </w:rPr>
            </w:pPr>
            <w:r>
              <w:rPr>
                <w:rFonts w:ascii="Times New Roman" w:hAnsi="Times New Roman" w:cs="Times New Roman"/>
                <w:noProof/>
                <w:sz w:val="16"/>
                <w:szCs w:val="16"/>
              </w:rPr>
              <w:t>Fast-track approach presented to Turkey and further elaborated to become Strategic Concept Note for the implementation of the Facility.</w:t>
            </w:r>
          </w:p>
        </w:tc>
        <w:tc>
          <w:tcPr>
            <w:tcW w:w="2741" w:type="dxa"/>
          </w:tcPr>
          <w:p w:rsidR="00D53FAC" w:rsidRDefault="008723A0">
            <w:pPr>
              <w:jc w:val="center"/>
              <w:rPr>
                <w:rFonts w:ascii="Times New Roman" w:hAnsi="Times New Roman" w:cs="Times New Roman"/>
                <w:b/>
                <w:noProof/>
                <w:sz w:val="16"/>
                <w:szCs w:val="16"/>
              </w:rPr>
            </w:pPr>
            <w:r>
              <w:rPr>
                <w:rFonts w:ascii="Times New Roman" w:hAnsi="Times New Roman" w:cs="Times New Roman"/>
                <w:b/>
                <w:noProof/>
                <w:sz w:val="16"/>
                <w:szCs w:val="16"/>
              </w:rPr>
              <w:t>12 May</w:t>
            </w:r>
          </w:p>
          <w:p w:rsidR="00D53FAC" w:rsidRDefault="008723A0">
            <w:pPr>
              <w:tabs>
                <w:tab w:val="left" w:pos="4632"/>
              </w:tabs>
              <w:rPr>
                <w:rFonts w:ascii="Times New Roman" w:hAnsi="Times New Roman" w:cs="Times New Roman"/>
                <w:noProof/>
                <w:sz w:val="16"/>
                <w:szCs w:val="16"/>
              </w:rPr>
            </w:pPr>
            <w:r>
              <w:rPr>
                <w:rFonts w:ascii="Times New Roman" w:hAnsi="Times New Roman" w:cs="Times New Roman"/>
                <w:noProof/>
                <w:sz w:val="16"/>
                <w:szCs w:val="16"/>
              </w:rPr>
              <w:t>2</w:t>
            </w:r>
            <w:r>
              <w:rPr>
                <w:rFonts w:ascii="Times New Roman" w:hAnsi="Times New Roman" w:cs="Times New Roman"/>
                <w:noProof/>
                <w:sz w:val="16"/>
                <w:szCs w:val="16"/>
                <w:vertAlign w:val="superscript"/>
              </w:rPr>
              <w:t>nd</w:t>
            </w:r>
            <w:r>
              <w:rPr>
                <w:rFonts w:ascii="Times New Roman" w:hAnsi="Times New Roman" w:cs="Times New Roman"/>
                <w:noProof/>
                <w:sz w:val="16"/>
                <w:szCs w:val="16"/>
              </w:rPr>
              <w:t xml:space="preserve"> Steering Committee endorsed Strategic Concept Note and received a presentation of</w:t>
            </w:r>
            <w:r>
              <w:rPr>
                <w:rFonts w:ascii="Times New Roman" w:hAnsi="Times New Roman" w:cs="Times New Roman"/>
                <w:noProof/>
                <w:sz w:val="16"/>
                <w:szCs w:val="16"/>
              </w:rPr>
              <w:t xml:space="preserve"> the draft independent needs assessment. It agreed on six Facility priority areas: Humanitarian Assistance, Migration Management, Education, Health, Municipal Infrastructure, and Socio-Economic Support.</w:t>
            </w:r>
          </w:p>
        </w:tc>
        <w:tc>
          <w:tcPr>
            <w:tcW w:w="2419" w:type="dxa"/>
          </w:tcPr>
          <w:p w:rsidR="00D53FAC" w:rsidRDefault="008723A0">
            <w:pPr>
              <w:jc w:val="center"/>
              <w:rPr>
                <w:rFonts w:ascii="Times New Roman" w:hAnsi="Times New Roman" w:cs="Times New Roman"/>
                <w:b/>
                <w:noProof/>
                <w:sz w:val="16"/>
                <w:szCs w:val="16"/>
              </w:rPr>
            </w:pPr>
            <w:r>
              <w:rPr>
                <w:rFonts w:ascii="Times New Roman" w:hAnsi="Times New Roman" w:cs="Times New Roman"/>
                <w:b/>
                <w:noProof/>
                <w:sz w:val="16"/>
                <w:szCs w:val="16"/>
              </w:rPr>
              <w:t>13 June</w:t>
            </w:r>
          </w:p>
          <w:p w:rsidR="00D53FAC" w:rsidRDefault="008723A0">
            <w:pPr>
              <w:rPr>
                <w:rFonts w:ascii="Times New Roman" w:hAnsi="Times New Roman" w:cs="Times New Roman"/>
                <w:b/>
                <w:noProof/>
                <w:sz w:val="16"/>
                <w:szCs w:val="16"/>
              </w:rPr>
            </w:pPr>
            <w:r>
              <w:rPr>
                <w:rFonts w:ascii="Times New Roman" w:hAnsi="Times New Roman" w:cs="Times New Roman"/>
                <w:noProof/>
                <w:sz w:val="16"/>
                <w:szCs w:val="16"/>
              </w:rPr>
              <w:t xml:space="preserve">All Member States' contribution certificates </w:t>
            </w:r>
            <w:r>
              <w:rPr>
                <w:rFonts w:ascii="Times New Roman" w:hAnsi="Times New Roman" w:cs="Times New Roman"/>
                <w:noProof/>
                <w:sz w:val="16"/>
                <w:szCs w:val="16"/>
              </w:rPr>
              <w:t>received</w:t>
            </w:r>
            <w:r>
              <w:rPr>
                <w:rFonts w:ascii="Times New Roman" w:hAnsi="Times New Roman" w:cs="Times New Roman"/>
                <w:i/>
                <w:noProof/>
                <w:sz w:val="16"/>
                <w:szCs w:val="16"/>
              </w:rPr>
              <w:t xml:space="preserve">, </w:t>
            </w:r>
            <w:r>
              <w:rPr>
                <w:rFonts w:ascii="Times New Roman" w:hAnsi="Times New Roman" w:cs="Times New Roman"/>
                <w:noProof/>
                <w:sz w:val="16"/>
                <w:szCs w:val="16"/>
              </w:rPr>
              <w:t>covering full amount of EUR 2 billion pledged for 2016-2017.</w:t>
            </w:r>
          </w:p>
        </w:tc>
        <w:tc>
          <w:tcPr>
            <w:tcW w:w="2401" w:type="dxa"/>
          </w:tcPr>
          <w:p w:rsidR="00D53FAC" w:rsidRDefault="008723A0">
            <w:pPr>
              <w:jc w:val="center"/>
              <w:rPr>
                <w:rFonts w:ascii="Times New Roman" w:hAnsi="Times New Roman" w:cs="Times New Roman"/>
                <w:noProof/>
                <w:sz w:val="16"/>
                <w:szCs w:val="16"/>
              </w:rPr>
            </w:pPr>
            <w:r>
              <w:rPr>
                <w:rFonts w:ascii="Times New Roman" w:hAnsi="Times New Roman" w:cs="Times New Roman"/>
                <w:b/>
                <w:noProof/>
                <w:sz w:val="16"/>
                <w:szCs w:val="16"/>
              </w:rPr>
              <w:t>30 June</w:t>
            </w:r>
          </w:p>
          <w:p w:rsidR="00D53FAC" w:rsidRDefault="008723A0">
            <w:pPr>
              <w:rPr>
                <w:rFonts w:ascii="Times New Roman" w:hAnsi="Times New Roman" w:cs="Times New Roman"/>
                <w:noProof/>
                <w:sz w:val="16"/>
                <w:szCs w:val="16"/>
              </w:rPr>
            </w:pPr>
            <w:r>
              <w:rPr>
                <w:rFonts w:ascii="Times New Roman" w:hAnsi="Times New Roman" w:cs="Times New Roman"/>
                <w:noProof/>
                <w:sz w:val="16"/>
                <w:szCs w:val="16"/>
              </w:rPr>
              <w:t>3</w:t>
            </w:r>
            <w:r>
              <w:rPr>
                <w:rFonts w:ascii="Times New Roman" w:hAnsi="Times New Roman" w:cs="Times New Roman"/>
                <w:noProof/>
                <w:sz w:val="16"/>
                <w:szCs w:val="16"/>
                <w:vertAlign w:val="superscript"/>
              </w:rPr>
              <w:t>rd</w:t>
            </w:r>
            <w:r>
              <w:rPr>
                <w:rFonts w:ascii="Times New Roman" w:hAnsi="Times New Roman" w:cs="Times New Roman"/>
                <w:noProof/>
                <w:sz w:val="16"/>
                <w:szCs w:val="16"/>
              </w:rPr>
              <w:t xml:space="preserve"> Steering Committee will convene to take stock of the finalised needs assessment and to review progress in implementation, including regarding the special measures on education, health, municipal and social infrastructure, and socio-economic support curren</w:t>
            </w:r>
            <w:r>
              <w:rPr>
                <w:rFonts w:ascii="Times New Roman" w:hAnsi="Times New Roman" w:cs="Times New Roman"/>
                <w:noProof/>
                <w:sz w:val="16"/>
                <w:szCs w:val="16"/>
              </w:rPr>
              <w:t>tly in preparation.</w:t>
            </w:r>
          </w:p>
        </w:tc>
        <w:tc>
          <w:tcPr>
            <w:tcW w:w="2712" w:type="dxa"/>
          </w:tcPr>
          <w:p w:rsidR="00D53FAC" w:rsidRDefault="008723A0">
            <w:pPr>
              <w:jc w:val="center"/>
              <w:rPr>
                <w:rFonts w:ascii="Times New Roman" w:hAnsi="Times New Roman" w:cs="Times New Roman"/>
                <w:b/>
                <w:noProof/>
                <w:sz w:val="16"/>
                <w:szCs w:val="16"/>
              </w:rPr>
            </w:pPr>
            <w:r>
              <w:rPr>
                <w:rFonts w:ascii="Times New Roman" w:hAnsi="Times New Roman" w:cs="Times New Roman"/>
                <w:b/>
                <w:noProof/>
                <w:sz w:val="16"/>
                <w:szCs w:val="16"/>
              </w:rPr>
              <w:t>Continuous</w:t>
            </w:r>
          </w:p>
          <w:p w:rsidR="00D53FAC" w:rsidRDefault="008723A0">
            <w:pPr>
              <w:rPr>
                <w:rFonts w:ascii="Times New Roman" w:hAnsi="Times New Roman" w:cs="Times New Roman"/>
                <w:noProof/>
                <w:sz w:val="16"/>
                <w:szCs w:val="16"/>
              </w:rPr>
            </w:pPr>
            <w:r>
              <w:rPr>
                <w:rFonts w:ascii="Times New Roman" w:hAnsi="Times New Roman" w:cs="Times New Roman"/>
                <w:noProof/>
                <w:sz w:val="16"/>
                <w:szCs w:val="16"/>
              </w:rPr>
              <w:t>Reporting on implementation and communicating on results achieved.</w:t>
            </w:r>
          </w:p>
        </w:tc>
      </w:tr>
    </w:tbl>
    <w:p w:rsidR="00D53FAC" w:rsidRDefault="00D53FAC">
      <w:pPr>
        <w:rPr>
          <w:rFonts w:ascii="Times New Roman" w:hAnsi="Times New Roman" w:cs="Times New Roman"/>
          <w:noProof/>
        </w:rPr>
      </w:pPr>
    </w:p>
    <w:sectPr w:rsidR="00D53FAC">
      <w:headerReference w:type="even" r:id="rId15"/>
      <w:headerReference w:type="default" r:id="rId16"/>
      <w:footerReference w:type="even" r:id="rId17"/>
      <w:footerReference w:type="default" r:id="rId18"/>
      <w:headerReference w:type="first" r:id="rId19"/>
      <w:footerReference w:type="first" r:id="rId20"/>
      <w:pgSz w:w="16838" w:h="11906" w:orient="landscape"/>
      <w:pgMar w:top="720" w:right="720" w:bottom="720" w:left="72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FAC" w:rsidRDefault="008723A0">
      <w:pPr>
        <w:spacing w:after="0" w:line="240" w:lineRule="auto"/>
      </w:pPr>
      <w:r>
        <w:separator/>
      </w:r>
    </w:p>
  </w:endnote>
  <w:endnote w:type="continuationSeparator" w:id="0">
    <w:p w:rsidR="00D53FAC" w:rsidRDefault="00872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3A0" w:rsidRDefault="008723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FAC" w:rsidRDefault="008723A0" w:rsidP="008723A0">
    <w:pPr>
      <w:pStyle w:val="FooterCoverPage"/>
      <w:pBdr>
        <w:top w:val="none" w:sz="0" w:space="0" w:color="auto"/>
        <w:left w:val="none" w:sz="0" w:space="0" w:color="auto"/>
        <w:bottom w:val="none" w:sz="0" w:space="0" w:color="auto"/>
        <w:right w:val="none" w:sz="0" w:space="0" w:color="auto"/>
      </w:pBd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3A0" w:rsidRDefault="008723A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FAC" w:rsidRDefault="00D53FA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828318"/>
      <w:docPartObj>
        <w:docPartGallery w:val="Page Numbers (Bottom of Page)"/>
        <w:docPartUnique/>
      </w:docPartObj>
    </w:sdtPr>
    <w:sdtEndPr>
      <w:rPr>
        <w:noProof/>
      </w:rPr>
    </w:sdtEndPr>
    <w:sdtContent>
      <w:p w:rsidR="00D53FAC" w:rsidRDefault="008723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FAC" w:rsidRDefault="00D53F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FAC" w:rsidRDefault="008723A0">
      <w:pPr>
        <w:spacing w:after="0" w:line="240" w:lineRule="auto"/>
      </w:pPr>
      <w:r>
        <w:separator/>
      </w:r>
    </w:p>
  </w:footnote>
  <w:footnote w:type="continuationSeparator" w:id="0">
    <w:p w:rsidR="00D53FAC" w:rsidRDefault="008723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3A0" w:rsidRDefault="008723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FAC" w:rsidRDefault="00D53FAC" w:rsidP="008723A0">
    <w:pPr>
      <w:pStyle w:val="HeaderCoverPage"/>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3A0" w:rsidRDefault="008723A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FAC" w:rsidRDefault="00D53FA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FAC" w:rsidRDefault="00D53FA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FAC" w:rsidRDefault="00D53F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1"/>
    <w:docVar w:name="LW_ANNEX_NBR_LAST" w:val="1"/>
    <w:docVar w:name="LW_CONFIDENCE" w:val=" "/>
    <w:docVar w:name="LW_CONST_RESTREINT_UE" w:val="RESTREINT UE"/>
    <w:docVar w:name="LW_CORRIGENDUM" w:val="&lt;UNUSED&gt;"/>
    <w:docVar w:name="LW_COVERPAGE_GUID" w:val="2A416C0F48234E64A577988A8DA1C2B7"/>
    <w:docVar w:name="LW_CROSSREFERENCE" w:val="&lt;UNUSED&gt;"/>
    <w:docVar w:name="LW_DocType" w:val="NORMAL"/>
    <w:docVar w:name="LW_EMISSION" w:val="15.6.2016"/>
    <w:docVar w:name="LW_EMISSION_ISODATE" w:val="2016-06-15"/>
    <w:docVar w:name="LW_EMISSION_LOCATION" w:val="BRX"/>
    <w:docVar w:name="LW_EMISSION_PREFIX" w:val="Brussels,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Second Report on the progress made in the implementation of the EU-Turkey Statement_x000b_"/>
    <w:docVar w:name="LW_PART_NBR" w:val="1"/>
    <w:docVar w:name="LW_PART_NBR_TOTAL" w:val="1"/>
    <w:docVar w:name="LW_REF.INST.NEW" w:val="COM"/>
    <w:docVar w:name="LW_REF.INST.NEW_ADOPTED" w:val="final"/>
    <w:docVar w:name="LW_REF.INST.NEW_TEXT" w:val="(2016) 349"/>
    <w:docVar w:name="LW_REF.INTERNE" w:val="&lt;UNUSED&gt;"/>
    <w:docVar w:name="LW_SUPERTITRE" w:val="&lt;UNUSED&gt;"/>
    <w:docVar w:name="LW_TITRE.OBJ.CP" w:val="&lt;UNUSED&gt;"/>
    <w:docVar w:name="LW_TYPE.DOC.CP" w:val="ANNEX_x000b_"/>
    <w:docVar w:name="LW_TYPEACTEPRINCIPAL.CP" w:val="COMMUNICATION FROM THE COMMISSION TO THE EUROPEAN_x000b_PARLIAMENT, THE EUROPEAN COUNCIL AND THE COUNCIL_x000b_"/>
  </w:docVars>
  <w:rsids>
    <w:rsidRoot w:val="00D53FAC"/>
    <w:rsid w:val="008723A0"/>
    <w:rsid w:val="00D53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pBdr>
        <w:top w:val="single" w:sz="4" w:space="0" w:color="auto"/>
        <w:left w:val="single" w:sz="4" w:space="4" w:color="auto"/>
        <w:bottom w:val="single" w:sz="4" w:space="1" w:color="auto"/>
        <w:right w:val="single" w:sz="4" w:space="4" w:color="auto"/>
      </w:pBdr>
      <w:tabs>
        <w:tab w:val="center" w:pos="4535"/>
        <w:tab w:val="right" w:pos="9071"/>
        <w:tab w:val="right" w:pos="9921"/>
      </w:tabs>
      <w:spacing w:before="360" w:after="0" w:line="240" w:lineRule="auto"/>
      <w:ind w:left="-850" w:right="-850"/>
    </w:pPr>
    <w:rPr>
      <w:rFonts w:ascii="Times New Roman" w:hAnsi="Times New Roman" w:cs="Times New Roman"/>
      <w:sz w:val="24"/>
      <w:szCs w:val="20"/>
    </w:rPr>
  </w:style>
  <w:style w:type="character" w:customStyle="1" w:styleId="FooterCoverPageChar">
    <w:name w:val="Footer Cover Page Char"/>
    <w:basedOn w:val="DefaultParagraphFont"/>
    <w:link w:val="FooterCoverPage"/>
    <w:rPr>
      <w:rFonts w:ascii="Times New Roman" w:hAnsi="Times New Roman" w:cs="Times New Roman"/>
      <w:sz w:val="24"/>
      <w:szCs w:val="20"/>
    </w:rPr>
  </w:style>
  <w:style w:type="paragraph" w:customStyle="1" w:styleId="HeaderCoverPage">
    <w:name w:val="Header Cover Page"/>
    <w:basedOn w:val="Normal"/>
    <w:link w:val="HeaderCoverPageChar"/>
    <w:pPr>
      <w:pBdr>
        <w:top w:val="single" w:sz="4" w:space="0" w:color="auto"/>
        <w:left w:val="single" w:sz="4" w:space="4" w:color="auto"/>
        <w:bottom w:val="single" w:sz="4" w:space="1" w:color="auto"/>
        <w:right w:val="single" w:sz="4" w:space="4" w:color="auto"/>
      </w:pBdr>
      <w:tabs>
        <w:tab w:val="center" w:pos="4535"/>
        <w:tab w:val="right" w:pos="9071"/>
      </w:tabs>
      <w:spacing w:after="120" w:line="240" w:lineRule="auto"/>
      <w:jc w:val="both"/>
    </w:pPr>
    <w:rPr>
      <w:rFonts w:ascii="Times New Roman" w:hAnsi="Times New Roman" w:cs="Times New Roman"/>
      <w:sz w:val="24"/>
      <w:szCs w:val="20"/>
    </w:rPr>
  </w:style>
  <w:style w:type="character" w:customStyle="1" w:styleId="HeaderCoverPageChar">
    <w:name w:val="Header Cover Page Char"/>
    <w:basedOn w:val="DefaultParagraphFont"/>
    <w:link w:val="HeaderCoverPage"/>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pBdr>
        <w:top w:val="single" w:sz="4" w:space="0" w:color="auto"/>
        <w:left w:val="single" w:sz="4" w:space="4" w:color="auto"/>
        <w:bottom w:val="single" w:sz="4" w:space="1" w:color="auto"/>
        <w:right w:val="single" w:sz="4" w:space="4" w:color="auto"/>
      </w:pBdr>
      <w:tabs>
        <w:tab w:val="center" w:pos="4535"/>
        <w:tab w:val="right" w:pos="9071"/>
        <w:tab w:val="right" w:pos="9921"/>
      </w:tabs>
      <w:spacing w:before="360" w:after="0" w:line="240" w:lineRule="auto"/>
      <w:ind w:left="-850" w:right="-850"/>
    </w:pPr>
    <w:rPr>
      <w:rFonts w:ascii="Times New Roman" w:hAnsi="Times New Roman" w:cs="Times New Roman"/>
      <w:sz w:val="24"/>
      <w:szCs w:val="20"/>
    </w:rPr>
  </w:style>
  <w:style w:type="character" w:customStyle="1" w:styleId="FooterCoverPageChar">
    <w:name w:val="Footer Cover Page Char"/>
    <w:basedOn w:val="DefaultParagraphFont"/>
    <w:link w:val="FooterCoverPage"/>
    <w:rPr>
      <w:rFonts w:ascii="Times New Roman" w:hAnsi="Times New Roman" w:cs="Times New Roman"/>
      <w:sz w:val="24"/>
      <w:szCs w:val="20"/>
    </w:rPr>
  </w:style>
  <w:style w:type="paragraph" w:customStyle="1" w:styleId="HeaderCoverPage">
    <w:name w:val="Header Cover Page"/>
    <w:basedOn w:val="Normal"/>
    <w:link w:val="HeaderCoverPageChar"/>
    <w:pPr>
      <w:pBdr>
        <w:top w:val="single" w:sz="4" w:space="0" w:color="auto"/>
        <w:left w:val="single" w:sz="4" w:space="4" w:color="auto"/>
        <w:bottom w:val="single" w:sz="4" w:space="1" w:color="auto"/>
        <w:right w:val="single" w:sz="4" w:space="4" w:color="auto"/>
      </w:pBdr>
      <w:tabs>
        <w:tab w:val="center" w:pos="4535"/>
        <w:tab w:val="right" w:pos="9071"/>
      </w:tabs>
      <w:spacing w:after="120" w:line="240" w:lineRule="auto"/>
      <w:jc w:val="both"/>
    </w:pPr>
    <w:rPr>
      <w:rFonts w:ascii="Times New Roman" w:hAnsi="Times New Roman" w:cs="Times New Roman"/>
      <w:sz w:val="24"/>
      <w:szCs w:val="20"/>
    </w:rPr>
  </w:style>
  <w:style w:type="character" w:customStyle="1" w:styleId="HeaderCoverPageChar">
    <w:name w:val="Header Cover Page Char"/>
    <w:basedOn w:val="DefaultParagraphFont"/>
    <w:link w:val="HeaderCoverPage"/>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817806">
      <w:bodyDiv w:val="1"/>
      <w:marLeft w:val="0"/>
      <w:marRight w:val="0"/>
      <w:marTop w:val="0"/>
      <w:marBottom w:val="0"/>
      <w:divBdr>
        <w:top w:val="none" w:sz="0" w:space="0" w:color="auto"/>
        <w:left w:val="none" w:sz="0" w:space="0" w:color="auto"/>
        <w:bottom w:val="none" w:sz="0" w:space="0" w:color="auto"/>
        <w:right w:val="none" w:sz="0" w:space="0" w:color="auto"/>
      </w:divBdr>
    </w:div>
    <w:div w:id="156016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7305A-C617-4EED-A0AB-D3297DD96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SCHUSTER Anke Gerlinde (ELARG)</dc:creator>
  <cp:lastModifiedBy>Stefanie Heilemann</cp:lastModifiedBy>
  <cp:revision>2</cp:revision>
  <cp:lastPrinted>2016-06-14T14:20:00Z</cp:lastPrinted>
  <dcterms:created xsi:type="dcterms:W3CDTF">2016-06-14T14:57:00Z</dcterms:created>
  <dcterms:modified xsi:type="dcterms:W3CDTF">2016-06-14T14:57:00Z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DocStatus">
    <vt:lpwstr>Green</vt:lpwstr>
  </property>
</Properties>
</file>