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8E" w:rsidRDefault="005316E3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8DDDB141134494E890A8DC7CCA95C73" style="width:450.6pt;height:384pt">
            <v:imagedata r:id="rId8" o:title=""/>
          </v:shape>
        </w:pict>
      </w:r>
    </w:p>
    <w:p w:rsidR="00B3168E" w:rsidRDefault="00B3168E">
      <w:pPr>
        <w:rPr>
          <w:noProof/>
        </w:rPr>
        <w:sectPr w:rsidR="00B3168E" w:rsidSect="005316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3168E" w:rsidRDefault="005316E3">
      <w:pPr>
        <w:pStyle w:val="Typedudocument"/>
        <w:rPr>
          <w:noProof/>
        </w:rPr>
      </w:pPr>
      <w:r>
        <w:rPr>
          <w:noProof/>
        </w:rPr>
        <w:lastRenderedPageBreak/>
        <w:t>ANNEXES</w:t>
      </w:r>
    </w:p>
    <w:p w:rsidR="00B3168E" w:rsidRDefault="005316E3">
      <w:pPr>
        <w:pStyle w:val="Accompagnant"/>
        <w:rPr>
          <w:noProof/>
        </w:rPr>
      </w:pPr>
      <w:r>
        <w:rPr>
          <w:noProof/>
        </w:rPr>
        <w:t>à la</w:t>
      </w:r>
    </w:p>
    <w:p w:rsidR="00B3168E" w:rsidRDefault="005316E3">
      <w:pPr>
        <w:pStyle w:val="Typeacteprincipal"/>
        <w:rPr>
          <w:noProof/>
        </w:rPr>
      </w:pPr>
      <w:r>
        <w:rPr>
          <w:noProof/>
        </w:rPr>
        <w:t>Proposition de la Commission de règlement du Conseil</w:t>
      </w:r>
    </w:p>
    <w:p w:rsidR="00B3168E" w:rsidRDefault="005316E3">
      <w:pPr>
        <w:pStyle w:val="Objetacteprincipal"/>
        <w:rPr>
          <w:noProof/>
        </w:rPr>
      </w:pPr>
      <w:r>
        <w:rPr>
          <w:noProof/>
        </w:rPr>
        <w:t>modifiant les règlements (UE) 2016/72 et (UE) 2015/2072 en ce qui concerne certaines possibilités de pêche</w:t>
      </w:r>
    </w:p>
    <w:p w:rsidR="00B3168E" w:rsidRDefault="005316E3">
      <w:pPr>
        <w:pStyle w:val="SectionTitle"/>
        <w:rPr>
          <w:noProof/>
        </w:rPr>
      </w:pPr>
      <w:r>
        <w:rPr>
          <w:noProof/>
        </w:rPr>
        <w:t>Annexe I</w:t>
      </w:r>
      <w:r>
        <w:rPr>
          <w:noProof/>
        </w:rPr>
        <w:br/>
        <w:t xml:space="preserve"> Modification des annexes I, I A et IV du règlement (UE) 2016/72</w:t>
      </w:r>
    </w:p>
    <w:p w:rsidR="00B3168E" w:rsidRDefault="005316E3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L'annexe I du règlement (UE) 2016/72 est modifiée comme suit:</w:t>
      </w:r>
    </w:p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</w:rPr>
        <w:t xml:space="preserve">a) </w:t>
      </w:r>
      <w:r>
        <w:rPr>
          <w:noProof/>
        </w:rPr>
        <w:tab/>
        <w:t xml:space="preserve">Dans le tableau comparatif des noms latins et des noms communs, </w:t>
      </w:r>
      <w:r>
        <w:rPr>
          <w:noProof/>
          <w:color w:val="000000"/>
          <w:u w:color="000000"/>
        </w:rPr>
        <w:t xml:space="preserve">l’entrée correspondant à </w:t>
      </w:r>
      <w:r>
        <w:rPr>
          <w:i/>
          <w:noProof/>
          <w:color w:val="000000"/>
          <w:u w:color="000000"/>
        </w:rPr>
        <w:t>squalus acanthias</w:t>
      </w:r>
      <w:r>
        <w:rPr>
          <w:noProof/>
          <w:color w:val="000000"/>
          <w:u w:color="000000"/>
        </w:rPr>
        <w:t xml:space="preserve"> (aiguillat commun/chien de mer) est remplacée par l'entrée suivante:</w:t>
      </w:r>
    </w:p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«</w:t>
      </w:r>
      <w:r>
        <w:rPr>
          <w:i/>
          <w:noProof/>
          <w:color w:val="000000"/>
          <w:u w:color="000000"/>
        </w:rPr>
        <w:t>Squalus acanthias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color w:val="000000"/>
          <w:u w:color="000000"/>
        </w:rPr>
        <w:t>DGS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color w:val="000000"/>
          <w:u w:color="000000"/>
        </w:rPr>
        <w:t>Aiguillat commun»;</w:t>
      </w:r>
    </w:p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 xml:space="preserve">b) </w:t>
      </w:r>
      <w:r>
        <w:rPr>
          <w:noProof/>
        </w:rPr>
        <w:tab/>
      </w:r>
      <w:r>
        <w:rPr>
          <w:noProof/>
          <w:color w:val="000000"/>
          <w:u w:color="000000"/>
        </w:rPr>
        <w:t>dans le tableau comparatif des noms communs et des noms latins, l'entrée correspondant à aiguillat commun/chien de mer (</w:t>
      </w:r>
      <w:r>
        <w:rPr>
          <w:i/>
          <w:noProof/>
          <w:color w:val="000000"/>
          <w:u w:color="000000"/>
        </w:rPr>
        <w:t>squalus acanthias</w:t>
      </w:r>
      <w:r>
        <w:rPr>
          <w:noProof/>
          <w:color w:val="000000"/>
          <w:u w:color="000000"/>
        </w:rPr>
        <w:t>) est remplacée par l'entrée suivante:</w:t>
      </w:r>
    </w:p>
    <w:p w:rsidR="00B3168E" w:rsidRDefault="005316E3">
      <w:pPr>
        <w:pStyle w:val="Text2"/>
        <w:rPr>
          <w:noProof/>
        </w:rPr>
      </w:pPr>
      <w:r>
        <w:rPr>
          <w:noProof/>
          <w:color w:val="000000"/>
          <w:u w:color="000000"/>
        </w:rPr>
        <w:t>«Aiguillat commun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color w:val="000000"/>
          <w:u w:color="000000"/>
        </w:rPr>
        <w:t>DGS</w:t>
      </w:r>
      <w:r>
        <w:rPr>
          <w:noProof/>
        </w:rPr>
        <w:tab/>
      </w:r>
      <w:r>
        <w:rPr>
          <w:noProof/>
        </w:rPr>
        <w:tab/>
      </w:r>
      <w:r>
        <w:rPr>
          <w:i/>
          <w:noProof/>
          <w:color w:val="000000"/>
          <w:u w:color="000000"/>
        </w:rPr>
        <w:t>Squalus acanthias</w:t>
      </w:r>
      <w:r>
        <w:rPr>
          <w:noProof/>
          <w:color w:val="000000"/>
          <w:u w:color="000000"/>
        </w:rPr>
        <w:t>»</w:t>
      </w:r>
      <w:r>
        <w:rPr>
          <w:i/>
          <w:noProof/>
          <w:color w:val="000000"/>
          <w:u w:color="000000"/>
        </w:rPr>
        <w:t>.</w:t>
      </w:r>
    </w:p>
    <w:p w:rsidR="00B3168E" w:rsidRDefault="005316E3"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L'annexe I A du règlement (UE) 2016/72 est modifiée comme suit:</w:t>
      </w:r>
    </w:p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</w:rPr>
        <w:t xml:space="preserve">a) </w:t>
      </w:r>
      <w:r>
        <w:rPr>
          <w:noProof/>
        </w:rPr>
        <w:tab/>
      </w:r>
      <w:r>
        <w:rPr>
          <w:noProof/>
          <w:color w:val="000000"/>
          <w:u w:color="000000"/>
        </w:rPr>
        <w:t>le tableau des possibilités de pêche pour le hareng commun dans les eaux de l’Union et les eaux internationales des zones V b, VI b et VI a N (</w:t>
      </w:r>
      <w:r>
        <w:rPr>
          <w:noProof/>
          <w:color w:val="000000"/>
          <w:u w:color="000000"/>
          <w:vertAlign w:val="superscript"/>
        </w:rPr>
        <w:t>1</w:t>
      </w:r>
      <w:r>
        <w:rPr>
          <w:noProof/>
          <w:color w:val="000000"/>
          <w:u w:color="000000"/>
        </w:rPr>
        <w:t>) est remplacé par le tableau suivant: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006"/>
        <w:gridCol w:w="1082"/>
        <w:gridCol w:w="1188"/>
        <w:gridCol w:w="1191"/>
        <w:gridCol w:w="1191"/>
        <w:gridCol w:w="1175"/>
        <w:gridCol w:w="1174"/>
        <w:gridCol w:w="1174"/>
      </w:tblGrid>
      <w:tr w:rsidR="00B3168E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«Espèce: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Hareng commun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352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de l'Union et eaux internationales des zones V b, VI b et VI a N (</w:t>
            </w:r>
            <w:r>
              <w:rPr>
                <w:noProof/>
                <w:color w:val="000000"/>
                <w:sz w:val="18"/>
                <w:vertAlign w:val="superscript"/>
              </w:rPr>
              <w:t>1</w:t>
            </w:r>
            <w:r>
              <w:rPr>
                <w:noProof/>
                <w:color w:val="000000"/>
                <w:sz w:val="18"/>
              </w:rPr>
              <w:t>)</w:t>
            </w:r>
          </w:p>
        </w:tc>
      </w:tr>
      <w:tr w:rsidR="00B3168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Clupea harengus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(HER/5B6ANB)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Allemagne</w:t>
            </w:r>
          </w:p>
        </w:tc>
        <w:tc>
          <w:tcPr>
            <w:tcW w:w="108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389</w:t>
            </w:r>
          </w:p>
        </w:tc>
        <w:tc>
          <w:tcPr>
            <w:tcW w:w="11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11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108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74</w:t>
            </w:r>
          </w:p>
        </w:tc>
        <w:tc>
          <w:tcPr>
            <w:tcW w:w="11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Irlande</w:t>
            </w:r>
          </w:p>
        </w:tc>
        <w:tc>
          <w:tcPr>
            <w:tcW w:w="108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526</w:t>
            </w:r>
          </w:p>
        </w:tc>
        <w:tc>
          <w:tcPr>
            <w:tcW w:w="11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2076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119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389</w:t>
            </w:r>
          </w:p>
        </w:tc>
        <w:tc>
          <w:tcPr>
            <w:tcW w:w="11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2076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119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2 102</w:t>
            </w:r>
          </w:p>
        </w:tc>
        <w:tc>
          <w:tcPr>
            <w:tcW w:w="11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08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3 480</w:t>
            </w:r>
          </w:p>
        </w:tc>
        <w:tc>
          <w:tcPr>
            <w:tcW w:w="11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55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8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55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08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3 480</w:t>
            </w: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188" w:type="dxa"/>
            <w:gridSpan w:val="7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 xml:space="preserve">Il s’agit du stock de hareng commun de la partie de la zone CIEM VI a située à l’est du méridien de longitude 7º O et au nord du parallèle de latitude 55º N, ou à l’ouest du méridien de longitude 7º O et au nord du parallèle de latitude 56° N, à l’exclusion du Clyde. </w:t>
            </w:r>
          </w:p>
        </w:tc>
      </w:tr>
      <w:tr w:rsidR="00B3168E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18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Il est interdit de cibler du hareng commun dans la partie de la zone CIEM soumise à ce TAC et située entre 56° N et 57° 30′ N, à l'exception d'une bande de six milles nautiques mesurée à partir de la ligne de base de la mer territoriale du Royaume-Uni.»</w:t>
            </w:r>
          </w:p>
        </w:tc>
      </w:tr>
    </w:tbl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</w:rPr>
        <w:t xml:space="preserve">b) </w:t>
      </w:r>
      <w:r>
        <w:rPr>
          <w:noProof/>
        </w:rPr>
        <w:tab/>
      </w:r>
      <w:r>
        <w:rPr>
          <w:noProof/>
          <w:color w:val="000000"/>
          <w:u w:color="000000"/>
        </w:rPr>
        <w:t>le tableau des possibilités de pêche pour le hareng commun dans les zones VI a S (</w:t>
      </w:r>
      <w:r>
        <w:rPr>
          <w:noProof/>
          <w:color w:val="000000"/>
          <w:u w:color="000000"/>
          <w:vertAlign w:val="superscript"/>
        </w:rPr>
        <w:t>1</w:t>
      </w:r>
      <w:r>
        <w:rPr>
          <w:noProof/>
          <w:color w:val="000000"/>
          <w:u w:color="000000"/>
        </w:rPr>
        <w:t>), VII b, VII c est remplacé par le tableau suivant: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877"/>
        <w:gridCol w:w="1192"/>
        <w:gridCol w:w="1191"/>
        <w:gridCol w:w="1194"/>
        <w:gridCol w:w="1194"/>
        <w:gridCol w:w="1178"/>
        <w:gridCol w:w="1177"/>
        <w:gridCol w:w="1177"/>
      </w:tblGrid>
      <w:tr w:rsidR="00B3168E" w:rsidRPr="005316E3">
        <w:trPr>
          <w:trHeight w:val="255"/>
        </w:trPr>
        <w:tc>
          <w:tcPr>
            <w:tcW w:w="877" w:type="dxa"/>
            <w:tcBorders>
              <w:top w:val="single" w:sz="4" w:space="0" w:color="auto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lastRenderedPageBreak/>
              <w:t>«Espèce: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Hareng commun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val="pt-PT"/>
              </w:rPr>
            </w:pPr>
            <w:r>
              <w:rPr>
                <w:noProof/>
                <w:color w:val="000000"/>
                <w:sz w:val="18"/>
                <w:lang w:val="pt-PT"/>
              </w:rPr>
              <w:t>Zones VI a S(</w:t>
            </w:r>
            <w:r>
              <w:rPr>
                <w:noProof/>
                <w:color w:val="000000"/>
                <w:sz w:val="18"/>
                <w:vertAlign w:val="superscript"/>
                <w:lang w:val="pt-PT"/>
              </w:rPr>
              <w:t>1</w:t>
            </w:r>
            <w:r>
              <w:rPr>
                <w:noProof/>
                <w:color w:val="000000"/>
                <w:sz w:val="18"/>
                <w:lang w:val="pt-PT"/>
              </w:rPr>
              <w:t>), VII b, VII c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val="pt-PT"/>
              </w:rPr>
            </w:pPr>
            <w:r>
              <w:rPr>
                <w:noProof/>
                <w:color w:val="000000"/>
                <w:sz w:val="18"/>
                <w:lang w:val="pt-PT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val="pt-PT"/>
              </w:rPr>
            </w:pPr>
            <w:r>
              <w:rPr>
                <w:noProof/>
                <w:color w:val="000000"/>
                <w:sz w:val="18"/>
                <w:lang w:val="pt-PT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Clupea harengus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(HER/6AS7BC)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55"/>
        </w:trPr>
        <w:tc>
          <w:tcPr>
            <w:tcW w:w="877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Irlande</w:t>
            </w:r>
          </w:p>
        </w:tc>
        <w:tc>
          <w:tcPr>
            <w:tcW w:w="1192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1 236</w:t>
            </w:r>
          </w:p>
        </w:tc>
        <w:tc>
          <w:tcPr>
            <w:tcW w:w="1194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1177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55"/>
        </w:trPr>
        <w:tc>
          <w:tcPr>
            <w:tcW w:w="2069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1191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124</w:t>
            </w:r>
          </w:p>
        </w:tc>
        <w:tc>
          <w:tcPr>
            <w:tcW w:w="11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2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3 du règlement (CE) n° 847/96 ne s'applique pas.</w:t>
            </w:r>
          </w:p>
        </w:tc>
      </w:tr>
      <w:tr w:rsidR="00B3168E">
        <w:trPr>
          <w:trHeight w:val="255"/>
        </w:trPr>
        <w:tc>
          <w:tcPr>
            <w:tcW w:w="877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19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1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1 360</w:t>
            </w:r>
          </w:p>
        </w:tc>
        <w:tc>
          <w:tcPr>
            <w:tcW w:w="11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2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4 du règlement (CE) n° 847/96 ne s'applique pas.</w:t>
            </w:r>
          </w:p>
        </w:tc>
      </w:tr>
      <w:tr w:rsidR="00B3168E">
        <w:trPr>
          <w:trHeight w:val="255"/>
        </w:trPr>
        <w:tc>
          <w:tcPr>
            <w:tcW w:w="8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8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55"/>
        </w:trPr>
        <w:tc>
          <w:tcPr>
            <w:tcW w:w="877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19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1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1 360</w:t>
            </w:r>
          </w:p>
        </w:tc>
        <w:tc>
          <w:tcPr>
            <w:tcW w:w="11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8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85"/>
        </w:trPr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Il s'agit du stock de hareng commun de la zone VI a au sud de 56° 00′ N et à l'ouest de 07° 00′ O.»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55"/>
        </w:trPr>
        <w:tc>
          <w:tcPr>
            <w:tcW w:w="8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8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7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c)</w:t>
      </w:r>
      <w:r>
        <w:rPr>
          <w:noProof/>
        </w:rPr>
        <w:tab/>
      </w:r>
      <w:r>
        <w:rPr>
          <w:noProof/>
          <w:color w:val="000000"/>
          <w:u w:color="000000"/>
        </w:rPr>
        <w:t>le tableau des possibilités de pêche pour la crevette nordique dans la zone III a est remplacé par le tableau suivant: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76"/>
        <w:gridCol w:w="1316"/>
        <w:gridCol w:w="895"/>
        <w:gridCol w:w="976"/>
        <w:gridCol w:w="994"/>
        <w:gridCol w:w="1222"/>
        <w:gridCol w:w="864"/>
        <w:gridCol w:w="1829"/>
      </w:tblGrid>
      <w:tr w:rsidR="00B3168E">
        <w:trPr>
          <w:trHeight w:val="255"/>
        </w:trPr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«Espèce: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Crevette nordique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 III a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Pandalus borealis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(PRA/03A.)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3 813</w:t>
            </w: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864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2 054</w:t>
            </w: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3080" w:type="dxa"/>
            <w:gridSpan w:val="3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7, paragraphe 2, du présent règlement s'applique.</w:t>
            </w: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5 867</w:t>
            </w: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2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6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2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6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10 987»</w:t>
            </w: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2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6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jc w:val="right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</w:tr>
    </w:tbl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d)</w:t>
      </w:r>
      <w:r>
        <w:rPr>
          <w:noProof/>
        </w:rPr>
        <w:tab/>
      </w:r>
      <w:r>
        <w:rPr>
          <w:noProof/>
          <w:color w:val="000000"/>
          <w:u w:color="000000"/>
        </w:rPr>
        <w:t>le tableau des possibilités de pêche pour la crevette nordique dans les eaux norvégiennes au sud de 62° N est remplacé par le tableau suivant: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76"/>
        <w:gridCol w:w="1316"/>
        <w:gridCol w:w="895"/>
        <w:gridCol w:w="976"/>
        <w:gridCol w:w="994"/>
        <w:gridCol w:w="1092"/>
        <w:gridCol w:w="994"/>
        <w:gridCol w:w="1829"/>
      </w:tblGrid>
      <w:tr w:rsidR="00B3168E">
        <w:trPr>
          <w:trHeight w:val="255"/>
        </w:trPr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«Espèce: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Crevette nordique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norvégiennes au sud de 62° N</w:t>
            </w:r>
          </w:p>
        </w:tc>
      </w:tr>
      <w:tr w:rsidR="00B3168E"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Pandalus borealis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(PRA/04-N.)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357</w:t>
            </w: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994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155</w:t>
            </w:r>
          </w:p>
        </w:tc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909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3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512</w:t>
            </w: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909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4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9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55"/>
        </w:trPr>
        <w:tc>
          <w:tcPr>
            <w:tcW w:w="97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Sans objet</w:t>
            </w: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9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85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62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Les prises accessoires de cabillaud, d'églefin, de lieu jaune, de merlan et de lieu noir doivent être imputées sur les quotas applicables à ces espèces.»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55"/>
        </w:trPr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31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92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94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e)</w:t>
      </w:r>
      <w:r>
        <w:rPr>
          <w:noProof/>
        </w:rPr>
        <w:tab/>
      </w:r>
      <w:r>
        <w:rPr>
          <w:noProof/>
          <w:color w:val="000000"/>
          <w:u w:color="000000"/>
        </w:rPr>
        <w:t>le tableau des possibilités de pêche pour la sole commune dans la zone VII a est remplacé par le tableau suivant: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865"/>
        <w:gridCol w:w="1826"/>
        <w:gridCol w:w="514"/>
        <w:gridCol w:w="1182"/>
        <w:gridCol w:w="1203"/>
        <w:gridCol w:w="1197"/>
        <w:gridCol w:w="1197"/>
        <w:gridCol w:w="1197"/>
      </w:tblGrid>
      <w:tr w:rsidR="00B3168E">
        <w:trPr>
          <w:trHeight w:val="255"/>
        </w:trPr>
        <w:tc>
          <w:tcPr>
            <w:tcW w:w="845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«Espèce: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Sole commune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 VII a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Solea solea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(SOL/07A.)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84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Belgique</w:t>
            </w:r>
          </w:p>
        </w:tc>
        <w:tc>
          <w:tcPr>
            <w:tcW w:w="182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51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20</w:t>
            </w:r>
          </w:p>
        </w:tc>
        <w:tc>
          <w:tcPr>
            <w:tcW w:w="118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120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84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80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3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84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Irlande</w:t>
            </w: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5</w:t>
            </w:r>
          </w:p>
        </w:tc>
        <w:tc>
          <w:tcPr>
            <w:tcW w:w="118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80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4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2674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51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6</w:t>
            </w:r>
          </w:p>
        </w:tc>
        <w:tc>
          <w:tcPr>
            <w:tcW w:w="118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0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2674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51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9</w:t>
            </w:r>
          </w:p>
        </w:tc>
        <w:tc>
          <w:tcPr>
            <w:tcW w:w="118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0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84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40</w:t>
            </w:r>
          </w:p>
        </w:tc>
        <w:tc>
          <w:tcPr>
            <w:tcW w:w="118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0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84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84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40</w:t>
            </w:r>
          </w:p>
        </w:tc>
        <w:tc>
          <w:tcPr>
            <w:tcW w:w="118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84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5935" w:type="dxa"/>
            <w:gridSpan w:val="5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Exclusivement pour les prises accessoires. Aucune pêche ciblée n'est autorisée dans le cadre de ce quota.</w:t>
            </w: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85"/>
        </w:trPr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33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En plus de ce TAC, les États membres ayant un quota pour la sole dans la zone VII a peuvent décider d’un commun accord d’attribuer un total global de 7 tonnes à un ou plusieurs navires pratiquant la pêche scientifique évaluée par le CSTEP afin d’améliorer les informations scientifiques sur ce stock (SOL/*07A.). Les États membres concernés communiquent à la Commission le nom du ou des navires avant d’autoriser tout débarquement.»</w:t>
            </w:r>
          </w:p>
        </w:tc>
      </w:tr>
      <w:tr w:rsidR="00B3168E">
        <w:trPr>
          <w:trHeight w:val="270"/>
        </w:trPr>
        <w:tc>
          <w:tcPr>
            <w:tcW w:w="84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82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f)</w:t>
      </w:r>
      <w:r>
        <w:rPr>
          <w:noProof/>
        </w:rPr>
        <w:tab/>
      </w:r>
      <w:r>
        <w:rPr>
          <w:noProof/>
          <w:color w:val="000000"/>
          <w:u w:color="000000"/>
        </w:rPr>
        <w:t>le tableau des possibilités de pêche pour l'aiguillat commun/chien de mer dans les eaux de l'Union de la zone III a est remplacé par le tableau suivant: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993"/>
        <w:gridCol w:w="448"/>
        <w:gridCol w:w="119"/>
        <w:gridCol w:w="2268"/>
        <w:gridCol w:w="546"/>
        <w:gridCol w:w="1211"/>
        <w:gridCol w:w="290"/>
        <w:gridCol w:w="2100"/>
        <w:gridCol w:w="1205"/>
      </w:tblGrid>
      <w:tr w:rsidR="00B3168E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«Espèce: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Aiguillat commun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de l'Union de la zone III a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Squalus acanthias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(DGS/03A-C.)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210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80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3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80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4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4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18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L'aiguillat commun n'est pas ciblé dans les zones couvertes par ce TAC. En cas de capture accidentelle dans des pêcheries où l'aiguillat commun n'est pas soumis à l'obligation de débarquement, les spécimens ne seront pas blessés et seront remis à la mer immédiatement. Ces dispositions s'entendent sans préjudice des interdictions prévues aux articles 13 et 46 du présent règlement, pour les zones qui y sont spécifiées.»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48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38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4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g)</w:t>
      </w:r>
      <w:r>
        <w:rPr>
          <w:noProof/>
        </w:rPr>
        <w:tab/>
      </w:r>
      <w:r>
        <w:rPr>
          <w:noProof/>
          <w:color w:val="000000"/>
          <w:u w:color="000000"/>
        </w:rPr>
        <w:t>le tableau des possibilités de pêche pour l'aiguillat commun/chien de mer dans les eaux de l'Union des zones II a et IV est remplacé par le tableau suivant: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005"/>
        <w:gridCol w:w="448"/>
        <w:gridCol w:w="119"/>
        <w:gridCol w:w="2265"/>
        <w:gridCol w:w="545"/>
        <w:gridCol w:w="1209"/>
        <w:gridCol w:w="290"/>
        <w:gridCol w:w="2097"/>
        <w:gridCol w:w="1203"/>
      </w:tblGrid>
      <w:tr w:rsidR="00B3168E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«Espèce: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Aiguillat commun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de l'Union des zones II a et IV</w:t>
            </w:r>
          </w:p>
        </w:tc>
      </w:tr>
      <w:tr w:rsidR="00B3168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Squalus acanthias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(DGS/2AC4-C)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Belgique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210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5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80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3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Allemagne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80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4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1560" w:type="dxa"/>
            <w:gridSpan w:val="3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1560" w:type="dxa"/>
            <w:gridSpan w:val="3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4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56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68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546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18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L'aiguillat commun n'est pas ciblé dans les zones couvertes par ce TAC. En cas de capture accidentelle dans des pêcheries où l'aiguillat commun n'est pas soumis à l'obligation de débarquement, les spécimens ne seront pas blessés et seront remis à la mer immédiatement. Ces dispositions s'entendent sans préjudice des interdictions prévues aux articles 13 et 46 du présent règlement, pour les zones qui y sont spécifiées.»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48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387" w:type="dxa"/>
            <w:gridSpan w:val="2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46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9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10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 w:rsidR="00B3168E" w:rsidRDefault="005316E3">
      <w:pPr>
        <w:pStyle w:val="Text2"/>
        <w:rPr>
          <w:rFonts w:eastAsia="Times New Roman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h)</w:t>
      </w:r>
      <w:r>
        <w:rPr>
          <w:noProof/>
        </w:rPr>
        <w:tab/>
      </w:r>
      <w:r>
        <w:rPr>
          <w:noProof/>
          <w:color w:val="000000"/>
          <w:u w:color="000000"/>
        </w:rPr>
        <w:t>le tableau des possibilités de pêche pour l'aiguillat commun/chien de mer dans les eaux de l'Union et les eaux internationales des zones I, V, VI, VII, VIII, XII et XIV est remplacé par le tableau suivant: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006"/>
        <w:gridCol w:w="1707"/>
        <w:gridCol w:w="512"/>
        <w:gridCol w:w="1178"/>
        <w:gridCol w:w="1199"/>
        <w:gridCol w:w="1193"/>
        <w:gridCol w:w="1193"/>
        <w:gridCol w:w="1193"/>
      </w:tblGrid>
      <w:tr w:rsidR="00B3168E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«Espèce: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Aiguillat commun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de l'Union et eaux internationales des zones I, V, VI, VII, VIII, XII et XIV</w:t>
            </w:r>
          </w:p>
        </w:tc>
      </w:tr>
      <w:tr w:rsidR="00B3168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Squalus acanthias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(DGS/15X14)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Belgique</w:t>
            </w: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2396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Allemagne</w:t>
            </w: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478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3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Espagne</w:t>
            </w: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478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4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478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12, paragraphe 1, du présent règlement s'applique.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Irlande</w:t>
            </w: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2702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Portugal</w:t>
            </w: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2702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188" w:type="dxa"/>
            <w:gridSpan w:val="7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L'aiguillat commun n'est pas ciblé dans les zones couvertes par ce TAC. En cas de capture accidentelle dans des pêcheries où l'aiguillat commun n'est pas soumis à l'obligation de débarquement, les spécimens ne seront pas blessés et seront remis à la mer immédiatement. Ces dispositions s'entendent sans préjudice des interdictions prévues aux articles 13 et 46 du présent règlement, pour les zones qui y sont spécifiées.</w:t>
            </w:r>
          </w:p>
        </w:tc>
      </w:tr>
      <w:tr w:rsidR="00B3168E">
        <w:trPr>
          <w:trHeight w:val="285"/>
        </w:trPr>
        <w:tc>
          <w:tcPr>
            <w:tcW w:w="993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18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Par dérogation, un navire participant au programme visant à éviter les prises accessoires évalué par le CSTEP ne peut pas débarquer plus de 2 tonnes par mois d’aiguillats communs qui sont morts au moment où l’engin de pêche est remonté à bord. Les États membres participant au programme visant à éviter les prises accessoires s’assurent que les débarquements totaux annuels d’aiguillats communs sur la base de cette dérogation ne dépassent pas les quantités indiquées ci-dessous. Ils communiquent à la Commission la liste des navires participants avant d’autoriser tout débarquement. Les États membres échangent des informations sur les zones où le programme visant à éviter les prises accessoires est mis en œuvre.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Espèce: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Aiguillat commun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de l'Union et eaux internationales des zones I, V, VI, VII, VIII, XII et XIV</w:t>
            </w:r>
          </w:p>
        </w:tc>
      </w:tr>
      <w:tr w:rsidR="00B3168E">
        <w:trPr>
          <w:trHeight w:val="285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Squalus acanthias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(DGS/*15X14)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Belgique</w:t>
            </w: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20</w:t>
            </w:r>
          </w:p>
        </w:tc>
        <w:tc>
          <w:tcPr>
            <w:tcW w:w="2396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Allemagne</w:t>
            </w: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4</w:t>
            </w:r>
          </w:p>
        </w:tc>
        <w:tc>
          <w:tcPr>
            <w:tcW w:w="478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3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Espagne</w:t>
            </w: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10</w:t>
            </w:r>
          </w:p>
        </w:tc>
        <w:tc>
          <w:tcPr>
            <w:tcW w:w="478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4 du règlement (CE) n° 847/96 ne s'applique pas.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83</w:t>
            </w:r>
          </w:p>
        </w:tc>
        <w:tc>
          <w:tcPr>
            <w:tcW w:w="4786" w:type="dxa"/>
            <w:gridSpan w:val="4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12, paragraphe 1, du présent règlement s'applique.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Irlande</w:t>
            </w: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53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22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Portugal</w:t>
            </w: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222" w:type="dxa"/>
            <w:gridSpan w:val="2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100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270</w:t>
            </w: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 w:rsidR="00B3168E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270»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3168E" w:rsidRDefault="005316E3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 w:rsidR="00B3168E">
        <w:trPr>
          <w:trHeight w:val="270"/>
        </w:trPr>
        <w:tc>
          <w:tcPr>
            <w:tcW w:w="99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709" w:type="dxa"/>
            <w:noWrap/>
            <w:vAlign w:val="bottom"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13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0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1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5" w:type="dxa"/>
            <w:noWrap/>
            <w:hideMark/>
          </w:tcPr>
          <w:p w:rsidR="00B3168E" w:rsidRDefault="00B3168E"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 w:rsidR="00B3168E" w:rsidRDefault="00B3168E">
      <w:pPr>
        <w:pStyle w:val="Text2"/>
        <w:rPr>
          <w:rFonts w:eastAsia="Times New Roman"/>
          <w:noProof/>
          <w:color w:val="000000"/>
          <w:szCs w:val="24"/>
          <w:u w:color="000000"/>
        </w:rPr>
      </w:pPr>
    </w:p>
    <w:p w:rsidR="00B3168E" w:rsidRDefault="005316E3"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À l’annexe IV du règlement (UE) 2016/72, le tableau B au point 6 est remplacé par le tableau suivant:</w:t>
      </w:r>
    </w:p>
    <w:p w:rsidR="00B3168E" w:rsidRDefault="005316E3">
      <w:pPr>
        <w:pStyle w:val="Point0"/>
        <w:jc w:val="center"/>
        <w:rPr>
          <w:i/>
          <w:iCs/>
          <w:noProof/>
          <w:sz w:val="19"/>
          <w:szCs w:val="19"/>
        </w:rPr>
      </w:pPr>
      <w:r>
        <w:rPr>
          <w:i/>
          <w:noProof/>
          <w:sz w:val="19"/>
        </w:rPr>
        <w:t>«Tableau B</w:t>
      </w:r>
    </w:p>
    <w:p w:rsidR="00B3168E" w:rsidRDefault="00B3168E">
      <w:pPr>
        <w:pStyle w:val="Point0"/>
        <w:jc w:val="center"/>
        <w:rPr>
          <w:noProof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B3168E"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 w:line="276" w:lineRule="auto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Approvisionnement maximal en thons rouges capturés à l'état sauvage (en tonnes)</w:t>
            </w:r>
          </w:p>
        </w:tc>
      </w:tr>
      <w:tr w:rsidR="00B3168E"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Espagne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5 855</w:t>
            </w:r>
          </w:p>
        </w:tc>
      </w:tr>
      <w:tr w:rsidR="00B3168E"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Italie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3 764</w:t>
            </w:r>
          </w:p>
        </w:tc>
      </w:tr>
      <w:tr w:rsidR="00B3168E"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Grèce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785</w:t>
            </w:r>
          </w:p>
        </w:tc>
      </w:tr>
      <w:tr w:rsidR="00B3168E"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Chypre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2 195</w:t>
            </w:r>
          </w:p>
        </w:tc>
      </w:tr>
      <w:tr w:rsidR="00B3168E"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Croatie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2 947</w:t>
            </w:r>
          </w:p>
        </w:tc>
      </w:tr>
      <w:tr w:rsidR="00B3168E"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Malte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8 768</w:t>
            </w:r>
          </w:p>
        </w:tc>
      </w:tr>
      <w:tr w:rsidR="00B3168E"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Portugal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8E" w:rsidRDefault="005316E3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500</w:t>
            </w:r>
          </w:p>
        </w:tc>
      </w:tr>
    </w:tbl>
    <w:p w:rsidR="00B3168E" w:rsidRDefault="005316E3">
      <w:pPr>
        <w:widowControl w:val="0"/>
        <w:tabs>
          <w:tab w:val="left" w:pos="360"/>
        </w:tabs>
        <w:spacing w:before="0" w:after="240"/>
        <w:ind w:left="360"/>
        <w:rPr>
          <w:rFonts w:eastAsia="Arial Unicode MS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»</w:t>
      </w:r>
    </w:p>
    <w:p w:rsidR="00B3168E" w:rsidRDefault="005316E3">
      <w:pPr>
        <w:jc w:val="center"/>
        <w:rPr>
          <w:b/>
          <w:noProof/>
        </w:rPr>
      </w:pPr>
      <w:r>
        <w:rPr>
          <w:b/>
          <w:noProof/>
        </w:rPr>
        <w:t>ANNEXE II</w:t>
      </w:r>
    </w:p>
    <w:p w:rsidR="00B3168E" w:rsidRDefault="005316E3">
      <w:pPr>
        <w:pStyle w:val="SectionTitle"/>
        <w:rPr>
          <w:noProof/>
        </w:rPr>
      </w:pPr>
      <w:r>
        <w:rPr>
          <w:noProof/>
        </w:rPr>
        <w:t>Modifications de l’annexe du règlement (UE) 2015/2072</w:t>
      </w:r>
    </w:p>
    <w:p w:rsidR="00B3168E" w:rsidRDefault="005316E3">
      <w:pPr>
        <w:rPr>
          <w:noProof/>
        </w:rPr>
      </w:pPr>
      <w:r>
        <w:rPr>
          <w:noProof/>
        </w:rPr>
        <w:t>L'annexe du règlement (UE) 2015/2072 est modifiée comme suit:</w:t>
      </w:r>
    </w:p>
    <w:p w:rsidR="00B3168E" w:rsidRDefault="005316E3">
      <w:pPr>
        <w:pStyle w:val="Text2"/>
        <w:rPr>
          <w:rStyle w:val="Marker"/>
          <w:noProof/>
        </w:rPr>
      </w:pPr>
      <w:r>
        <w:rPr>
          <w:noProof/>
        </w:rPr>
        <w:t>a)</w:t>
      </w:r>
      <w:r>
        <w:rPr>
          <w:noProof/>
        </w:rPr>
        <w:tab/>
        <w:t>le tableau des possibilités de pêche pour le hareng commun dans la sous-division 28.1 est remplacé par le tableau suivant:</w:t>
      </w: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 w:rsidR="00B3168E">
        <w:trPr>
          <w:trHeight w:val="233"/>
        </w:trPr>
        <w:tc>
          <w:tcPr>
            <w:tcW w:w="1100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3168E" w:rsidRDefault="005316E3"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«Espèce:</w:t>
            </w:r>
          </w:p>
        </w:tc>
        <w:tc>
          <w:tcPr>
            <w:tcW w:w="513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3168E" w:rsidRDefault="005316E3"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:rsidR="00B3168E" w:rsidRDefault="00B3168E">
            <w:pPr>
              <w:pageBreakBefore/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3168E" w:rsidRDefault="005316E3"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3168E" w:rsidRDefault="005316E3"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Sous-division 28.1</w:t>
            </w:r>
          </w:p>
        </w:tc>
      </w:tr>
      <w:tr w:rsidR="00B3168E">
        <w:trPr>
          <w:trHeight w:val="233"/>
        </w:trPr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3168E" w:rsidRDefault="005316E3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HER/03D.RG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16 124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100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3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18 791</w:t>
            </w:r>
          </w:p>
        </w:tc>
        <w:tc>
          <w:tcPr>
            <w:tcW w:w="442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hideMark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100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B3168E" w:rsidRDefault="00B3168E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100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34 915</w:t>
            </w:r>
          </w:p>
        </w:tc>
        <w:tc>
          <w:tcPr>
            <w:tcW w:w="442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100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 w:rsidR="00B3168E" w:rsidRDefault="00B3168E"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100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34 915</w:t>
            </w:r>
          </w:p>
        </w:tc>
        <w:tc>
          <w:tcPr>
            <w:tcW w:w="442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analytique» </w:t>
            </w:r>
          </w:p>
        </w:tc>
      </w:tr>
      <w:tr w:rsidR="00B3168E">
        <w:trPr>
          <w:trHeight w:val="233"/>
        </w:trPr>
        <w:tc>
          <w:tcPr>
            <w:tcW w:w="1100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B3168E" w:rsidRDefault="005316E3">
      <w:pPr>
        <w:pStyle w:val="Text2"/>
        <w:rPr>
          <w:rStyle w:val="Marker"/>
          <w:noProof/>
        </w:rPr>
      </w:pPr>
      <w:r>
        <w:rPr>
          <w:noProof/>
        </w:rPr>
        <w:t>b)</w:t>
      </w:r>
      <w:r>
        <w:rPr>
          <w:noProof/>
        </w:rPr>
        <w:tab/>
        <w:t>le tableau des possibilités de pêche pour le sprat dans les eaux de l'Union des sous-divisions 22 à 32 est remplacé par le tableau suivant:</w:t>
      </w: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3"/>
        <w:gridCol w:w="946"/>
        <w:gridCol w:w="837"/>
        <w:gridCol w:w="1157"/>
        <w:gridCol w:w="3339"/>
        <w:gridCol w:w="941"/>
      </w:tblGrid>
      <w:tr w:rsidR="00B3168E">
        <w:trPr>
          <w:trHeight w:val="233"/>
        </w:trPr>
        <w:tc>
          <w:tcPr>
            <w:tcW w:w="1094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3168E" w:rsidRDefault="005316E3"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«Espèce:</w:t>
            </w:r>
          </w:p>
        </w:tc>
        <w:tc>
          <w:tcPr>
            <w:tcW w:w="512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3168E" w:rsidRDefault="005316E3"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Sprat</w:t>
            </w: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:rsidR="00B3168E" w:rsidRDefault="00B3168E">
            <w:pPr>
              <w:pageBreakBefore/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3168E" w:rsidRDefault="005316E3">
            <w:pPr>
              <w:pageBreakBefore/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3168E" w:rsidRDefault="005316E3">
            <w:pPr>
              <w:pageBreakBefore/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Eaux de l'Union des sous-divisions 22 à 32</w:t>
            </w:r>
          </w:p>
        </w:tc>
        <w:tc>
          <w:tcPr>
            <w:tcW w:w="509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168E" w:rsidRDefault="00B3168E">
            <w:pPr>
              <w:pageBreakBefore/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3168E" w:rsidRDefault="005316E3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SPR/3B23.; SPR/3C22.; SPR/3D24.; SPR/3D25.; SPR/3D26.; SPR/3D27.; SPR/3D28.; SPR/3D29.; SPR/3D30.; SPR/3D31.; SPR/3D32.</w:t>
            </w:r>
          </w:p>
        </w:tc>
      </w:tr>
      <w:tr w:rsidR="00B3168E">
        <w:trPr>
          <w:trHeight w:val="233"/>
        </w:trPr>
        <w:tc>
          <w:tcPr>
            <w:tcW w:w="109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19 958</w:t>
            </w:r>
          </w:p>
        </w:tc>
        <w:tc>
          <w:tcPr>
            <w:tcW w:w="45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2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12 644</w:t>
            </w: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2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23 175</w:t>
            </w: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2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10 447</w:t>
            </w: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2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27 990</w:t>
            </w: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2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10 125</w:t>
            </w: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2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59 399</w:t>
            </w: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2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38 582</w:t>
            </w: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 w:rsidR="00B3168E" w:rsidRDefault="00B3168E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2" w:type="pct"/>
            <w:vAlign w:val="bottom"/>
            <w:hideMark/>
          </w:tcPr>
          <w:p w:rsidR="00B3168E" w:rsidRDefault="005316E3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202 320</w:t>
            </w: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6, paragraphe 3, du présent règlement s'applique.</w:t>
            </w:r>
          </w:p>
        </w:tc>
      </w:tr>
      <w:tr w:rsidR="00B3168E">
        <w:trPr>
          <w:trHeight w:val="233"/>
        </w:trPr>
        <w:tc>
          <w:tcPr>
            <w:tcW w:w="1094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 w:rsidR="00B3168E" w:rsidRDefault="00B3168E"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  <w:tr w:rsidR="00B3168E">
        <w:trPr>
          <w:trHeight w:val="233"/>
        </w:trPr>
        <w:tc>
          <w:tcPr>
            <w:tcW w:w="1094" w:type="pct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65" w:type="pct"/>
            <w:gridSpan w:val="2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Sans objet</w:t>
            </w:r>
          </w:p>
        </w:tc>
        <w:tc>
          <w:tcPr>
            <w:tcW w:w="2941" w:type="pct"/>
            <w:gridSpan w:val="3"/>
            <w:hideMark/>
          </w:tcPr>
          <w:p w:rsidR="00B3168E" w:rsidRDefault="005316E3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 analytique»</w:t>
            </w:r>
          </w:p>
        </w:tc>
      </w:tr>
      <w:tr w:rsidR="00B3168E">
        <w:trPr>
          <w:trHeight w:val="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168E" w:rsidRDefault="00B3168E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B3168E" w:rsidRDefault="00B3168E">
      <w:pPr>
        <w:pStyle w:val="Text2"/>
        <w:rPr>
          <w:noProof/>
        </w:rPr>
      </w:pPr>
    </w:p>
    <w:sectPr w:rsidR="00B3168E" w:rsidSect="005316E3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E3" w:rsidRDefault="005316E3">
      <w:pPr>
        <w:spacing w:before="0" w:after="0"/>
      </w:pPr>
      <w:r>
        <w:separator/>
      </w:r>
    </w:p>
  </w:endnote>
  <w:endnote w:type="continuationSeparator" w:id="0">
    <w:p w:rsidR="005316E3" w:rsidRDefault="005316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3" w:rsidRPr="005316E3" w:rsidRDefault="005316E3" w:rsidP="005316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3" w:rsidRPr="005316E3" w:rsidRDefault="005316E3" w:rsidP="005316E3">
    <w:pPr>
      <w:pStyle w:val="Footer"/>
      <w:rPr>
        <w:rFonts w:ascii="Arial" w:hAnsi="Arial" w:cs="Arial"/>
        <w:b/>
        <w:sz w:val="48"/>
      </w:rPr>
    </w:pPr>
    <w:r w:rsidRPr="005316E3">
      <w:rPr>
        <w:rFonts w:ascii="Arial" w:hAnsi="Arial" w:cs="Arial"/>
        <w:b/>
        <w:sz w:val="48"/>
      </w:rPr>
      <w:t>FR</w:t>
    </w:r>
    <w:r w:rsidRPr="005316E3">
      <w:rPr>
        <w:rFonts w:ascii="Arial" w:hAnsi="Arial" w:cs="Arial"/>
        <w:b/>
        <w:sz w:val="48"/>
      </w:rPr>
      <w:tab/>
    </w:r>
    <w:r w:rsidRPr="005316E3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316E3">
      <w:tab/>
    </w:r>
    <w:proofErr w:type="spellStart"/>
    <w:r w:rsidRPr="005316E3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3" w:rsidRPr="005316E3" w:rsidRDefault="005316E3" w:rsidP="005316E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3" w:rsidRPr="005316E3" w:rsidRDefault="005316E3" w:rsidP="005316E3">
    <w:pPr>
      <w:pStyle w:val="Footer"/>
      <w:rPr>
        <w:rFonts w:ascii="Arial" w:hAnsi="Arial" w:cs="Arial"/>
        <w:b/>
        <w:sz w:val="48"/>
      </w:rPr>
    </w:pPr>
    <w:r w:rsidRPr="005316E3">
      <w:rPr>
        <w:rFonts w:ascii="Arial" w:hAnsi="Arial" w:cs="Arial"/>
        <w:b/>
        <w:sz w:val="48"/>
      </w:rPr>
      <w:t>FR</w:t>
    </w:r>
    <w:r w:rsidRPr="005316E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7520C8"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5316E3">
      <w:tab/>
    </w:r>
    <w:r w:rsidRPr="005316E3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3" w:rsidRPr="005316E3" w:rsidRDefault="005316E3" w:rsidP="00531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E3" w:rsidRDefault="005316E3">
      <w:pPr>
        <w:spacing w:before="0" w:after="0"/>
      </w:pPr>
      <w:r>
        <w:separator/>
      </w:r>
    </w:p>
  </w:footnote>
  <w:footnote w:type="continuationSeparator" w:id="0">
    <w:p w:rsidR="005316E3" w:rsidRDefault="005316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3" w:rsidRPr="005316E3" w:rsidRDefault="005316E3" w:rsidP="00531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3" w:rsidRPr="005316E3" w:rsidRDefault="005316E3" w:rsidP="005316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3" w:rsidRPr="005316E3" w:rsidRDefault="005316E3" w:rsidP="00531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F3EDF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64435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E0497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F90B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77218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89264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5A0BD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7ACF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29 15:44:4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FigNum" w:val="1"/>
    <w:docVar w:name="LW_ACCOMPAGNANT.CP" w:val="à la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98DDDB141134494E890A8DC7CCA95C73"/>
    <w:docVar w:name="LW_CROSSREFERENCE" w:val="&lt;UNUSED&gt;"/>
    <w:docVar w:name="LW_DocType" w:val="ANNEX"/>
    <w:docVar w:name="LW_EMISSION" w:val="6.7.2016"/>
    <w:docVar w:name="LW_EMISSION_ISODATE" w:val="2016-07-06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modifiant les règlements (UE) 2016/72 et (UE) 2015/2072 en ce qui concerne certaines possibilités de pêche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41"/>
    <w:docVar w:name="LW_REF.INTERNE" w:val="&lt;UNUSED&gt;"/>
    <w:docVar w:name="LW_SUPERTITRE" w:val="&lt;UNUSED&gt;"/>
    <w:docVar w:name="LW_TITRE.OBJ.CP" w:val="&lt;UNUSED&gt;"/>
    <w:docVar w:name="LW_TYPE.DOC.CP" w:val="ANNEXES"/>
    <w:docVar w:name="LW_TYPEACTEPRINCIPAL.CP" w:val="Proposition de la Commission de règlement du Conseil"/>
  </w:docVars>
  <w:rsids>
    <w:rsidRoot w:val="00B3168E"/>
    <w:rsid w:val="005316E3"/>
    <w:rsid w:val="007520C8"/>
    <w:rsid w:val="00B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E3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316E3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316E3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E3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316E3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316E3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67</TotalTime>
  <Pages>8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KISIELIAUSKAS Mindaugas (HR)</dc:creator>
  <cp:lastModifiedBy>MAVROPOULOU Erifili (SG)</cp:lastModifiedBy>
  <cp:revision>8</cp:revision>
  <cp:lastPrinted>2016-07-06T10:25:00Z</cp:lastPrinted>
  <dcterms:created xsi:type="dcterms:W3CDTF">2016-06-16T14:39:00Z</dcterms:created>
  <dcterms:modified xsi:type="dcterms:W3CDTF">2016-07-06T11:32:00Z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