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17E5090F9F024B62B634C8A35D15BEB6" style="width:450.75pt;height:384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ПРИЛОЖЕНИЯ</w:t>
      </w:r>
    </w:p>
    <w:p>
      <w:pPr>
        <w:pStyle w:val="Accompagnant"/>
        <w:rPr>
          <w:noProof/>
        </w:rPr>
      </w:pPr>
      <w:r>
        <w:rPr>
          <w:noProof/>
        </w:rPr>
        <w:t>към</w:t>
      </w:r>
    </w:p>
    <w:p>
      <w:pPr>
        <w:pStyle w:val="Typeacteprincipal"/>
        <w:rPr>
          <w:noProof/>
        </w:rPr>
      </w:pPr>
      <w:r>
        <w:rPr>
          <w:noProof/>
        </w:rPr>
        <w:t>Предложение за регламент на Съвета</w:t>
      </w:r>
    </w:p>
    <w:p>
      <w:pPr>
        <w:pStyle w:val="Objetacteprincipal"/>
        <w:rPr>
          <w:noProof/>
        </w:rPr>
      </w:pPr>
      <w:r>
        <w:rPr>
          <w:noProof/>
        </w:rPr>
        <w:t>за изменение на регламенти (ЕС) 2016/72 и (ЕС) 2015/2072 по отношение на определени възможности за риболов</w:t>
      </w:r>
    </w:p>
    <w:p>
      <w:pPr>
        <w:pStyle w:val="SectionTitle"/>
        <w:rPr>
          <w:noProof/>
        </w:rPr>
      </w:pPr>
      <w:r>
        <w:rPr>
          <w:noProof/>
        </w:rPr>
        <w:t>Приложение I</w:t>
      </w:r>
      <w:r>
        <w:rPr>
          <w:noProof/>
        </w:rPr>
        <w:br/>
        <w:t xml:space="preserve"> Изменения на приложения I, IA и IV към Регламент (ЕС) 2016/72</w:t>
      </w:r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Приложение I към Регламент (ЕС) 2016/72 се изменя, както следва:</w:t>
      </w:r>
    </w:p>
    <w:p>
      <w:pPr>
        <w:pStyle w:val="Text2"/>
        <w:rPr>
          <w:rFonts w:eastAsia="Times New Roman"/>
          <w:noProof/>
          <w:color w:val="000000"/>
          <w:szCs w:val="24"/>
          <w:u w:color="000000"/>
        </w:rPr>
      </w:pPr>
      <w:r>
        <w:rPr>
          <w:noProof/>
        </w:rPr>
        <w:t xml:space="preserve">а) </w:t>
      </w:r>
      <w:r>
        <w:rPr>
          <w:noProof/>
        </w:rPr>
        <w:tab/>
        <w:t>н</w:t>
      </w:r>
      <w:r>
        <w:rPr>
          <w:noProof/>
          <w:color w:val="000000"/>
          <w:u w:color="000000"/>
        </w:rPr>
        <w:t>е се отнася за българския текст;</w:t>
      </w:r>
    </w:p>
    <w:p>
      <w:pPr>
        <w:pStyle w:val="Text2"/>
        <w:rPr>
          <w:rFonts w:eastAsia="Times New Roman"/>
          <w:noProof/>
          <w:color w:val="000000"/>
          <w:szCs w:val="24"/>
          <w:u w:color="000000"/>
        </w:rPr>
      </w:pPr>
      <w:r>
        <w:rPr>
          <w:noProof/>
          <w:color w:val="000000"/>
          <w:u w:color="000000"/>
        </w:rPr>
        <w:t xml:space="preserve">б) </w:t>
      </w:r>
      <w:r>
        <w:rPr>
          <w:noProof/>
        </w:rPr>
        <w:tab/>
        <w:t>н</w:t>
      </w:r>
      <w:r>
        <w:rPr>
          <w:noProof/>
          <w:color w:val="000000"/>
          <w:u w:color="000000"/>
        </w:rPr>
        <w:t>е се отнася за българския текст.</w:t>
      </w:r>
    </w:p>
    <w:p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Приложение IА към Регламент (ЕС) 2016/72 се изменя, както следва:</w:t>
      </w:r>
    </w:p>
    <w:p>
      <w:pPr>
        <w:pStyle w:val="Text2"/>
        <w:rPr>
          <w:rFonts w:eastAsia="Times New Roman"/>
          <w:noProof/>
          <w:color w:val="000000"/>
          <w:szCs w:val="24"/>
          <w:u w:color="000000"/>
        </w:rPr>
      </w:pPr>
      <w:r>
        <w:rPr>
          <w:noProof/>
        </w:rPr>
        <w:t xml:space="preserve">а) </w:t>
      </w:r>
      <w:r>
        <w:rPr>
          <w:noProof/>
        </w:rPr>
        <w:tab/>
      </w:r>
      <w:r>
        <w:rPr>
          <w:noProof/>
          <w:color w:val="000000"/>
          <w:u w:color="000000"/>
        </w:rPr>
        <w:t>таблицата за възможностите за риболов на херинга във водите на Съюза и международните води от Vb, VIb и VIaN(</w:t>
      </w:r>
      <w:r>
        <w:rPr>
          <w:noProof/>
          <w:color w:val="000000"/>
          <w:u w:color="000000"/>
          <w:vertAlign w:val="superscript"/>
        </w:rPr>
        <w:t>1</w:t>
      </w:r>
      <w:r>
        <w:rPr>
          <w:noProof/>
          <w:color w:val="000000"/>
          <w:u w:color="000000"/>
        </w:rPr>
        <w:t>) се заменя със следното:</w:t>
      </w:r>
    </w:p>
    <w:tbl>
      <w:tblPr>
        <w:tblW w:w="9181" w:type="dxa"/>
        <w:tblInd w:w="108" w:type="dxa"/>
        <w:tblLook w:val="04A0" w:firstRow="1" w:lastRow="0" w:firstColumn="1" w:lastColumn="0" w:noHBand="0" w:noVBand="1"/>
      </w:tblPr>
      <w:tblGrid>
        <w:gridCol w:w="993"/>
        <w:gridCol w:w="1083"/>
        <w:gridCol w:w="1190"/>
        <w:gridCol w:w="1193"/>
        <w:gridCol w:w="1193"/>
        <w:gridCol w:w="1177"/>
        <w:gridCol w:w="1176"/>
        <w:gridCol w:w="1176"/>
      </w:tblGrid>
      <w:tr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„Вид: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Херинга</w:t>
            </w:r>
          </w:p>
        </w:tc>
        <w:tc>
          <w:tcPr>
            <w:tcW w:w="1190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Зона:</w:t>
            </w:r>
          </w:p>
        </w:tc>
        <w:tc>
          <w:tcPr>
            <w:tcW w:w="352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Води на Съюза и международни води от Vb, VIb и VIaN(</w:t>
            </w:r>
            <w:r>
              <w:rPr>
                <w:noProof/>
                <w:color w:val="000000"/>
                <w:sz w:val="18"/>
                <w:vertAlign w:val="superscript"/>
              </w:rPr>
              <w:t>1</w:t>
            </w:r>
            <w:r>
              <w:rPr>
                <w:noProof/>
                <w:color w:val="000000"/>
                <w:sz w:val="18"/>
              </w:rPr>
              <w:t>)</w:t>
            </w:r>
          </w:p>
        </w:tc>
      </w:tr>
      <w:tr>
        <w:trPr>
          <w:trHeight w:val="270"/>
        </w:trPr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Clupea harengus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(HER/5B6ANB)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99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Германия</w:t>
            </w:r>
          </w:p>
        </w:tc>
        <w:tc>
          <w:tcPr>
            <w:tcW w:w="108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  <w:tc>
          <w:tcPr>
            <w:tcW w:w="1190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389</w:t>
            </w:r>
          </w:p>
        </w:tc>
        <w:tc>
          <w:tcPr>
            <w:tcW w:w="119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23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Аналитичен ОДУ</w:t>
            </w:r>
          </w:p>
        </w:tc>
        <w:tc>
          <w:tcPr>
            <w:tcW w:w="11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1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99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Франция</w:t>
            </w:r>
          </w:p>
        </w:tc>
        <w:tc>
          <w:tcPr>
            <w:tcW w:w="108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0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74</w:t>
            </w:r>
          </w:p>
        </w:tc>
        <w:tc>
          <w:tcPr>
            <w:tcW w:w="119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119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99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Ирландия</w:t>
            </w:r>
          </w:p>
        </w:tc>
        <w:tc>
          <w:tcPr>
            <w:tcW w:w="108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0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526</w:t>
            </w:r>
          </w:p>
        </w:tc>
        <w:tc>
          <w:tcPr>
            <w:tcW w:w="119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119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2076" w:type="dxa"/>
            <w:gridSpan w:val="2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Нидерландия</w:t>
            </w:r>
          </w:p>
        </w:tc>
        <w:tc>
          <w:tcPr>
            <w:tcW w:w="1190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389</w:t>
            </w:r>
          </w:p>
        </w:tc>
        <w:tc>
          <w:tcPr>
            <w:tcW w:w="119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119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2076" w:type="dxa"/>
            <w:gridSpan w:val="2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Обединено кралство</w:t>
            </w:r>
          </w:p>
        </w:tc>
        <w:tc>
          <w:tcPr>
            <w:tcW w:w="1190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2 102</w:t>
            </w:r>
          </w:p>
        </w:tc>
        <w:tc>
          <w:tcPr>
            <w:tcW w:w="119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119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99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Съюз</w:t>
            </w:r>
          </w:p>
        </w:tc>
        <w:tc>
          <w:tcPr>
            <w:tcW w:w="108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0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3 480</w:t>
            </w:r>
          </w:p>
        </w:tc>
        <w:tc>
          <w:tcPr>
            <w:tcW w:w="119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119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99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8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0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99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ОДУ</w:t>
            </w:r>
          </w:p>
        </w:tc>
        <w:tc>
          <w:tcPr>
            <w:tcW w:w="108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0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3 480</w:t>
            </w:r>
          </w:p>
        </w:tc>
        <w:tc>
          <w:tcPr>
            <w:tcW w:w="119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99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8188" w:type="dxa"/>
            <w:gridSpan w:val="7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 xml:space="preserve">Отнася се до запасите от херинга в частта от зона VIa на ICES, която се намира на изток от меридиан 7º з.д. и на север от паралел 55º с.ш., или на запад от меридиан 7º з.д. и на север от паралел 56º с.ш. с изключение на Clyde. </w:t>
            </w:r>
          </w:p>
        </w:tc>
      </w:tr>
      <w:tr>
        <w:trPr>
          <w:trHeight w:val="28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818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Забранява се целевият улов на херинга в частта от зоните на ICES, за която се прилага определеният ОДУ и която се намира между 56° и 57° 30′ с.ш., с изключение на зоната от 6 морски мили, измерена от изходната линия на териториалните води на Обединеното кралство.“</w:t>
            </w:r>
          </w:p>
        </w:tc>
      </w:tr>
    </w:tbl>
    <w:p>
      <w:pPr>
        <w:pStyle w:val="Text2"/>
        <w:rPr>
          <w:rFonts w:eastAsia="Times New Roman"/>
          <w:noProof/>
          <w:color w:val="000000"/>
          <w:szCs w:val="24"/>
          <w:u w:color="000000"/>
        </w:rPr>
      </w:pPr>
      <w:r>
        <w:rPr>
          <w:noProof/>
        </w:rPr>
        <w:t xml:space="preserve">б) </w:t>
      </w:r>
      <w:r>
        <w:rPr>
          <w:noProof/>
        </w:rPr>
        <w:tab/>
      </w:r>
      <w:r>
        <w:rPr>
          <w:noProof/>
          <w:color w:val="000000"/>
          <w:u w:color="000000"/>
        </w:rPr>
        <w:t>таблицата за възможностите за риболов на херинга в VIaS(</w:t>
      </w:r>
      <w:r>
        <w:rPr>
          <w:noProof/>
          <w:color w:val="000000"/>
          <w:u w:color="000000"/>
          <w:vertAlign w:val="superscript"/>
        </w:rPr>
        <w:t>1</w:t>
      </w:r>
      <w:r>
        <w:rPr>
          <w:noProof/>
          <w:color w:val="000000"/>
          <w:u w:color="000000"/>
        </w:rPr>
        <w:t>), VIIb, VIIc се заменя със следното:</w:t>
      </w: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962"/>
        <w:gridCol w:w="1180"/>
        <w:gridCol w:w="1179"/>
        <w:gridCol w:w="1182"/>
        <w:gridCol w:w="1182"/>
        <w:gridCol w:w="1166"/>
        <w:gridCol w:w="1165"/>
        <w:gridCol w:w="1165"/>
      </w:tblGrid>
      <w:tr>
        <w:trPr>
          <w:trHeight w:val="255"/>
        </w:trPr>
        <w:tc>
          <w:tcPr>
            <w:tcW w:w="877" w:type="dxa"/>
            <w:tcBorders>
              <w:top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„Вид: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Херинга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Зона: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VIaS(</w:t>
            </w:r>
            <w:r>
              <w:rPr>
                <w:noProof/>
                <w:color w:val="000000"/>
                <w:sz w:val="18"/>
                <w:vertAlign w:val="superscript"/>
              </w:rPr>
              <w:t>1</w:t>
            </w:r>
            <w:r>
              <w:rPr>
                <w:noProof/>
                <w:color w:val="000000"/>
                <w:sz w:val="18"/>
              </w:rPr>
              <w:t>), VIIb, VIIc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Clupea harengus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(HER/6AS7BC)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877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Ирландия</w:t>
            </w:r>
          </w:p>
        </w:tc>
        <w:tc>
          <w:tcPr>
            <w:tcW w:w="119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  <w:tc>
          <w:tcPr>
            <w:tcW w:w="1191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1 236</w:t>
            </w:r>
          </w:p>
        </w:tc>
        <w:tc>
          <w:tcPr>
            <w:tcW w:w="1194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Аналитичен ОДУ</w:t>
            </w:r>
          </w:p>
        </w:tc>
        <w:tc>
          <w:tcPr>
            <w:tcW w:w="1177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177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2069" w:type="dxa"/>
            <w:gridSpan w:val="2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lastRenderedPageBreak/>
              <w:t>Нидерландия</w:t>
            </w:r>
          </w:p>
        </w:tc>
        <w:tc>
          <w:tcPr>
            <w:tcW w:w="1191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124</w:t>
            </w:r>
          </w:p>
        </w:tc>
        <w:tc>
          <w:tcPr>
            <w:tcW w:w="119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4726" w:type="dxa"/>
            <w:gridSpan w:val="4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Член 3 от Регламент (ЕО) № 847/96 не се прилага.</w:t>
            </w:r>
          </w:p>
        </w:tc>
      </w:tr>
      <w:tr>
        <w:trPr>
          <w:trHeight w:val="255"/>
        </w:trPr>
        <w:tc>
          <w:tcPr>
            <w:tcW w:w="877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Съюз</w:t>
            </w:r>
          </w:p>
        </w:tc>
        <w:tc>
          <w:tcPr>
            <w:tcW w:w="119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1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1 360</w:t>
            </w:r>
          </w:p>
        </w:tc>
        <w:tc>
          <w:tcPr>
            <w:tcW w:w="119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4726" w:type="dxa"/>
            <w:gridSpan w:val="4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Член 4 от Регламент (ЕО) № 847/96 не се прилага.</w:t>
            </w:r>
          </w:p>
        </w:tc>
      </w:tr>
      <w:tr>
        <w:trPr>
          <w:trHeight w:val="255"/>
        </w:trPr>
        <w:tc>
          <w:tcPr>
            <w:tcW w:w="87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8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877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ОДУ</w:t>
            </w:r>
          </w:p>
        </w:tc>
        <w:tc>
          <w:tcPr>
            <w:tcW w:w="119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1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1 360</w:t>
            </w:r>
          </w:p>
        </w:tc>
        <w:tc>
          <w:tcPr>
            <w:tcW w:w="119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8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85"/>
        </w:trPr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594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Отнася се до запаса от херинга в VIa на юг от 56º 00' с.ш. и на запад от 07º 00' з.д.“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87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8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</w:tbl>
    <w:p>
      <w:pPr>
        <w:pStyle w:val="Text2"/>
        <w:rPr>
          <w:rFonts w:eastAsia="Times New Roman"/>
          <w:noProof/>
          <w:color w:val="000000"/>
          <w:szCs w:val="24"/>
          <w:u w:color="000000"/>
        </w:rPr>
      </w:pPr>
      <w:r>
        <w:rPr>
          <w:noProof/>
          <w:color w:val="000000"/>
          <w:u w:color="000000"/>
        </w:rPr>
        <w:t>в)</w:t>
      </w:r>
      <w:r>
        <w:rPr>
          <w:noProof/>
        </w:rPr>
        <w:tab/>
      </w:r>
      <w:r>
        <w:rPr>
          <w:noProof/>
          <w:color w:val="000000"/>
          <w:u w:color="000000"/>
        </w:rPr>
        <w:t>таблицата за възможностите за риболов на северна скарида в IIIa се заменя със следното: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976"/>
        <w:gridCol w:w="1316"/>
        <w:gridCol w:w="895"/>
        <w:gridCol w:w="976"/>
        <w:gridCol w:w="994"/>
        <w:gridCol w:w="1222"/>
        <w:gridCol w:w="864"/>
        <w:gridCol w:w="1829"/>
      </w:tblGrid>
      <w:tr>
        <w:trPr>
          <w:trHeight w:val="255"/>
        </w:trPr>
        <w:tc>
          <w:tcPr>
            <w:tcW w:w="976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„Вид: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Северна скарида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Зона: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IIIа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829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316" w:type="dxa"/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Pandalus borealis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(PRA/03A.)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Дания</w:t>
            </w: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  <w:tc>
          <w:tcPr>
            <w:tcW w:w="895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3 813</w:t>
            </w: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Аналитичен ОДУ</w:t>
            </w:r>
          </w:p>
        </w:tc>
        <w:tc>
          <w:tcPr>
            <w:tcW w:w="864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829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Швеция</w:t>
            </w:r>
          </w:p>
        </w:tc>
        <w:tc>
          <w:tcPr>
            <w:tcW w:w="131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895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2 054</w:t>
            </w: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3080" w:type="dxa"/>
            <w:gridSpan w:val="3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Прилага се член 7, параграф 2 от настоящия регламент.</w:t>
            </w:r>
          </w:p>
        </w:tc>
        <w:tc>
          <w:tcPr>
            <w:tcW w:w="182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Съюз</w:t>
            </w:r>
          </w:p>
        </w:tc>
        <w:tc>
          <w:tcPr>
            <w:tcW w:w="131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895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5 867</w:t>
            </w: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9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2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86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82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31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8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9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2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86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82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ОДУ</w:t>
            </w:r>
          </w:p>
        </w:tc>
        <w:tc>
          <w:tcPr>
            <w:tcW w:w="131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895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10 987“</w:t>
            </w: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9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2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86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82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 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jc w:val="right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18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 </w:t>
            </w:r>
          </w:p>
        </w:tc>
      </w:tr>
    </w:tbl>
    <w:p>
      <w:pPr>
        <w:pStyle w:val="Text2"/>
        <w:rPr>
          <w:rFonts w:eastAsia="Times New Roman"/>
          <w:noProof/>
          <w:color w:val="000000"/>
          <w:szCs w:val="24"/>
          <w:u w:color="000000"/>
        </w:rPr>
      </w:pPr>
      <w:r>
        <w:rPr>
          <w:noProof/>
          <w:color w:val="000000"/>
          <w:u w:color="000000"/>
        </w:rPr>
        <w:t>г)</w:t>
      </w:r>
      <w:r>
        <w:rPr>
          <w:noProof/>
        </w:rPr>
        <w:tab/>
      </w:r>
      <w:r>
        <w:rPr>
          <w:noProof/>
          <w:color w:val="000000"/>
          <w:u w:color="000000"/>
        </w:rPr>
        <w:t>таблицата за възможностите за риболов на северна скарида в норвежките води на юг от 62° с.ш. се заменя със следното: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976"/>
        <w:gridCol w:w="1316"/>
        <w:gridCol w:w="895"/>
        <w:gridCol w:w="976"/>
        <w:gridCol w:w="994"/>
        <w:gridCol w:w="1092"/>
        <w:gridCol w:w="994"/>
        <w:gridCol w:w="1829"/>
      </w:tblGrid>
      <w:tr>
        <w:trPr>
          <w:trHeight w:val="255"/>
        </w:trPr>
        <w:tc>
          <w:tcPr>
            <w:tcW w:w="976" w:type="dxa"/>
            <w:tcBorders>
              <w:top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„Вид: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Северна скарида</w:t>
            </w:r>
          </w:p>
        </w:tc>
        <w:tc>
          <w:tcPr>
            <w:tcW w:w="976" w:type="dxa"/>
            <w:tcBorders>
              <w:top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Зона: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Норвежки води на юг от 62° с.ш.</w:t>
            </w:r>
          </w:p>
        </w:tc>
      </w:tr>
      <w:tr>
        <w:trPr>
          <w:trHeight w:val="270"/>
        </w:trPr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316" w:type="dxa"/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Pandalus borealis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(PRA/04-N.)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Дания</w:t>
            </w: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  <w:tc>
          <w:tcPr>
            <w:tcW w:w="895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357</w:t>
            </w: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Аналитичен ОДУ</w:t>
            </w:r>
          </w:p>
        </w:tc>
        <w:tc>
          <w:tcPr>
            <w:tcW w:w="994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829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Швеция</w:t>
            </w:r>
          </w:p>
        </w:tc>
        <w:tc>
          <w:tcPr>
            <w:tcW w:w="131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895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155</w:t>
            </w:r>
          </w:p>
        </w:tc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4909" w:type="dxa"/>
            <w:gridSpan w:val="4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Член 3 от Регламент (ЕО) № 847/96 не се прилага.</w:t>
            </w: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Съюз</w:t>
            </w:r>
          </w:p>
        </w:tc>
        <w:tc>
          <w:tcPr>
            <w:tcW w:w="131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895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512</w:t>
            </w: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4909" w:type="dxa"/>
            <w:gridSpan w:val="4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Член 4 от Регламент (ЕО) № 847/96 не се прилага.</w:t>
            </w: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31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8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9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9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9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82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ОДУ</w:t>
            </w:r>
          </w:p>
        </w:tc>
        <w:tc>
          <w:tcPr>
            <w:tcW w:w="131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895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Не се прилага</w:t>
            </w: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9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9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9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82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85"/>
        </w:trPr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626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Приловът на атлантическа треска, пикша, сребърна сайда, меджид и сайда се приспада от квотата за тези видове.“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31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8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9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9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9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82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</w:tbl>
    <w:p>
      <w:pPr>
        <w:pStyle w:val="Text2"/>
        <w:rPr>
          <w:rFonts w:eastAsia="Times New Roman"/>
          <w:noProof/>
          <w:color w:val="000000"/>
          <w:szCs w:val="24"/>
          <w:u w:color="000000"/>
        </w:rPr>
      </w:pPr>
      <w:r>
        <w:rPr>
          <w:noProof/>
          <w:color w:val="000000"/>
          <w:u w:color="000000"/>
        </w:rPr>
        <w:t>д)</w:t>
      </w:r>
      <w:r>
        <w:rPr>
          <w:noProof/>
        </w:rPr>
        <w:tab/>
      </w:r>
      <w:r>
        <w:rPr>
          <w:noProof/>
          <w:color w:val="000000"/>
          <w:u w:color="000000"/>
        </w:rPr>
        <w:t>таблицата за възможностите за риболов на обикновен морски език в VIIа се заменя със следното:</w:t>
      </w: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959"/>
        <w:gridCol w:w="1802"/>
        <w:gridCol w:w="510"/>
        <w:gridCol w:w="1169"/>
        <w:gridCol w:w="1189"/>
        <w:gridCol w:w="1184"/>
        <w:gridCol w:w="1184"/>
        <w:gridCol w:w="1184"/>
      </w:tblGrid>
      <w:tr>
        <w:trPr>
          <w:trHeight w:val="255"/>
        </w:trPr>
        <w:tc>
          <w:tcPr>
            <w:tcW w:w="845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„Вид:</w:t>
            </w:r>
          </w:p>
        </w:tc>
        <w:tc>
          <w:tcPr>
            <w:tcW w:w="234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Обикновен морски език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Зона: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VIIa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Solea solea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(SOL/07A.)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845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Белгия</w:t>
            </w:r>
          </w:p>
        </w:tc>
        <w:tc>
          <w:tcPr>
            <w:tcW w:w="1829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  <w:tc>
          <w:tcPr>
            <w:tcW w:w="515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20</w:t>
            </w:r>
          </w:p>
        </w:tc>
        <w:tc>
          <w:tcPr>
            <w:tcW w:w="1185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Аналитичен ОДУ</w:t>
            </w:r>
          </w:p>
        </w:tc>
        <w:tc>
          <w:tcPr>
            <w:tcW w:w="1200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200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845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Франция</w:t>
            </w:r>
          </w:p>
        </w:tc>
        <w:tc>
          <w:tcPr>
            <w:tcW w:w="182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15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0</w:t>
            </w:r>
          </w:p>
        </w:tc>
        <w:tc>
          <w:tcPr>
            <w:tcW w:w="1185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4806" w:type="dxa"/>
            <w:gridSpan w:val="4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Член 3 от Регламент (ЕО) № 847/96 не се прилага.</w:t>
            </w:r>
          </w:p>
        </w:tc>
      </w:tr>
      <w:tr>
        <w:trPr>
          <w:trHeight w:val="270"/>
        </w:trPr>
        <w:tc>
          <w:tcPr>
            <w:tcW w:w="845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lastRenderedPageBreak/>
              <w:t>Ирландия</w:t>
            </w:r>
          </w:p>
        </w:tc>
        <w:tc>
          <w:tcPr>
            <w:tcW w:w="182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15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5</w:t>
            </w:r>
          </w:p>
        </w:tc>
        <w:tc>
          <w:tcPr>
            <w:tcW w:w="1185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4806" w:type="dxa"/>
            <w:gridSpan w:val="4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Член 4 от Регламент (ЕО) № 847/96 не се прилага.</w:t>
            </w:r>
          </w:p>
        </w:tc>
      </w:tr>
      <w:tr>
        <w:trPr>
          <w:trHeight w:val="270"/>
        </w:trPr>
        <w:tc>
          <w:tcPr>
            <w:tcW w:w="2674" w:type="dxa"/>
            <w:gridSpan w:val="2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Нидерландия</w:t>
            </w:r>
          </w:p>
        </w:tc>
        <w:tc>
          <w:tcPr>
            <w:tcW w:w="515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6</w:t>
            </w:r>
          </w:p>
        </w:tc>
        <w:tc>
          <w:tcPr>
            <w:tcW w:w="1185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20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2674" w:type="dxa"/>
            <w:gridSpan w:val="2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Обединено кралство</w:t>
            </w:r>
          </w:p>
        </w:tc>
        <w:tc>
          <w:tcPr>
            <w:tcW w:w="515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9</w:t>
            </w:r>
          </w:p>
        </w:tc>
        <w:tc>
          <w:tcPr>
            <w:tcW w:w="1185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20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845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Съюз</w:t>
            </w:r>
          </w:p>
        </w:tc>
        <w:tc>
          <w:tcPr>
            <w:tcW w:w="182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15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40</w:t>
            </w:r>
          </w:p>
        </w:tc>
        <w:tc>
          <w:tcPr>
            <w:tcW w:w="1185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20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84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82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1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8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845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ОДУ</w:t>
            </w:r>
          </w:p>
        </w:tc>
        <w:tc>
          <w:tcPr>
            <w:tcW w:w="182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15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40</w:t>
            </w:r>
          </w:p>
        </w:tc>
        <w:tc>
          <w:tcPr>
            <w:tcW w:w="1185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(1)(2)</w:t>
            </w:r>
          </w:p>
        </w:tc>
        <w:tc>
          <w:tcPr>
            <w:tcW w:w="120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845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5935" w:type="dxa"/>
            <w:gridSpan w:val="5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Изключително за прилов. Не е разрешен целеви риболов по тази квота.</w:t>
            </w:r>
          </w:p>
        </w:tc>
        <w:tc>
          <w:tcPr>
            <w:tcW w:w="1200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85"/>
        </w:trPr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833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В допълнение към този ОДУ държавите членки, които разполагат с квота за морски език в VIIa, могат съвместно да решат да предоставят общо 7 тона на един или повече кораби, извършващи научни изследвания в областта на рибарството, които са обект на оценка от страна на НТИКР, с цел да се подобри научната информация за този запас (SOL/*07A.). Преди да дадат разрешение за разтоварване, съответните държави членки уведомяват Комисията за името (имената) на кораба (корабите).“</w:t>
            </w:r>
          </w:p>
        </w:tc>
      </w:tr>
      <w:tr>
        <w:trPr>
          <w:trHeight w:val="270"/>
        </w:trPr>
        <w:tc>
          <w:tcPr>
            <w:tcW w:w="84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82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1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8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</w:tbl>
    <w:p>
      <w:pPr>
        <w:pStyle w:val="Text2"/>
        <w:rPr>
          <w:noProof/>
          <w:color w:val="000000"/>
          <w:u w:color="000000"/>
        </w:rPr>
      </w:pPr>
      <w:r>
        <w:rPr>
          <w:noProof/>
          <w:color w:val="000000"/>
          <w:u w:color="000000"/>
        </w:rPr>
        <w:t>е)</w:t>
      </w:r>
      <w:r>
        <w:rPr>
          <w:noProof/>
        </w:rPr>
        <w:tab/>
        <w:t>н</w:t>
      </w:r>
      <w:r>
        <w:rPr>
          <w:noProof/>
          <w:color w:val="000000"/>
          <w:u w:color="000000"/>
        </w:rPr>
        <w:t>е се отнася за българския текст;</w:t>
      </w:r>
    </w:p>
    <w:p>
      <w:pPr>
        <w:pStyle w:val="Text2"/>
        <w:rPr>
          <w:noProof/>
          <w:color w:val="000000"/>
          <w:u w:color="000000"/>
        </w:rPr>
      </w:pPr>
      <w:r>
        <w:rPr>
          <w:noProof/>
          <w:color w:val="000000"/>
          <w:u w:color="000000"/>
        </w:rPr>
        <w:t>ж)</w:t>
      </w:r>
      <w:r>
        <w:rPr>
          <w:noProof/>
        </w:rPr>
        <w:tab/>
        <w:t>н</w:t>
      </w:r>
      <w:r>
        <w:rPr>
          <w:noProof/>
          <w:color w:val="000000"/>
          <w:u w:color="000000"/>
        </w:rPr>
        <w:t>е се отнася за българския текст;</w:t>
      </w:r>
    </w:p>
    <w:p>
      <w:pPr>
        <w:pStyle w:val="Text2"/>
        <w:rPr>
          <w:rFonts w:eastAsia="Times New Roman"/>
          <w:noProof/>
          <w:color w:val="000000"/>
          <w:szCs w:val="24"/>
          <w:u w:color="000000"/>
        </w:rPr>
      </w:pPr>
      <w:r>
        <w:rPr>
          <w:noProof/>
          <w:color w:val="000000"/>
          <w:u w:color="000000"/>
        </w:rPr>
        <w:t>з)</w:t>
      </w:r>
      <w:r>
        <w:rPr>
          <w:noProof/>
        </w:rPr>
        <w:tab/>
      </w:r>
      <w:r>
        <w:rPr>
          <w:noProof/>
          <w:color w:val="000000"/>
          <w:u w:color="000000"/>
        </w:rPr>
        <w:t>таблицата за възможностите за риболов на черноморска бодлива акула във водите на Съюза и международните води от I, V, VI, VII, VIII, XII и XIV се заменя със следното:</w:t>
      </w:r>
    </w:p>
    <w:tbl>
      <w:tblPr>
        <w:tblW w:w="9181" w:type="dxa"/>
        <w:tblInd w:w="108" w:type="dxa"/>
        <w:tblLook w:val="04A0" w:firstRow="1" w:lastRow="0" w:firstColumn="1" w:lastColumn="0" w:noHBand="0" w:noVBand="1"/>
      </w:tblPr>
      <w:tblGrid>
        <w:gridCol w:w="1103"/>
        <w:gridCol w:w="1684"/>
        <w:gridCol w:w="508"/>
        <w:gridCol w:w="1164"/>
        <w:gridCol w:w="1185"/>
        <w:gridCol w:w="1179"/>
        <w:gridCol w:w="1179"/>
        <w:gridCol w:w="1179"/>
      </w:tblGrid>
      <w:tr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„Вид: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Черноморска бодлива акула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Зона:</w:t>
            </w:r>
          </w:p>
        </w:tc>
        <w:tc>
          <w:tcPr>
            <w:tcW w:w="358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Води на Съюза и международни води от I, V, VI, VII, VIII, XII и XIV </w:t>
            </w:r>
          </w:p>
        </w:tc>
      </w:tr>
      <w:tr>
        <w:trPr>
          <w:trHeight w:val="270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Squalus acanthias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(DGS/15X14)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99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Белгия</w:t>
            </w:r>
          </w:p>
        </w:tc>
        <w:tc>
          <w:tcPr>
            <w:tcW w:w="170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13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0</w:t>
            </w:r>
          </w:p>
        </w:tc>
        <w:tc>
          <w:tcPr>
            <w:tcW w:w="1180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(1)(2)</w:t>
            </w:r>
          </w:p>
        </w:tc>
        <w:tc>
          <w:tcPr>
            <w:tcW w:w="2396" w:type="dxa"/>
            <w:gridSpan w:val="2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Аналитичен ОДУ</w:t>
            </w: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99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Германия</w:t>
            </w:r>
          </w:p>
        </w:tc>
        <w:tc>
          <w:tcPr>
            <w:tcW w:w="170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13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0</w:t>
            </w:r>
          </w:p>
        </w:tc>
        <w:tc>
          <w:tcPr>
            <w:tcW w:w="1180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(1)(2)</w:t>
            </w:r>
          </w:p>
        </w:tc>
        <w:tc>
          <w:tcPr>
            <w:tcW w:w="4786" w:type="dxa"/>
            <w:gridSpan w:val="4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Член 3 от Регламент (ЕО) № 847/96 не се прилага.</w:t>
            </w:r>
          </w:p>
        </w:tc>
      </w:tr>
      <w:tr>
        <w:trPr>
          <w:trHeight w:val="270"/>
        </w:trPr>
        <w:tc>
          <w:tcPr>
            <w:tcW w:w="99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Испания</w:t>
            </w:r>
          </w:p>
        </w:tc>
        <w:tc>
          <w:tcPr>
            <w:tcW w:w="170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13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0</w:t>
            </w:r>
          </w:p>
        </w:tc>
        <w:tc>
          <w:tcPr>
            <w:tcW w:w="1180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(1)(2)</w:t>
            </w:r>
          </w:p>
        </w:tc>
        <w:tc>
          <w:tcPr>
            <w:tcW w:w="4786" w:type="dxa"/>
            <w:gridSpan w:val="4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Член 4 от Регламент (ЕО) № 847/96 не се прилага.</w:t>
            </w:r>
          </w:p>
        </w:tc>
      </w:tr>
      <w:tr>
        <w:trPr>
          <w:trHeight w:val="270"/>
        </w:trPr>
        <w:tc>
          <w:tcPr>
            <w:tcW w:w="99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Франция</w:t>
            </w:r>
          </w:p>
        </w:tc>
        <w:tc>
          <w:tcPr>
            <w:tcW w:w="170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13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0</w:t>
            </w:r>
          </w:p>
        </w:tc>
        <w:tc>
          <w:tcPr>
            <w:tcW w:w="1180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(1)(2)</w:t>
            </w:r>
          </w:p>
        </w:tc>
        <w:tc>
          <w:tcPr>
            <w:tcW w:w="4786" w:type="dxa"/>
            <w:gridSpan w:val="4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Прилага се член 12, параграф 1 от настоящия регламент.</w:t>
            </w:r>
          </w:p>
        </w:tc>
      </w:tr>
      <w:tr>
        <w:trPr>
          <w:trHeight w:val="270"/>
        </w:trPr>
        <w:tc>
          <w:tcPr>
            <w:tcW w:w="99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Ирландия</w:t>
            </w:r>
          </w:p>
        </w:tc>
        <w:tc>
          <w:tcPr>
            <w:tcW w:w="170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13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0</w:t>
            </w:r>
          </w:p>
        </w:tc>
        <w:tc>
          <w:tcPr>
            <w:tcW w:w="1180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(1)(2)</w:t>
            </w:r>
          </w:p>
        </w:tc>
        <w:tc>
          <w:tcPr>
            <w:tcW w:w="120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2702" w:type="dxa"/>
            <w:gridSpan w:val="2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Нидерландия</w:t>
            </w:r>
          </w:p>
        </w:tc>
        <w:tc>
          <w:tcPr>
            <w:tcW w:w="513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0</w:t>
            </w:r>
          </w:p>
        </w:tc>
        <w:tc>
          <w:tcPr>
            <w:tcW w:w="1180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(1)(2)</w:t>
            </w:r>
          </w:p>
        </w:tc>
        <w:tc>
          <w:tcPr>
            <w:tcW w:w="120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99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Португалия</w:t>
            </w:r>
          </w:p>
        </w:tc>
        <w:tc>
          <w:tcPr>
            <w:tcW w:w="170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13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0</w:t>
            </w:r>
          </w:p>
        </w:tc>
        <w:tc>
          <w:tcPr>
            <w:tcW w:w="1180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(1)(2)</w:t>
            </w:r>
          </w:p>
        </w:tc>
        <w:tc>
          <w:tcPr>
            <w:tcW w:w="120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2702" w:type="dxa"/>
            <w:gridSpan w:val="2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Обединено кралство</w:t>
            </w:r>
          </w:p>
        </w:tc>
        <w:tc>
          <w:tcPr>
            <w:tcW w:w="513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0</w:t>
            </w:r>
          </w:p>
        </w:tc>
        <w:tc>
          <w:tcPr>
            <w:tcW w:w="1180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(1)(2)</w:t>
            </w:r>
          </w:p>
        </w:tc>
        <w:tc>
          <w:tcPr>
            <w:tcW w:w="120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99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Съюз</w:t>
            </w:r>
          </w:p>
        </w:tc>
        <w:tc>
          <w:tcPr>
            <w:tcW w:w="170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13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0</w:t>
            </w:r>
          </w:p>
        </w:tc>
        <w:tc>
          <w:tcPr>
            <w:tcW w:w="1180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(1)(2)</w:t>
            </w:r>
          </w:p>
        </w:tc>
        <w:tc>
          <w:tcPr>
            <w:tcW w:w="120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99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70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1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80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99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ОДУ</w:t>
            </w:r>
          </w:p>
        </w:tc>
        <w:tc>
          <w:tcPr>
            <w:tcW w:w="170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13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0</w:t>
            </w:r>
          </w:p>
        </w:tc>
        <w:tc>
          <w:tcPr>
            <w:tcW w:w="1180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(1)(2)</w:t>
            </w:r>
          </w:p>
        </w:tc>
        <w:tc>
          <w:tcPr>
            <w:tcW w:w="120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99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8188" w:type="dxa"/>
            <w:gridSpan w:val="7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Черноморската бодлива акула не представлява целеви улов в зоните, в които се прилага този ОДУ. Когато са уловени случайно при риболов, при който черноморската бодлива акула все още не е предмет на задължението за разтоварване, екземплярите не се нараняват и се освобождават незабавно. Предходните разпоредби не засягат забраните, предвидени в членове 13 и 46 от настоящия регламент, за посочените в тях зони.</w:t>
            </w:r>
          </w:p>
        </w:tc>
      </w:tr>
      <w:tr>
        <w:trPr>
          <w:trHeight w:val="285"/>
        </w:trPr>
        <w:tc>
          <w:tcPr>
            <w:tcW w:w="99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818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 xml:space="preserve">Посредством дерогация корабите, участващи в подложената на оценка от НТИКР програма за избягване на прилова, могат да разтоварват месечно не повече от 2 тона черноморски бодливи акули, които са мъртви към момента на изтегляне на риболовния уред на борда. Държавите членки, участващи в програмата за избягване на прилова, гарантират, че общото годишно количество на разтоварванията на черноморска бодлива акула съгласно тази дерогация не надвишава количествата, посочени по-долу. Преди да дадат разрешение за разтоварване, те изпращат на Комисията списък на </w:t>
            </w:r>
            <w:r>
              <w:rPr>
                <w:noProof/>
                <w:sz w:val="18"/>
                <w:vertAlign w:val="superscript"/>
              </w:rPr>
              <w:lastRenderedPageBreak/>
              <w:t>участващите кораби. Държавите членки обменят информация относно зоните за избягване.</w:t>
            </w:r>
          </w:p>
        </w:tc>
      </w:tr>
      <w:tr>
        <w:trPr>
          <w:trHeight w:val="270"/>
        </w:trPr>
        <w:tc>
          <w:tcPr>
            <w:tcW w:w="99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709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Вид:</w:t>
            </w:r>
          </w:p>
        </w:tc>
        <w:tc>
          <w:tcPr>
            <w:tcW w:w="169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Черноморска бодлива акула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Зона:</w:t>
            </w:r>
          </w:p>
        </w:tc>
        <w:tc>
          <w:tcPr>
            <w:tcW w:w="358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Води на Съюза и международни води от I, V, VI, VII, VIII, XII и XIV</w:t>
            </w:r>
          </w:p>
        </w:tc>
      </w:tr>
      <w:tr>
        <w:trPr>
          <w:trHeight w:val="285"/>
        </w:trPr>
        <w:tc>
          <w:tcPr>
            <w:tcW w:w="99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Squalus acanthias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(DGS/*15X14)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99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709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Белгия</w:t>
            </w:r>
          </w:p>
        </w:tc>
        <w:tc>
          <w:tcPr>
            <w:tcW w:w="51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80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20</w:t>
            </w:r>
          </w:p>
        </w:tc>
        <w:tc>
          <w:tcPr>
            <w:tcW w:w="2396" w:type="dxa"/>
            <w:gridSpan w:val="2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Аналитичен ОДУ</w:t>
            </w: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99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709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Германия</w:t>
            </w:r>
          </w:p>
        </w:tc>
        <w:tc>
          <w:tcPr>
            <w:tcW w:w="51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80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4</w:t>
            </w:r>
          </w:p>
        </w:tc>
        <w:tc>
          <w:tcPr>
            <w:tcW w:w="4786" w:type="dxa"/>
            <w:gridSpan w:val="4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Член 3 от Регламент (ЕО) № 847/96 не се прилага.</w:t>
            </w:r>
          </w:p>
        </w:tc>
      </w:tr>
      <w:tr>
        <w:trPr>
          <w:trHeight w:val="270"/>
        </w:trPr>
        <w:tc>
          <w:tcPr>
            <w:tcW w:w="99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709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Испания</w:t>
            </w:r>
          </w:p>
        </w:tc>
        <w:tc>
          <w:tcPr>
            <w:tcW w:w="51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80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10</w:t>
            </w:r>
          </w:p>
        </w:tc>
        <w:tc>
          <w:tcPr>
            <w:tcW w:w="4786" w:type="dxa"/>
            <w:gridSpan w:val="4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Член 4 от Регламент (ЕО) № 847/96 не се прилага.</w:t>
            </w:r>
          </w:p>
        </w:tc>
      </w:tr>
      <w:tr>
        <w:trPr>
          <w:trHeight w:val="270"/>
        </w:trPr>
        <w:tc>
          <w:tcPr>
            <w:tcW w:w="99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709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Франция</w:t>
            </w:r>
          </w:p>
        </w:tc>
        <w:tc>
          <w:tcPr>
            <w:tcW w:w="51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80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83</w:t>
            </w:r>
          </w:p>
        </w:tc>
        <w:tc>
          <w:tcPr>
            <w:tcW w:w="4786" w:type="dxa"/>
            <w:gridSpan w:val="4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Прилага се член 12, параграф 1 от настоящия регламент.</w:t>
            </w:r>
          </w:p>
        </w:tc>
      </w:tr>
      <w:tr>
        <w:trPr>
          <w:trHeight w:val="270"/>
        </w:trPr>
        <w:tc>
          <w:tcPr>
            <w:tcW w:w="99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709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Ирландия</w:t>
            </w:r>
          </w:p>
        </w:tc>
        <w:tc>
          <w:tcPr>
            <w:tcW w:w="51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80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53</w:t>
            </w:r>
          </w:p>
        </w:tc>
        <w:tc>
          <w:tcPr>
            <w:tcW w:w="120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99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222" w:type="dxa"/>
            <w:gridSpan w:val="2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Нидерландия</w:t>
            </w:r>
          </w:p>
        </w:tc>
        <w:tc>
          <w:tcPr>
            <w:tcW w:w="1180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0</w:t>
            </w:r>
          </w:p>
        </w:tc>
        <w:tc>
          <w:tcPr>
            <w:tcW w:w="120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99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709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Португалия</w:t>
            </w:r>
          </w:p>
        </w:tc>
        <w:tc>
          <w:tcPr>
            <w:tcW w:w="51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80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0</w:t>
            </w:r>
          </w:p>
        </w:tc>
        <w:tc>
          <w:tcPr>
            <w:tcW w:w="120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99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222" w:type="dxa"/>
            <w:gridSpan w:val="2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Обединено кралство</w:t>
            </w:r>
          </w:p>
        </w:tc>
        <w:tc>
          <w:tcPr>
            <w:tcW w:w="1180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100</w:t>
            </w:r>
          </w:p>
        </w:tc>
        <w:tc>
          <w:tcPr>
            <w:tcW w:w="120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99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709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Съюз</w:t>
            </w:r>
          </w:p>
        </w:tc>
        <w:tc>
          <w:tcPr>
            <w:tcW w:w="51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80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270</w:t>
            </w:r>
          </w:p>
        </w:tc>
        <w:tc>
          <w:tcPr>
            <w:tcW w:w="120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99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70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1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80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8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ОДУ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270“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99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709" w:type="dxa"/>
            <w:noWrap/>
            <w:vAlign w:val="bottom"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1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80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</w:tbl>
    <w:p>
      <w:pPr>
        <w:pStyle w:val="Text2"/>
        <w:rPr>
          <w:rFonts w:eastAsia="Times New Roman"/>
          <w:noProof/>
          <w:color w:val="000000"/>
          <w:szCs w:val="24"/>
          <w:u w:color="000000"/>
        </w:rPr>
      </w:pPr>
    </w:p>
    <w:p>
      <w:pPr>
        <w:pStyle w:val="Point0"/>
        <w:rPr>
          <w:noProof/>
        </w:rPr>
      </w:pPr>
      <w:r>
        <w:rPr>
          <w:noProof/>
        </w:rPr>
        <w:t>3.</w:t>
      </w:r>
      <w:r>
        <w:rPr>
          <w:noProof/>
        </w:rPr>
        <w:tab/>
        <w:t>В приложение IV към Регламент (ЕС) 2016/72 таблица Б в точка 6 се заменя със следното:</w:t>
      </w:r>
    </w:p>
    <w:p>
      <w:pPr>
        <w:pStyle w:val="Point0"/>
        <w:jc w:val="center"/>
        <w:rPr>
          <w:i/>
          <w:iCs/>
          <w:noProof/>
          <w:sz w:val="19"/>
          <w:szCs w:val="19"/>
        </w:rPr>
      </w:pPr>
      <w:r>
        <w:rPr>
          <w:noProof/>
          <w:sz w:val="19"/>
        </w:rPr>
        <w:t>„</w:t>
      </w:r>
      <w:r>
        <w:rPr>
          <w:i/>
          <w:noProof/>
          <w:sz w:val="19"/>
        </w:rPr>
        <w:t>Таблица Б</w:t>
      </w:r>
    </w:p>
    <w:p>
      <w:pPr>
        <w:pStyle w:val="Point0"/>
        <w:jc w:val="center"/>
        <w:rPr>
          <w:noProof/>
        </w:rPr>
      </w:pP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4590"/>
      </w:tblGrid>
      <w:tr>
        <w:tc>
          <w:tcPr>
            <w:tcW w:w="9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0" w:line="276" w:lineRule="auto"/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Максимално количество за въвеждане на уловен див червен тон (в тонове)</w:t>
            </w:r>
          </w:p>
        </w:tc>
      </w:tr>
      <w:tr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0"/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Испания</w:t>
            </w:r>
          </w:p>
        </w:tc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0"/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5 855</w:t>
            </w:r>
          </w:p>
        </w:tc>
      </w:tr>
      <w:tr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0"/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Италия</w:t>
            </w:r>
          </w:p>
        </w:tc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0"/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3 764</w:t>
            </w:r>
          </w:p>
        </w:tc>
      </w:tr>
      <w:tr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0"/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Гърция</w:t>
            </w:r>
          </w:p>
        </w:tc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0"/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785</w:t>
            </w:r>
          </w:p>
        </w:tc>
      </w:tr>
      <w:tr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0"/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Кипър</w:t>
            </w:r>
          </w:p>
        </w:tc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0"/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2 195</w:t>
            </w:r>
          </w:p>
        </w:tc>
      </w:tr>
      <w:tr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0"/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Хърватия</w:t>
            </w:r>
          </w:p>
        </w:tc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0"/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2 947</w:t>
            </w:r>
          </w:p>
        </w:tc>
      </w:tr>
      <w:tr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0"/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Малта</w:t>
            </w:r>
          </w:p>
        </w:tc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0"/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8 768</w:t>
            </w:r>
          </w:p>
        </w:tc>
      </w:tr>
      <w:tr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0"/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Португалия</w:t>
            </w:r>
          </w:p>
        </w:tc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0"/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500</w:t>
            </w:r>
          </w:p>
        </w:tc>
      </w:tr>
    </w:tbl>
    <w:p>
      <w:pPr>
        <w:widowControl w:val="0"/>
        <w:tabs>
          <w:tab w:val="left" w:pos="360"/>
        </w:tabs>
        <w:spacing w:before="0" w:after="240"/>
        <w:ind w:left="360"/>
        <w:rPr>
          <w:rFonts w:eastAsia="Arial Unicode MS"/>
          <w:noProof/>
          <w:color w:val="000000"/>
          <w:sz w:val="22"/>
          <w:u w:color="000000"/>
        </w:rPr>
      </w:pPr>
      <w:r>
        <w:rPr>
          <w:noProof/>
          <w:color w:val="000000"/>
          <w:sz w:val="22"/>
          <w:u w:color="000000"/>
        </w:rPr>
        <w:t>“</w:t>
      </w:r>
    </w:p>
    <w:p>
      <w:pPr>
        <w:jc w:val="center"/>
        <w:rPr>
          <w:b/>
          <w:noProof/>
        </w:rPr>
      </w:pPr>
      <w:r>
        <w:rPr>
          <w:b/>
          <w:noProof/>
        </w:rPr>
        <w:t>ПРИЛОЖЕНИЕ II</w:t>
      </w:r>
    </w:p>
    <w:p>
      <w:pPr>
        <w:pStyle w:val="SectionTitle"/>
        <w:rPr>
          <w:noProof/>
        </w:rPr>
      </w:pPr>
      <w:r>
        <w:rPr>
          <w:noProof/>
        </w:rPr>
        <w:t>Изменения на приложението към Регламент (ЕС) 2015/2072</w:t>
      </w:r>
    </w:p>
    <w:p>
      <w:pPr>
        <w:rPr>
          <w:noProof/>
        </w:rPr>
      </w:pPr>
      <w:r>
        <w:rPr>
          <w:noProof/>
        </w:rPr>
        <w:t>Приложението към Регламент (ЕС) 2015/2072 се изменя, както следва:</w:t>
      </w:r>
    </w:p>
    <w:p>
      <w:pPr>
        <w:pStyle w:val="Text2"/>
        <w:rPr>
          <w:rStyle w:val="Marker"/>
          <w:noProof/>
        </w:rPr>
      </w:pPr>
      <w:r>
        <w:rPr>
          <w:noProof/>
        </w:rPr>
        <w:lastRenderedPageBreak/>
        <w:t>а)</w:t>
      </w:r>
      <w:r>
        <w:rPr>
          <w:noProof/>
        </w:rPr>
        <w:tab/>
        <w:t xml:space="preserve">таблицата </w:t>
      </w:r>
      <w:r>
        <w:rPr>
          <w:noProof/>
          <w:color w:val="000000"/>
          <w:u w:color="000000"/>
        </w:rPr>
        <w:t>за възможностите за риболов на херинга в подучастък 28.1 се заменя със следното:</w:t>
      </w: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34"/>
        <w:gridCol w:w="949"/>
        <w:gridCol w:w="817"/>
        <w:gridCol w:w="1192"/>
        <w:gridCol w:w="1671"/>
        <w:gridCol w:w="839"/>
        <w:gridCol w:w="839"/>
        <w:gridCol w:w="902"/>
      </w:tblGrid>
      <w:tr>
        <w:trPr>
          <w:trHeight w:val="233"/>
        </w:trPr>
        <w:tc>
          <w:tcPr>
            <w:tcW w:w="1100" w:type="pct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>
            <w:pPr>
              <w:pageBreakBefore/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lastRenderedPageBreak/>
              <w:t>„Вид:</w:t>
            </w:r>
          </w:p>
        </w:tc>
        <w:tc>
          <w:tcPr>
            <w:tcW w:w="513" w:type="pct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>
            <w:pPr>
              <w:pageBreakBefore/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Херинга</w:t>
            </w:r>
          </w:p>
        </w:tc>
        <w:tc>
          <w:tcPr>
            <w:tcW w:w="442" w:type="pct"/>
            <w:tcBorders>
              <w:top w:val="single" w:sz="18" w:space="0" w:color="auto"/>
              <w:left w:val="nil"/>
              <w:bottom w:val="nil"/>
              <w:right w:val="single" w:sz="6" w:space="0" w:color="auto"/>
            </w:tcBorders>
          </w:tcPr>
          <w:p>
            <w:pPr>
              <w:pageBreakBefore/>
              <w:spacing w:before="40" w:after="40"/>
              <w:rPr>
                <w:noProof/>
                <w:sz w:val="20"/>
              </w:rPr>
            </w:pPr>
          </w:p>
        </w:tc>
        <w:tc>
          <w:tcPr>
            <w:tcW w:w="645" w:type="pct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  <w:hideMark/>
          </w:tcPr>
          <w:p>
            <w:pPr>
              <w:pageBreakBefore/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Зона:</w:t>
            </w:r>
          </w:p>
        </w:tc>
        <w:tc>
          <w:tcPr>
            <w:tcW w:w="2300" w:type="pct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>
            <w:pPr>
              <w:pageBreakBefore/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Подучастък 28.1</w:t>
            </w:r>
          </w:p>
        </w:tc>
      </w:tr>
      <w:tr>
        <w:trPr>
          <w:trHeight w:val="233"/>
        </w:trPr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Clupea harengus</w:t>
            </w:r>
          </w:p>
        </w:tc>
        <w:tc>
          <w:tcPr>
            <w:tcW w:w="645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HER/03D.RG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Естония</w:t>
            </w:r>
          </w:p>
        </w:tc>
        <w:tc>
          <w:tcPr>
            <w:tcW w:w="513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  <w:hideMark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16 124</w:t>
            </w:r>
          </w:p>
        </w:tc>
        <w:tc>
          <w:tcPr>
            <w:tcW w:w="442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  <w:hideMark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Латвия</w:t>
            </w:r>
          </w:p>
        </w:tc>
        <w:tc>
          <w:tcPr>
            <w:tcW w:w="513" w:type="pct"/>
            <w:vAlign w:val="bottom"/>
            <w:hideMark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18 791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  <w:hideMark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  <w:hideMark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Съюз</w:t>
            </w:r>
          </w:p>
        </w:tc>
        <w:tc>
          <w:tcPr>
            <w:tcW w:w="513" w:type="pct"/>
            <w:vAlign w:val="bottom"/>
            <w:hideMark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34 915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  <w:hideMark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ОДУ</w:t>
            </w:r>
          </w:p>
        </w:tc>
        <w:tc>
          <w:tcPr>
            <w:tcW w:w="513" w:type="pct"/>
            <w:hideMark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34 915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  <w:hideMark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Аналитичен ОДУ“ </w:t>
            </w:r>
          </w:p>
        </w:tc>
      </w:tr>
      <w:tr>
        <w:trPr>
          <w:trHeight w:val="233"/>
        </w:trPr>
        <w:tc>
          <w:tcPr>
            <w:tcW w:w="1100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pStyle w:val="Text2"/>
        <w:rPr>
          <w:rStyle w:val="Marker"/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таблицата </w:t>
      </w:r>
      <w:r>
        <w:rPr>
          <w:noProof/>
          <w:color w:val="000000"/>
          <w:u w:color="000000"/>
        </w:rPr>
        <w:t>за възможностите за риболов на цаца във водите на Съюза от подучастъци 22—32 се заменя със следното</w:t>
      </w:r>
      <w:r>
        <w:rPr>
          <w:noProof/>
        </w:rPr>
        <w:t>:</w:t>
      </w: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23"/>
        <w:gridCol w:w="946"/>
        <w:gridCol w:w="837"/>
        <w:gridCol w:w="1157"/>
        <w:gridCol w:w="3339"/>
        <w:gridCol w:w="941"/>
      </w:tblGrid>
      <w:tr>
        <w:trPr>
          <w:trHeight w:val="233"/>
        </w:trPr>
        <w:tc>
          <w:tcPr>
            <w:tcW w:w="1094" w:type="pct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>
            <w:pPr>
              <w:pageBreakBefore/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lastRenderedPageBreak/>
              <w:t>„Вид:</w:t>
            </w:r>
          </w:p>
        </w:tc>
        <w:tc>
          <w:tcPr>
            <w:tcW w:w="512" w:type="pct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>
            <w:pPr>
              <w:pageBreakBefore/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Цаца</w:t>
            </w:r>
          </w:p>
        </w:tc>
        <w:tc>
          <w:tcPr>
            <w:tcW w:w="453" w:type="pct"/>
            <w:tcBorders>
              <w:top w:val="single" w:sz="18" w:space="0" w:color="auto"/>
              <w:left w:val="nil"/>
              <w:bottom w:val="nil"/>
              <w:right w:val="single" w:sz="6" w:space="0" w:color="auto"/>
            </w:tcBorders>
          </w:tcPr>
          <w:p>
            <w:pPr>
              <w:pageBreakBefore/>
              <w:spacing w:before="40" w:after="40"/>
              <w:rPr>
                <w:noProof/>
                <w:sz w:val="20"/>
              </w:rPr>
            </w:pPr>
          </w:p>
        </w:tc>
        <w:tc>
          <w:tcPr>
            <w:tcW w:w="626" w:type="pct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  <w:hideMark/>
          </w:tcPr>
          <w:p>
            <w:pPr>
              <w:pageBreakBefore/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Зона:</w:t>
            </w:r>
          </w:p>
        </w:tc>
        <w:tc>
          <w:tcPr>
            <w:tcW w:w="1806" w:type="pct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>
            <w:pPr>
              <w:pageBreakBefore/>
              <w:spacing w:before="40" w:after="40"/>
              <w:rPr>
                <w:i/>
                <w:noProof/>
                <w:sz w:val="20"/>
              </w:rPr>
            </w:pPr>
            <w:r>
              <w:rPr>
                <w:noProof/>
                <w:sz w:val="20"/>
              </w:rPr>
              <w:t>Води на Съюза от подучастъци 22—32</w:t>
            </w:r>
          </w:p>
        </w:tc>
        <w:tc>
          <w:tcPr>
            <w:tcW w:w="509" w:type="pct"/>
            <w:tcBorders>
              <w:top w:val="single" w:sz="18" w:space="0" w:color="auto"/>
              <w:left w:val="nil"/>
              <w:bottom w:val="nil"/>
              <w:right w:val="nil"/>
            </w:tcBorders>
          </w:tcPr>
          <w:p>
            <w:pPr>
              <w:pageBreakBefore/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Sprattus sprattus</w:t>
            </w:r>
          </w:p>
        </w:tc>
        <w:tc>
          <w:tcPr>
            <w:tcW w:w="62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15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SPR/3B23.; SPR/3C22.; SPR/3D24.; SPR/3D25.; SPR/3D26.; SPR/3D27.; SPR/3D28.; SPR/3D29.; SPR/3D30.; SPR/3D31.; SPR/3D32.</w:t>
            </w:r>
          </w:p>
        </w:tc>
      </w:tr>
      <w:tr>
        <w:trPr>
          <w:trHeight w:val="233"/>
        </w:trPr>
        <w:tc>
          <w:tcPr>
            <w:tcW w:w="1094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Дания</w:t>
            </w:r>
          </w:p>
        </w:tc>
        <w:tc>
          <w:tcPr>
            <w:tcW w:w="512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  <w:hideMark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19 958</w:t>
            </w:r>
          </w:p>
        </w:tc>
        <w:tc>
          <w:tcPr>
            <w:tcW w:w="45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hideMark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Германия</w:t>
            </w:r>
          </w:p>
        </w:tc>
        <w:tc>
          <w:tcPr>
            <w:tcW w:w="512" w:type="pct"/>
            <w:vAlign w:val="bottom"/>
            <w:hideMark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12 644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hideMark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Естония</w:t>
            </w:r>
          </w:p>
        </w:tc>
        <w:tc>
          <w:tcPr>
            <w:tcW w:w="512" w:type="pct"/>
            <w:vAlign w:val="bottom"/>
            <w:hideMark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23 175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hideMark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Финландия</w:t>
            </w:r>
          </w:p>
        </w:tc>
        <w:tc>
          <w:tcPr>
            <w:tcW w:w="512" w:type="pct"/>
            <w:vAlign w:val="bottom"/>
            <w:hideMark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10 447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hideMark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Латвия</w:t>
            </w:r>
          </w:p>
        </w:tc>
        <w:tc>
          <w:tcPr>
            <w:tcW w:w="512" w:type="pct"/>
            <w:vAlign w:val="bottom"/>
            <w:hideMark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27 990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hideMark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Литва</w:t>
            </w:r>
          </w:p>
        </w:tc>
        <w:tc>
          <w:tcPr>
            <w:tcW w:w="512" w:type="pct"/>
            <w:vAlign w:val="bottom"/>
            <w:hideMark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10 125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hideMark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Полша</w:t>
            </w:r>
          </w:p>
        </w:tc>
        <w:tc>
          <w:tcPr>
            <w:tcW w:w="512" w:type="pct"/>
            <w:vAlign w:val="bottom"/>
            <w:hideMark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59 399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hideMark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Швеция</w:t>
            </w:r>
          </w:p>
        </w:tc>
        <w:tc>
          <w:tcPr>
            <w:tcW w:w="512" w:type="pct"/>
            <w:vAlign w:val="bottom"/>
            <w:hideMark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38 582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2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hideMark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Съюз</w:t>
            </w:r>
          </w:p>
        </w:tc>
        <w:tc>
          <w:tcPr>
            <w:tcW w:w="512" w:type="pct"/>
            <w:vAlign w:val="bottom"/>
            <w:hideMark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202 320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Прилага се член 6, параграф 3 от настоящия регламент.</w:t>
            </w: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2" w:type="pct"/>
            <w:vAlign w:val="bottom"/>
          </w:tcPr>
          <w:p>
            <w:pPr>
              <w:spacing w:before="40" w:after="40"/>
              <w:jc w:val="right"/>
              <w:rPr>
                <w:noProof/>
                <w:snapToGrid w:val="0"/>
                <w:sz w:val="20"/>
              </w:rPr>
            </w:pP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hideMark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ОДУ</w:t>
            </w:r>
          </w:p>
        </w:tc>
        <w:tc>
          <w:tcPr>
            <w:tcW w:w="965" w:type="pct"/>
            <w:gridSpan w:val="2"/>
            <w:hideMark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napToGrid w:val="0"/>
                <w:sz w:val="20"/>
              </w:rPr>
              <w:t>Не се прилага</w:t>
            </w:r>
          </w:p>
        </w:tc>
        <w:tc>
          <w:tcPr>
            <w:tcW w:w="2941" w:type="pct"/>
            <w:gridSpan w:val="3"/>
            <w:hideMark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Аналитичен ОДУ“</w:t>
            </w:r>
          </w:p>
        </w:tc>
      </w:tr>
      <w:tr>
        <w:trPr>
          <w:trHeight w:val="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pStyle w:val="Text2"/>
        <w:ind w:left="0"/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2F3EDF7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64435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E0497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F90B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77218B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89264A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5A0BD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7ACFC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6-29 15:44:39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5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17E5090F9F024B62B634C8A35D15BEB6"/>
    <w:docVar w:name="LW_CROSSREFERENCE" w:val="&lt;UNUSED&gt;"/>
    <w:docVar w:name="LW_DocType" w:val="ANNEX"/>
    <w:docVar w:name="LW_EMISSION" w:val="6.7.2016"/>
    <w:docVar w:name="LW_EMISSION_ISODATE" w:val="2016-07-06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0?\u1079?\u1084?\u1077?\u1085?\u1077?\u1085?\u1080?\u1077? \u1085?\u1072? \u1088?\u1077?\u1075?\u1083?\u1072?\u1084?\u1077?\u1085?\u1090?\u1080? (\u1045?\u1057?) 2016/72 \u1080? (\u1045?\u1057?) 2015/2072 \u1087?\u1086? \u1086?\u1090?\u1085?\u1086?\u1096?\u1077?\u1085?\u1080?\u1077? \u1085?\u1072? \u1086?\u1087?\u1088?\u1077?\u1076?\u1077?\u1083?\u1077?\u1085?\u1080? \u1074?\u1098?\u1079?\u1084?\u1086?\u1078?\u1085?\u1086?\u1089?\u1090?\u1080? \u1079?\u1072? \u1088?\u1080?\u1073?\u1086?\u1083?\u1086?\u1074?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6) 441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71?"/>
    <w:docVar w:name="LW_TYPEACTEPRINCIPAL.CP" w:val="\u1055?\u1088?\u1077?\u1076?\u1083?\u1086?\u1078?\u1077?\u1085?\u1080?\u1077? \u1079?\u1072? \u1088?\u1077?\u1075?\u1083?\u1072?\u1084?\u1077?\u1085?\u109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val="bg-BG"/>
    </w:rPr>
  </w:style>
  <w:style w:type="character" w:customStyle="1" w:styleId="st">
    <w:name w:val="st"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  <w:rPr>
      <w:rFonts w:eastAsia="Calibri"/>
    </w:r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  <w:rPr>
      <w:rFonts w:eastAsia="Calibri"/>
    </w:r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  <w:rPr>
      <w:rFonts w:eastAsia="Calibri"/>
    </w:r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  <w:rPr>
      <w:rFonts w:eastAsia="Calibri"/>
    </w:rPr>
  </w:style>
  <w:style w:type="paragraph" w:customStyle="1" w:styleId="Lignefinal">
    <w:name w:val="Ligne final"/>
    <w:basedOn w:val="Normal"/>
    <w:next w:val="Normal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rFonts w:eastAsia="Times New Roman"/>
      <w:b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val="bg-BG"/>
    </w:rPr>
  </w:style>
  <w:style w:type="character" w:customStyle="1" w:styleId="st">
    <w:name w:val="st"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  <w:rPr>
      <w:rFonts w:eastAsia="Calibri"/>
    </w:r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  <w:rPr>
      <w:rFonts w:eastAsia="Calibri"/>
    </w:r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  <w:rPr>
      <w:rFonts w:eastAsia="Calibri"/>
    </w:r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  <w:rPr>
      <w:rFonts w:eastAsia="Calibri"/>
    </w:rPr>
  </w:style>
  <w:style w:type="paragraph" w:customStyle="1" w:styleId="Lignefinal">
    <w:name w:val="Ligne final"/>
    <w:basedOn w:val="Normal"/>
    <w:next w:val="Normal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rFonts w:eastAsia="Times New Roman"/>
      <w:b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8</Pages>
  <Words>1253</Words>
  <Characters>6170</Characters>
  <Application>Microsoft Office Word</Application>
  <DocSecurity>0</DocSecurity>
  <Lines>771</Lines>
  <Paragraphs>353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KISIELIAUSKAS Mindaugas (HR)</dc:creator>
  <cp:lastModifiedBy>DIGIT/A3</cp:lastModifiedBy>
  <cp:revision>7</cp:revision>
  <cp:lastPrinted>2016-06-21T12:16:00Z</cp:lastPrinted>
  <dcterms:created xsi:type="dcterms:W3CDTF">2016-06-22T09:12:00Z</dcterms:created>
  <dcterms:modified xsi:type="dcterms:W3CDTF">2016-06-29T13:44:00Z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2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