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D23C65048C4C52AAB848A2975AAB99" style="width:450.8pt;height:379.9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La Haye du 25 octobre 1980 sur les aspects civils de l’enlèvement international d’enfants (ci-après la «convention de 1980»), à ce jour ratifiée par 93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pBdr>
          <w:top w:val="nil"/>
          <w:left w:val="nil"/>
          <w:bottom w:val="nil"/>
          <w:right w:val="nil"/>
          <w:between w:val="nil"/>
          <w:bar w:val="nil"/>
        </w:pBdr>
        <w:spacing w:before="0" w:after="240"/>
        <w:rPr>
          <w:rFonts w:eastAsia="Arial Unicode MS"/>
          <w:noProof/>
        </w:rPr>
      </w:pPr>
      <w:r>
        <w:rPr>
          <w:noProof/>
        </w:rPr>
        <w:t>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w:t>
      </w:r>
    </w:p>
    <w:p>
      <w:pPr>
        <w:pBdr>
          <w:top w:val="nil"/>
          <w:left w:val="nil"/>
          <w:bottom w:val="nil"/>
          <w:right w:val="nil"/>
          <w:between w:val="nil"/>
          <w:bar w:val="nil"/>
        </w:pBdr>
        <w:spacing w:before="0" w:after="240"/>
        <w:rPr>
          <w:rFonts w:eastAsia="Arial Unicode MS"/>
          <w:noProof/>
        </w:rPr>
      </w:pPr>
      <w:r>
        <w:rPr>
          <w:noProof/>
        </w:rPr>
        <w:t>Le Kazakhstan a déposé l’instrument d’adhésion à la convention de 1980 le 3 juin 2013. La convention est entrée en vigueur au Kazakhstan le 1</w:t>
      </w:r>
      <w:r>
        <w:rPr>
          <w:noProof/>
          <w:vertAlign w:val="superscript"/>
        </w:rPr>
        <w:t>er</w:t>
      </w:r>
      <w:r>
        <w:rPr>
          <w:noProof/>
        </w:rPr>
        <w:t> septembre 2013.</w:t>
      </w:r>
    </w:p>
    <w:p>
      <w:pPr>
        <w:pBdr>
          <w:top w:val="nil"/>
          <w:left w:val="nil"/>
          <w:bottom w:val="nil"/>
          <w:right w:val="nil"/>
          <w:between w:val="nil"/>
          <w:bar w:val="nil"/>
        </w:pBdr>
        <w:spacing w:before="0" w:after="240"/>
        <w:rPr>
          <w:rFonts w:eastAsia="Arial Unicode MS"/>
          <w:noProof/>
        </w:rPr>
      </w:pPr>
      <w:r>
        <w:rPr>
          <w:noProof/>
        </w:rPr>
        <w:t>L’article 38, alinéa 4, de la convention de 1980 prévoit que celle-ci s’applique dans les rapports entre l’État adhérent et les États contractants qui auront déclaré accepter cette adhésion.</w:t>
      </w:r>
    </w:p>
    <w:p>
      <w:pPr>
        <w:pBdr>
          <w:top w:val="nil"/>
          <w:left w:val="nil"/>
          <w:bottom w:val="nil"/>
          <w:right w:val="nil"/>
          <w:between w:val="nil"/>
          <w:bar w:val="nil"/>
        </w:pBdr>
        <w:spacing w:before="0" w:after="240"/>
        <w:rPr>
          <w:rFonts w:eastAsia="Arial Unicode MS"/>
          <w:noProof/>
        </w:rPr>
      </w:pPr>
      <w:r>
        <w:rPr>
          <w:noProof/>
        </w:rPr>
        <w:t>La question de l’enlèvement international d’enfants relevant de la compétence externe exclusive de l’Union européenne, la décision d’accepter ou non l’adhésion du Kazakhstan doit être prise au niveau de l’UE par la voie d’une décision du Conseil. Il convient donc que les États membres déposent la déclaration d’acceptation relative à l’adhésion du Kazakhstan dans l’intérêt de l’Union européenne.</w:t>
      </w:r>
    </w:p>
    <w:p>
      <w:pPr>
        <w:pBdr>
          <w:top w:val="nil"/>
          <w:left w:val="nil"/>
          <w:bottom w:val="nil"/>
          <w:right w:val="nil"/>
          <w:between w:val="nil"/>
          <w:bar w:val="nil"/>
        </w:pBdr>
        <w:spacing w:before="0" w:after="240"/>
        <w:rPr>
          <w:rFonts w:eastAsia="Arial Unicode MS"/>
          <w:bCs/>
          <w:noProof/>
        </w:rPr>
      </w:pPr>
      <w:r>
        <w:rPr>
          <w:noProof/>
        </w:rPr>
        <w:t>L’existence de la compétence exclusive de l’Union européenne en matière d’acceptation de l’adhésion d’un État tiers à la convention de 1980 a été confirmée par la Cour de justice de l’Union européenne, qui a été consultée à l’initiative de la Commission.</w:t>
      </w:r>
    </w:p>
    <w:p>
      <w:pPr>
        <w:pBdr>
          <w:top w:val="nil"/>
          <w:left w:val="nil"/>
          <w:bottom w:val="nil"/>
          <w:right w:val="nil"/>
          <w:between w:val="nil"/>
          <w:bar w:val="nil"/>
        </w:pBdr>
        <w:spacing w:before="0" w:after="240"/>
        <w:rPr>
          <w:rFonts w:eastAsia="Arial Unicode MS"/>
          <w:bCs/>
          <w:noProof/>
        </w:rPr>
      </w:pPr>
      <w:r>
        <w:rPr>
          <w:noProof/>
        </w:rPr>
        <w:t xml:space="preserve">Le 14 octobre 2014, dans son avis 1/13, la Cour de justice de l’Union européenne a ainsi confirmé que </w:t>
      </w:r>
      <w:r>
        <w:rPr>
          <w:i/>
          <w:noProof/>
        </w:rPr>
        <w:t>l’acceptation de l’adhésion d’un État tiers à la convention de La Haye de 1980 sur les aspects civils de l’enlèvement international d’enfants relève de la compétence exclusive de l’Union européenne</w:t>
      </w:r>
      <w:r>
        <w:rPr>
          <w:noProof/>
        </w:rPr>
        <w:t>.</w:t>
      </w:r>
    </w:p>
    <w:p>
      <w:pPr>
        <w:pBdr>
          <w:top w:val="nil"/>
          <w:left w:val="nil"/>
          <w:bottom w:val="nil"/>
          <w:right w:val="nil"/>
          <w:between w:val="nil"/>
          <w:bar w:val="nil"/>
        </w:pBdr>
        <w:spacing w:before="0" w:after="240"/>
        <w:rPr>
          <w:rFonts w:eastAsia="Arial Unicode MS"/>
          <w:bCs/>
          <w:noProof/>
        </w:rPr>
      </w:pPr>
      <w:r>
        <w:rPr>
          <w:noProof/>
        </w:rPr>
        <w:t xml:space="preserve">La Cour a insisté sur la nécessité d’uniformité en la matière au niveau de l’UE, afin d’éviter une </w:t>
      </w:r>
      <w:r>
        <w:rPr>
          <w:i/>
          <w:noProof/>
        </w:rPr>
        <w:t>géométrie variable</w:t>
      </w:r>
      <w:r>
        <w:rPr>
          <w:noProof/>
        </w:rPr>
        <w:t xml:space="preserve"> entre les États membres. L’objectif de la présente décision est de faire en sorte que la convention de 1980 entre en vigueur entre le Kazakhstan et l’ensemble des États membres de l’UE.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bCs/>
          <w:noProof/>
        </w:rPr>
      </w:pPr>
      <w:r>
        <w:rPr>
          <w:noProof/>
        </w:rPr>
        <w:t>En ce qui concerne les enlèvements parentaux, la convention de La Haye de 1980 est le pendant international du règlement n° 2201/2003 du Conseil (dit «règlement Bruxelles II </w:t>
      </w:r>
      <w:r>
        <w:rPr>
          <w:i/>
          <w:noProof/>
        </w:rPr>
        <w:t>bis</w:t>
      </w:r>
      <w:r>
        <w:rPr>
          <w:noProof/>
        </w:rPr>
        <w:t>»), lequel constitue la pierre angulaire de la coopération judiciaire de l’UE en matière matrimoniale et en matière de responsabilité parentale</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bCs/>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rFonts w:eastAsia="Arial Unicode MS"/>
          <w:bCs/>
          <w:noProof/>
        </w:rPr>
      </w:pPr>
      <w:r>
        <w:rPr>
          <w:noProof/>
        </w:rPr>
        <w:t>Au niveau international, l’Union européenne soutient l’adhésion d’États tiers à la convention de 1980 afin que ses États membres puissent se fonder sur un cadre juridique commun pour traiter les enlèvements internationaux d’enfants.</w:t>
      </w:r>
    </w:p>
    <w:p>
      <w:pPr>
        <w:pBdr>
          <w:top w:val="nil"/>
          <w:left w:val="nil"/>
          <w:bottom w:val="nil"/>
          <w:right w:val="nil"/>
          <w:between w:val="nil"/>
          <w:bar w:val="nil"/>
        </w:pBdr>
        <w:spacing w:before="0" w:after="240"/>
        <w:rPr>
          <w:rFonts w:eastAsia="Arial Unicode MS"/>
          <w:bCs/>
          <w:noProof/>
        </w:rPr>
      </w:pPr>
      <w:r>
        <w:rPr>
          <w:noProof/>
        </w:rPr>
        <w:t>Le 21 décembre 2011, la Commission a adopté 8 propositions de décisions du Conseil en vue de l’acceptation de l’adhésion de 8 pays tiers (Maroc, Singapour, Fédération de Russie, Albanie, Andorre, Seychelles, Gabon et Arménie) à la convention de La Haye de 1980 sur l’enlèvement international d’enfants</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Entre juin et décembre 2015, 7 décisions, fondées sur les propositions susmentionnées, ont été adoptées par le Conseil de l’Union européenne</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 xml:space="preserve">La présente proposition prend en considération un pays tiers (le Kazakhstan) qui a adhéré à la convention de 1980 </w:t>
      </w:r>
      <w:r>
        <w:rPr>
          <w:noProof/>
          <w:u w:val="single"/>
        </w:rPr>
        <w:t>après</w:t>
      </w:r>
      <w:r>
        <w:rPr>
          <w:noProof/>
        </w:rPr>
        <w:t xml:space="preserve"> l’adoption des propositions de 2011.</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À côté de l’objectif général consistant à développer une coopération judiciaire dans les matières civiles ayant une incidence transfrontière au titre de l’article 81 du TFUE, la présente proposition est liée à l’objectif de protection des droits de l’enfant inscrit à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pBdr>
          <w:top w:val="nil"/>
          <w:left w:val="nil"/>
          <w:bottom w:val="nil"/>
          <w:right w:val="nil"/>
          <w:between w:val="nil"/>
          <w:bar w:val="nil"/>
        </w:pBdr>
        <w:spacing w:before="0" w:after="240"/>
        <w:rPr>
          <w:rFonts w:eastAsia="Arial Unicode MS"/>
          <w:noProof/>
        </w:rPr>
      </w:pPr>
      <w:r>
        <w:rPr>
          <w:noProof/>
        </w:rPr>
        <w:t>La proposition est également cohérente avec la promotion du recours à la médiation pour le règlement des litiges familiaux transfrontières. La directive sur certains aspects de la médiation en matière civile et commerciale</w:t>
      </w:r>
      <w:r>
        <w:rPr>
          <w:rStyle w:val="FootnoteReference"/>
          <w:noProof/>
        </w:rPr>
        <w:footnoteReference w:id="4"/>
      </w:r>
      <w:r>
        <w:rPr>
          <w:noProof/>
        </w:rPr>
        <w:t xml:space="preserve"> s’applique, entre autres,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5"/>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w:t>
      </w:r>
    </w:p>
    <w:p>
      <w:pPr>
        <w:pBdr>
          <w:top w:val="nil"/>
          <w:left w:val="nil"/>
          <w:bottom w:val="nil"/>
          <w:right w:val="nil"/>
          <w:between w:val="nil"/>
          <w:bar w:val="nil"/>
        </w:pBdr>
        <w:spacing w:before="0" w:after="240"/>
        <w:rPr>
          <w:rFonts w:eastAsia="Arial Unicode MS"/>
          <w:b/>
          <w:noProof/>
        </w:rPr>
      </w:pPr>
      <w:r>
        <w:rPr>
          <w:b/>
          <w:noProof/>
        </w:rPr>
        <w:t>•</w:t>
      </w:r>
      <w:r>
        <w:rPr>
          <w:noProof/>
        </w:rPr>
        <w:tab/>
      </w:r>
      <w:r>
        <w:rPr>
          <w:b/>
          <w:noProof/>
        </w:rPr>
        <w:t>Subsidiarité</w:t>
      </w:r>
    </w:p>
    <w:p>
      <w:pPr>
        <w:pBdr>
          <w:top w:val="nil"/>
          <w:left w:val="nil"/>
          <w:bottom w:val="nil"/>
          <w:right w:val="nil"/>
          <w:between w:val="nil"/>
          <w:bar w:val="nil"/>
        </w:pBdr>
        <w:spacing w:before="0" w:after="240"/>
        <w:rPr>
          <w:rFonts w:eastAsia="Arial Unicode MS"/>
          <w:noProof/>
        </w:rPr>
      </w:pPr>
      <w:r>
        <w:rPr>
          <w:noProof/>
        </w:rPr>
        <w:t>L’initiative relève de la compétence exclusive de l’Union conformément à l’article 3, paragraphe 2, du TFUE, comme la Cour de justice de l’Union européenne l’a confirmé dans son avis 1/13. Par conséquent,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tous les États membres de l’UE acceptent l’adhésion du Kazakhstan à la convention de La Haye de 1980 dans un délai déterminé.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Pour que l’UE puisse prendre une décision en connaissance de cause quant à l’acceptation ou non de l’adhésion d’un pays tiers à la convention de 1980, il est nécessaire d’effectuer les travaux préparatoires adéquats.</w:t>
      </w:r>
    </w:p>
    <w:p>
      <w:pPr>
        <w:pBdr>
          <w:top w:val="nil"/>
          <w:left w:val="nil"/>
          <w:bottom w:val="nil"/>
          <w:right w:val="nil"/>
          <w:between w:val="nil"/>
          <w:bar w:val="nil"/>
        </w:pBdr>
        <w:spacing w:before="0" w:after="240"/>
        <w:rPr>
          <w:rFonts w:eastAsia="Arial Unicode MS"/>
          <w:noProof/>
        </w:rPr>
      </w:pPr>
      <w:r>
        <w:rPr>
          <w:noProof/>
        </w:rPr>
        <w:t>Lors d’une réunion d’experts du 20 janvier 2015, la Commission et les États membres de l’UE se sont mis d’accord sur un ensemble de critères de référence pour évaluer la situation du pays tiers qui a adhéré à la convention. La consultation menée auprès des États membres et les discussions qui ont eu lieu lors d’une réunion d’experts du 15 janvier 2016 ont montré que – à ce stade – il n’y a pas d’objections de la part des États membres quant à l’acceptation de l’adhésion du Kazakhstan à la convention de 1980.</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Les informations pertinentes concernant le niveau de mise en œuvre de la convention au Kazakhstan ont été recueillies au moyen de plusieurs sources. En premier lieu, des informations ont été recueillies par la délégation de l’UE au Kazakhstan, eu égard, en particulier, à la promulgation des dispositions d’application, au fonctionnement de l’autorité centrale, à la procédure d’exécution dans les affaires d’enlèvement d’enfants et à la possibilité pour les étrangers d’accéder à l’aide juridictionnelle. Les résultats de l’enquête ont été satisfaisants et, même s’il existe quelques préoccupations concernant les difficultés pour localiser un enfant sur un territoire aussi vaste, celles-ci ne sont pas de nature à empêcher l’acceptation de l’adhésion du Kazakhstan.</w:t>
      </w:r>
    </w:p>
    <w:p>
      <w:pPr>
        <w:pBdr>
          <w:top w:val="nil"/>
          <w:left w:val="nil"/>
          <w:bottom w:val="nil"/>
          <w:right w:val="nil"/>
          <w:between w:val="nil"/>
          <w:bar w:val="nil"/>
        </w:pBdr>
        <w:spacing w:before="0" w:after="240"/>
        <w:rPr>
          <w:rFonts w:eastAsia="Arial Unicode MS"/>
          <w:noProof/>
        </w:rPr>
      </w:pPr>
      <w:r>
        <w:rPr>
          <w:noProof/>
        </w:rPr>
        <w:t>Les États membres ont également recueilli des informations sur la situation au Kazakhstan et le résultat en a été examiné lors de la réunion d’experts du 15 janvier 2016.</w:t>
      </w:r>
    </w:p>
    <w:p>
      <w:pPr>
        <w:pBdr>
          <w:top w:val="nil"/>
          <w:left w:val="nil"/>
          <w:bottom w:val="nil"/>
          <w:right w:val="nil"/>
          <w:between w:val="nil"/>
          <w:bar w:val="nil"/>
        </w:pBdr>
        <w:spacing w:before="0" w:after="240"/>
        <w:rPr>
          <w:rFonts w:eastAsia="Arial Unicode MS"/>
          <w:noProof/>
        </w:rPr>
      </w:pPr>
      <w:r>
        <w:rPr>
          <w:noProof/>
        </w:rPr>
        <w:t>D’autres informations sont parvenues du bureau permanent de la conférence de La Haye de droit international privé.</w:t>
      </w:r>
      <w:r>
        <w:rPr>
          <w:rFonts w:ascii="Calibri" w:hAnsi="Calibri"/>
          <w:noProof/>
          <w:color w:val="1F497D"/>
          <w:sz w:val="22"/>
        </w:rPr>
        <w:t xml:space="preserve"> </w:t>
      </w:r>
      <w:r>
        <w:rPr>
          <w:noProof/>
        </w:rPr>
        <w:t>Le Kazakhstan collabore étroitement avec l’Unicef sur la mise en œuvre de la convention de 1980. Des lignes directrices sur la mise en œuvre de la convention ont été élaborées. Sous l’égide de l’Unicef, un échange de connaissances entre les autorités et les juges kazakhs et des juges d’autres États contractants à la convention de 1980 a été planifié dans le but d’examiner le rôle que jouent les juges dans la mise en œuvre et l’application de la convention de 1980 et des dispositions pertinentes du droit national. En outre, le Kazakhstan a désigné un juge pour le réseau international de juges de La Haye. En octobre 2015, le secrétaire général de la conférence de La Haye de droit international privé a rencontré l’autorité centrale et a été informé que le profil de l’État était en préparation et que les dispositions d’application étaient en vigueur. En novembre 2015, un séminaire régional de trois jours a été organisé au Kazakhstan avec la participation du Tadjikistan, du Turkménistan, de la Russie et de la Biélorussie afin de promouvoir les principales conventions de La Haye, notamment celle de 1980. Selon le bureau permanent de la conférence de La Haye de droit international privé, le Kazakhstan est un État motivé qui ne ménage pas ses efforts pour mettre en œuvre la convention de 1980 comme il se doit.</w:t>
      </w:r>
    </w:p>
    <w:p>
      <w:pPr>
        <w:pBdr>
          <w:top w:val="nil"/>
          <w:left w:val="nil"/>
          <w:bottom w:val="nil"/>
          <w:right w:val="nil"/>
          <w:between w:val="nil"/>
          <w:bar w:val="nil"/>
        </w:pBdr>
        <w:spacing w:before="0" w:after="240"/>
        <w:rPr>
          <w:rFonts w:eastAsia="Arial Unicode MS"/>
          <w:b/>
          <w:noProof/>
          <w:u w:color="000000"/>
          <w:bdr w:val="nil"/>
        </w:rPr>
      </w:pPr>
      <w:r>
        <w:rPr>
          <w:noProof/>
        </w:rPr>
        <w:t>•</w:t>
      </w:r>
      <w:r>
        <w:rPr>
          <w:noProof/>
        </w:rPr>
        <w:tab/>
      </w:r>
      <w:r>
        <w:rPr>
          <w:b/>
          <w:noProof/>
          <w:u w:color="000000"/>
          <w:bdr w:val="nil"/>
        </w:rPr>
        <w:t>Analyse d’impact</w:t>
      </w:r>
    </w:p>
    <w:p>
      <w:pPr>
        <w:pBdr>
          <w:top w:val="nil"/>
          <w:left w:val="nil"/>
          <w:bottom w:val="nil"/>
          <w:right w:val="nil"/>
          <w:between w:val="nil"/>
          <w:bar w:val="nil"/>
        </w:pBdr>
        <w:spacing w:before="0" w:after="240"/>
        <w:rPr>
          <w:noProof/>
        </w:rPr>
      </w:pPr>
      <w:r>
        <w:rPr>
          <w:noProof/>
        </w:rPr>
        <w:t>La présente proposition n’a aucune incidence économique, sociale ou environnementale significative qui nécessiterait une analyse d’impact dans le cadre des lignes directrices de la Commission européenne pour une meilleure réglementation. De la même manière que pour les 7 décisions du Conseil déjà adoptées en 2015 concernant l’acceptation de l’adhésion de certains États tiers à la convention de La Haye de 1980, aucune analyse d’impact n’est requise pour la présente proposition compte tenu de la nature du présent acte législatif. En effet, il n’existe pas d’autres options qu’une décision du Conseil pour accepter l’adhésion d’un État tiers à la convention de 1980.</w:t>
      </w:r>
    </w:p>
    <w:p>
      <w:pPr>
        <w:pBdr>
          <w:top w:val="nil"/>
          <w:left w:val="nil"/>
          <w:bottom w:val="nil"/>
          <w:right w:val="nil"/>
          <w:between w:val="nil"/>
          <w:bar w:val="nil"/>
        </w:pBdr>
        <w:spacing w:before="0" w:after="240"/>
        <w:rPr>
          <w:noProof/>
        </w:rPr>
      </w:pPr>
      <w:r>
        <w:rPr>
          <w:noProof/>
        </w:rPr>
        <w:t>Toutefois, une analyse spécifique de la situation du Kazakhstan, visant à vérifier si celui-ci est capable d’appliquer la convention de 1980 de manière satisfaisante, a été réalisée conjointement par la Commission et les États membres selon les modalités décrites ci-dessus.</w:t>
      </w:r>
    </w:p>
    <w:p>
      <w:pPr>
        <w:pBdr>
          <w:top w:val="nil"/>
          <w:left w:val="nil"/>
          <w:bottom w:val="nil"/>
          <w:right w:val="nil"/>
          <w:between w:val="nil"/>
          <w:bar w:val="nil"/>
        </w:pBdr>
        <w:tabs>
          <w:tab w:val="left" w:pos="850"/>
        </w:tabs>
        <w:spacing w:before="0" w:after="240"/>
        <w:rPr>
          <w:rFonts w:eastAsia="Arial Unicode MS"/>
          <w:b/>
          <w:noProof/>
        </w:rPr>
      </w:pPr>
      <w:r>
        <w:rPr>
          <w:b/>
          <w:noProof/>
        </w:rPr>
        <w:t>4.</w:t>
      </w:r>
      <w:r>
        <w:rPr>
          <w:noProof/>
        </w:rPr>
        <w:tab/>
      </w:r>
      <w:r>
        <w:rPr>
          <w:b/>
          <w:noProof/>
        </w:rPr>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que la proposition porte uniquement sur l’autorisation donnée aux États membres d’accepter l’adhésion du Kazakhstan à la convention de 1980, le suivi de sa mise en œuvre est limité au respect par les États membres des termes de la déclaration et du calendrier pour déposer celle-ci et communiquer son dépôt à la Commission, comme le prévoit la décision du Conseil.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certains États membres à accepter, dans l’intérêt de l’Union européenne, l’adhésion du Kazakhstan à la convention de La Haye de 1980 sur les aspects civils de l’enlèvement international d’enfants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6"/>
      </w:r>
      <w:r>
        <w:rPr>
          <w:noProof/>
        </w:rPr>
        <w:t>,</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L’Union a adopté le règlement (CE) n° 2201/2003 du Conseil</w:t>
      </w:r>
      <w:r>
        <w:rPr>
          <w:rStyle w:val="FootnoteReference"/>
          <w:noProof/>
        </w:rPr>
        <w:footnoteReference w:id="7"/>
      </w:r>
      <w:r>
        <w:rPr>
          <w:noProof/>
        </w:rPr>
        <w:t xml:space="preserve"> (dit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(CE) n° 2201/2003 complète et renforce la convention de La Haye du 25 octobre 1980 sur les aspects civils de l’enlèvement international d’enfants (ci-après la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t>(6)</w:t>
      </w:r>
      <w:r>
        <w:tab/>
      </w:r>
      <w:r>
        <w:rPr>
          <w:noProof/>
        </w:rPr>
        <w:t>Un cadre juridique commun applicable entre les États membres de l’Union et des États tiers peut être considéré comme constituant la meilleure solution dans des affaires délicates d’enlèvement international d’enfants.</w:t>
      </w:r>
    </w:p>
    <w:p>
      <w:pPr>
        <w:pStyle w:val="ManualConsidrant"/>
        <w:rPr>
          <w:noProof/>
        </w:rPr>
      </w:pPr>
      <w:r>
        <w:t>(7)</w:t>
      </w:r>
      <w:r>
        <w:tab/>
      </w:r>
      <w:r>
        <w:rPr>
          <w:noProof/>
        </w:rPr>
        <w:t>La convention de La Haye de 1980 prévoit qu’elle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Par conséquent, l’Union ne peut adhérer à ladite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noProof/>
        </w:rPr>
      </w:pPr>
      <w:r>
        <w:t>(10)</w:t>
      </w:r>
      <w:r>
        <w:tab/>
      </w:r>
      <w:r>
        <w:rPr>
          <w:noProof/>
        </w:rPr>
        <w:t>Le Kazakhstan a déposé son instrument d’adhésion à la convention de La Haye de 1980 le 3 juin 2013. Ladite convention est entrée en vigueur pour le Kazakhstan le 1</w:t>
      </w:r>
      <w:r>
        <w:rPr>
          <w:noProof/>
          <w:vertAlign w:val="superscript"/>
        </w:rPr>
        <w:t>er</w:t>
      </w:r>
      <w:r>
        <w:rPr>
          <w:noProof/>
        </w:rPr>
        <w:t> septembre 2013.</w:t>
      </w:r>
    </w:p>
    <w:p>
      <w:pPr>
        <w:pStyle w:val="ManualConsidrant"/>
        <w:rPr>
          <w:noProof/>
        </w:rPr>
      </w:pPr>
      <w:r>
        <w:t>(11)</w:t>
      </w:r>
      <w:r>
        <w:tab/>
      </w:r>
      <w:r>
        <w:rPr>
          <w:noProof/>
        </w:rPr>
        <w:t>Seul le Royaume des Pays-Bas a déjà accepté l’adhésion du Kazakhstan à la convention de La Haye de 1980. Une évaluation de la situation au Kazakhstan a conduit à la conclusion que les États membres qui n’ont pas encore accepté l’adhésion de ce pays sont en mesure d’accepter, dans l’intérêt de l’Union, son adhésion selon les termes de la convention de La Haye de 1980.</w:t>
      </w:r>
    </w:p>
    <w:p>
      <w:pPr>
        <w:pStyle w:val="ManualConsidrant"/>
        <w:rPr>
          <w:noProof/>
        </w:rPr>
      </w:pPr>
      <w:r>
        <w:t>(12)</w:t>
      </w:r>
      <w:r>
        <w:tab/>
      </w:r>
      <w:r>
        <w:rPr>
          <w:noProof/>
        </w:rPr>
        <w:t>Il convient donc que les États membres qui n’ont pas encore accepté l’adhésion du Kazakhstan soient autorisés à l’accepter dans l’intérêt de l’Union et à déposer leur déclaration d’acceptation de l’adhésion du Kazakhstan conformément aux termes fixés dans la présente décision. Il y a lieu que le Royaume des Pays-Bas, qui a déjà accepté l’adhésion du Kazakhstan à la convention de La Haye de 1980, ne dépose pas de nouvelle déclaration d’acceptation puisque la déclaration existante reste valable au regard du droit international public.</w:t>
      </w:r>
    </w:p>
    <w:p>
      <w:pPr>
        <w:pStyle w:val="ManualConsidrant"/>
        <w:rPr>
          <w:noProof/>
        </w:rPr>
      </w:pPr>
      <w:r>
        <w:t>(13)</w:t>
      </w:r>
      <w:r>
        <w:tab/>
      </w:r>
      <w:r>
        <w:rPr>
          <w:noProof/>
        </w:rPr>
        <w:t>Le Royaume-Uni et l’Irlande sont liés par le règlement (CE) n° 2201/2003 et participent donc à l’adoption et à l’application de la présente décision.</w:t>
      </w:r>
    </w:p>
    <w:p>
      <w:pPr>
        <w:pStyle w:val="ManualConsidrant"/>
        <w:rPr>
          <w:noProof/>
        </w:rPr>
      </w:pPr>
      <w:r>
        <w:t>(14)</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1.</w:t>
      </w:r>
      <w:r>
        <w:rPr>
          <w:noProof/>
        </w:rPr>
        <w:tab/>
        <w:t>Les États membres qui ne l’ont pas encore fait sont autorisés à accepter, dans l’intérêt de l’Union, l’adhésion du Kazakhstan à la convention de La Haye du 25 octobre 1980 sur les aspects civils de l’enlèvement international d’enfants (ci-après la «convention de La Haye de 1980»).</w:t>
      </w:r>
    </w:p>
    <w:p>
      <w:pPr>
        <w:rPr>
          <w:noProof/>
        </w:rPr>
      </w:pPr>
      <w:r>
        <w:rPr>
          <w:noProof/>
        </w:rPr>
        <w:t>2.</w:t>
      </w:r>
      <w:r>
        <w:rPr>
          <w:noProof/>
        </w:rPr>
        <w:tab/>
        <w:t>Les États membres visés au paragraphe 1 déposent, au plus tard le …*, une déclaration d’acceptation de l’adhésion du Kazakhstan à la convention de La Haye de 1980 dans l’intérêt de l’Union, libellée comme suit:</w:t>
      </w:r>
    </w:p>
    <w:p>
      <w:pPr>
        <w:rPr>
          <w:noProof/>
        </w:rPr>
      </w:pPr>
      <w:r>
        <w:rPr>
          <w:noProof/>
        </w:rPr>
        <w:t>«</w:t>
      </w:r>
      <w:r>
        <w:rPr>
          <w:i/>
          <w:noProof/>
        </w:rPr>
        <w:t>[Nom complet de l’ÉTAT MEMBRE] déclare accepter l’adhésion du Kazakhstan à la convention de La Haye du 25 octobre 1980 sur les aspects civils de l’enlèvement international d’enfants, conformément à la décision (UE) 2016/…** du Conseil</w:t>
      </w:r>
      <w:r>
        <w:rPr>
          <w:noProof/>
        </w:rPr>
        <w:t>».</w:t>
      </w:r>
    </w:p>
    <w:p>
      <w:pPr>
        <w:rPr>
          <w:noProof/>
        </w:rPr>
      </w:pPr>
      <w:r>
        <w:rPr>
          <w:noProof/>
        </w:rPr>
        <w:t xml:space="preserve">3. </w:t>
      </w:r>
      <w:r>
        <w:rPr>
          <w:noProof/>
        </w:rPr>
        <w:tab/>
        <w:t>Chaque État membre informe le Conseil et la Commission de son dépôt et communique à la Commission, dans les deux mois du dépôt, le texte de sa déclaration.</w:t>
      </w:r>
    </w:p>
    <w:p>
      <w:pPr>
        <w:pStyle w:val="Titrearticle"/>
        <w:rPr>
          <w:noProof/>
        </w:rPr>
      </w:pPr>
      <w:r>
        <w:rPr>
          <w:noProof/>
        </w:rPr>
        <w:t>Article 2</w:t>
      </w:r>
    </w:p>
    <w:p>
      <w:pPr>
        <w:rPr>
          <w:noProof/>
        </w:rPr>
      </w:pPr>
      <w:r>
        <w:rPr>
          <w:noProof/>
        </w:rPr>
        <w:t>L’État membre qui a déposé sa déclaration d’acceptation de l’adhésion du Kazakhstan à la convention de La Haye de 1980 avant la date d’adoption de la présente décision ne fait pas de nouvelle déclaration.</w:t>
      </w:r>
    </w:p>
    <w:p>
      <w:pPr>
        <w:pStyle w:val="Titrearticle"/>
        <w:rPr>
          <w:noProof/>
        </w:rPr>
      </w:pPr>
      <w:r>
        <w:rPr>
          <w:noProof/>
        </w:rPr>
        <w:t>Article 3</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pStyle w:val="Titrearticle"/>
        <w:rPr>
          <w:noProof/>
        </w:rPr>
      </w:pPr>
      <w:bookmarkStart w:id="1" w:name="ControlPages"/>
      <w:bookmarkEnd w:id="1"/>
      <w:r>
        <w:rPr>
          <w:noProof/>
        </w:rPr>
        <w:t>Article 4</w:t>
      </w:r>
    </w:p>
    <w:p>
      <w:pPr>
        <w:rPr>
          <w:noProof/>
        </w:rPr>
      </w:pPr>
      <w:r>
        <w:rPr>
          <w:noProof/>
        </w:rPr>
        <w:t>Les États membres, à l’exception du Royaume des Pays-Bas et du Royaume de Danemark,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338 du 23.12.2003, p. 1.</w:t>
      </w:r>
    </w:p>
  </w:footnote>
  <w:footnote w:id="2">
    <w:p>
      <w:pPr>
        <w:pStyle w:val="FootnoteText"/>
      </w:pPr>
      <w:r>
        <w:rPr>
          <w:rStyle w:val="FootnoteReference"/>
        </w:rPr>
        <w:footnoteRef/>
      </w:r>
      <w:r>
        <w:tab/>
        <w:t>COM(2011) 904, 908, 909, 911, 912, 915, 916 et 917, adoptées le 21 décembre 2011.</w:t>
      </w:r>
    </w:p>
  </w:footnote>
  <w:footnote w:id="3">
    <w:p>
      <w:pPr>
        <w:pStyle w:val="FootnoteText"/>
      </w:pPr>
      <w:r>
        <w:rPr>
          <w:rStyle w:val="FootnoteReference"/>
        </w:rPr>
        <w:footnoteRef/>
      </w:r>
      <w:r>
        <w:tab/>
        <w:t>Décision (UE) 2015/1023 du Conseil du 15 juin 2015; décision (UE) 2015/1024 du Conseil du 15 juin 2015; décision (UE) 2015/2354 du Conseil du 10 décembre 2015; décision (UE) 2015/2355 du Conseil du 10 décembre 2015; décision (UE) 2015/2356 du Conseil du 10 décembre 2015; décision (UE) 2015/2357 du Conseil du 10 décembre 2015; décision (UE) 2015/2358 du Conseil du 10 décembre 2015. La décision concernant le Gabon est temporairement suspendue dans l’attente de la nomination par ce pays de l’autorité centrale à désigner en vertu de l’article 6 de la convention.</w:t>
      </w:r>
    </w:p>
  </w:footnote>
  <w:footnote w:id="4">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5">
    <w:p>
      <w:pPr>
        <w:pStyle w:val="FootnoteText"/>
      </w:pPr>
      <w:r>
        <w:rPr>
          <w:rStyle w:val="FootnoteReference"/>
        </w:rPr>
        <w:footnoteRef/>
      </w:r>
      <w:r>
        <w:tab/>
      </w:r>
      <w:hyperlink r:id="rId1">
        <w:r>
          <w:rPr>
            <w:rStyle w:val="Hyperlink"/>
          </w:rPr>
          <w:t>https://www.hcch.net/fr/publications-and-studies/details4/?pid=5568&amp;dtid=3</w:t>
        </w:r>
      </w:hyperlink>
    </w:p>
  </w:footnote>
  <w:footnote w:id="6">
    <w:p>
      <w:pPr>
        <w:pStyle w:val="FootnoteText"/>
        <w:jc w:val="left"/>
      </w:pPr>
      <w:r>
        <w:rPr>
          <w:rStyle w:val="FootnoteReference"/>
        </w:rPr>
        <w:footnoteRef/>
      </w:r>
      <w:r>
        <w:tab/>
        <w:t>JO C , , p. .</w:t>
      </w:r>
    </w:p>
  </w:footnote>
  <w:footnote w:id="7">
    <w:p>
      <w:pPr>
        <w:pStyle w:val="FootnoteText"/>
        <w:jc w:val="left"/>
      </w:pPr>
      <w:r>
        <w:rPr>
          <w:rStyle w:val="FootnoteReference"/>
        </w:rPr>
        <w:footnoteRef/>
      </w:r>
      <w:r>
        <w:tab/>
        <w:t>Règlement (CE) n° 2201/2003 du Conseil du 27 novembre 2003 relatif à la compétence, la reconnaissance et l’exécution des décisions en matière matrimoniale et en matière de responsabilité parentale abrogeant le règlement (CE) n° 1347/2000 (JO L 338 du 23.12.2003,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64EF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669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962A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6039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A8B4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885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80F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39E4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30 12:59: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6D23C65048C4C52AAB848A2975AAB99"/>
    <w:docVar w:name="LW_CROSSREFERENCE" w:val="&lt;UNUSED&gt;"/>
    <w:docVar w:name="LW_DocType" w:val="COM"/>
    <w:docVar w:name="LW_EMISSION" w:val="7.6.2016"/>
    <w:docVar w:name="LW_EMISSION_ISODATE" w:val="2016-06-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9"/>
    <w:docVar w:name="LW_REF.II.NEW.CP_YEAR" w:val="2016"/>
    <w:docVar w:name="LW_REF.INST.NEW" w:val="COM"/>
    <w:docVar w:name="LW_REF.INST.NEW_ADOPTED" w:val="final"/>
    <w:docVar w:name="LW_REF.INST.NEW_TEXT" w:val="(2016) 368"/>
    <w:docVar w:name="LW_REF.INTERNE" w:val="&lt;UNUSED&gt;"/>
    <w:docVar w:name="LW_SOUS.TITRE.OBJ.CP" w:val="&lt;UNUSED&gt;"/>
    <w:docVar w:name="LW_STATUT.CP" w:val="Proposition de"/>
    <w:docVar w:name="LW_SUPERTITRE" w:val="&lt;UNUSED&gt;"/>
    <w:docVar w:name="LW_TITRE.OBJ.CP" w:val="autorisant certains États membres à accepter, dans l\u8217?intérêt de l\u8217?Union européenne, l\u8217?adhésion du Kazakhstan à la convention de La Haye de 1980 sur les aspects civils de l\u8217?enlèvement international d\u8217?enfant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339">
      <w:bodyDiv w:val="1"/>
      <w:marLeft w:val="0"/>
      <w:marRight w:val="0"/>
      <w:marTop w:val="0"/>
      <w:marBottom w:val="0"/>
      <w:divBdr>
        <w:top w:val="none" w:sz="0" w:space="0" w:color="auto"/>
        <w:left w:val="none" w:sz="0" w:space="0" w:color="auto"/>
        <w:bottom w:val="none" w:sz="0" w:space="0" w:color="auto"/>
        <w:right w:val="none" w:sz="0" w:space="0" w:color="auto"/>
      </w:divBdr>
    </w:div>
    <w:div w:id="295835958">
      <w:bodyDiv w:val="1"/>
      <w:marLeft w:val="0"/>
      <w:marRight w:val="0"/>
      <w:marTop w:val="0"/>
      <w:marBottom w:val="0"/>
      <w:divBdr>
        <w:top w:val="none" w:sz="0" w:space="0" w:color="auto"/>
        <w:left w:val="none" w:sz="0" w:space="0" w:color="auto"/>
        <w:bottom w:val="none" w:sz="0" w:space="0" w:color="auto"/>
        <w:right w:val="none" w:sz="0" w:space="0" w:color="auto"/>
      </w:divBdr>
    </w:div>
    <w:div w:id="961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2933</Words>
  <Characters>15576</Characters>
  <Application>Microsoft Office Word</Application>
  <DocSecurity>0</DocSecurity>
  <Lines>259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2016-04-04T12:57:00Z</cp:lastPrinted>
  <dcterms:created xsi:type="dcterms:W3CDTF">2016-05-26T14:03:00Z</dcterms:created>
  <dcterms:modified xsi:type="dcterms:W3CDTF">2016-05-30T10:59:00Z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