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938" w:rsidRDefault="006B388A">
      <w:pPr>
        <w:pStyle w:val="Pagedecouverture"/>
        <w:rPr>
          <w:noProof/>
          <w:lang w:val="fr-FR"/>
        </w:rPr>
      </w:pPr>
      <w:bookmarkStart w:id="0" w:name="LW_BM_COVERPAGE"/>
      <w:r>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9F24A600EEF4D63AB5F0158201CA403" style="width:450.25pt;height:321.3pt">
            <v:imagedata r:id="rId9" o:title=""/>
          </v:shape>
        </w:pict>
      </w:r>
    </w:p>
    <w:bookmarkEnd w:id="0"/>
    <w:p w:rsidR="008E0938" w:rsidRDefault="008E0938">
      <w:pPr>
        <w:rPr>
          <w:noProof/>
          <w:lang w:val="fr-FR"/>
        </w:rPr>
        <w:sectPr w:rsidR="008E0938">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8E0938" w:rsidRDefault="006B388A">
      <w:pPr>
        <w:spacing w:after="120" w:line="240" w:lineRule="auto"/>
        <w:jc w:val="center"/>
        <w:rPr>
          <w:rFonts w:ascii="Times New Roman" w:hAnsi="Times New Roman" w:cs="Times New Roman"/>
          <w:b/>
          <w:noProof/>
          <w:sz w:val="24"/>
          <w:szCs w:val="24"/>
          <w:lang w:val="fr-FR"/>
        </w:rPr>
      </w:pPr>
      <w:r>
        <w:rPr>
          <w:rFonts w:ascii="Times New Roman" w:hAnsi="Times New Roman" w:cs="Times New Roman"/>
          <w:b/>
          <w:noProof/>
          <w:sz w:val="24"/>
          <w:szCs w:val="24"/>
          <w:lang w:val="fr-FR"/>
        </w:rPr>
        <w:lastRenderedPageBreak/>
        <w:t>Rapport de la Commission au Parlement européen et au Conseil sur la mise en œuvre du règlement (UE)</w:t>
      </w:r>
      <w:r>
        <w:rPr>
          <w:rFonts w:ascii="Times New Roman" w:hAnsi="Times New Roman" w:cs="Times New Roman"/>
          <w:b/>
          <w:noProof/>
          <w:sz w:val="24"/>
          <w:szCs w:val="24"/>
          <w:lang w:val="fr-FR"/>
        </w:rPr>
        <w:t xml:space="preserve"> nº 305/2011 du Parlement européen et du Conseil du 9 mars 2011 établissant des conditions harmonisées de commercialisation pour les produits de construction et abrogeant la directive 89/106/CEE du Conseil</w:t>
      </w:r>
    </w:p>
    <w:p w:rsidR="008E0938" w:rsidRDefault="008E0938">
      <w:pPr>
        <w:spacing w:after="120" w:line="240" w:lineRule="auto"/>
        <w:jc w:val="center"/>
        <w:rPr>
          <w:rFonts w:ascii="Times New Roman" w:hAnsi="Times New Roman" w:cs="Times New Roman"/>
          <w:b/>
          <w:noProof/>
          <w:sz w:val="24"/>
          <w:szCs w:val="24"/>
          <w:lang w:val="fr-FR"/>
        </w:rPr>
      </w:pPr>
    </w:p>
    <w:p w:rsidR="008E0938" w:rsidRDefault="008E0938">
      <w:pPr>
        <w:spacing w:after="120" w:line="240" w:lineRule="auto"/>
        <w:jc w:val="center"/>
        <w:rPr>
          <w:rFonts w:ascii="Times New Roman" w:hAnsi="Times New Roman" w:cs="Times New Roman"/>
          <w:b/>
          <w:noProof/>
          <w:sz w:val="24"/>
          <w:szCs w:val="24"/>
          <w:lang w:val="fr-FR"/>
        </w:rPr>
      </w:pPr>
    </w:p>
    <w:p w:rsidR="008E0938" w:rsidRDefault="006B388A">
      <w:pPr>
        <w:pStyle w:val="ListParagraph"/>
        <w:numPr>
          <w:ilvl w:val="0"/>
          <w:numId w:val="6"/>
        </w:numPr>
        <w:tabs>
          <w:tab w:val="left" w:leader="dot" w:pos="6804"/>
        </w:tabs>
        <w:spacing w:after="240" w:line="240" w:lineRule="auto"/>
        <w:ind w:left="357" w:hanging="357"/>
        <w:jc w:val="both"/>
        <w:rPr>
          <w:rFonts w:ascii="Times New Roman" w:hAnsi="Times New Roman" w:cs="Times New Roman"/>
          <w:b/>
          <w:smallCaps/>
          <w:noProof/>
          <w:sz w:val="24"/>
          <w:szCs w:val="24"/>
          <w:lang w:val="fr-FR"/>
        </w:rPr>
      </w:pPr>
      <w:r>
        <w:rPr>
          <w:rFonts w:ascii="Times New Roman" w:hAnsi="Times New Roman" w:cs="Times New Roman"/>
          <w:b/>
          <w:smallCaps/>
          <w:noProof/>
          <w:sz w:val="24"/>
          <w:szCs w:val="24"/>
          <w:lang w:val="fr-FR"/>
        </w:rPr>
        <w:t>Introduction</w:t>
      </w:r>
    </w:p>
    <w:p w:rsidR="008E0938" w:rsidRDefault="008E0938">
      <w:pPr>
        <w:pStyle w:val="ListParagraph"/>
        <w:spacing w:after="240" w:line="240" w:lineRule="auto"/>
        <w:ind w:left="851"/>
        <w:jc w:val="both"/>
        <w:rPr>
          <w:rFonts w:ascii="Times New Roman" w:hAnsi="Times New Roman" w:cs="Times New Roman"/>
          <w:noProof/>
          <w:sz w:val="24"/>
          <w:szCs w:val="24"/>
          <w:lang w:val="fr-FR"/>
        </w:rPr>
      </w:pPr>
    </w:p>
    <w:p w:rsidR="008E0938" w:rsidRDefault="006B388A">
      <w:pPr>
        <w:pStyle w:val="ListParagraph"/>
        <w:spacing w:after="120" w:line="240" w:lineRule="auto"/>
        <w:ind w:left="0"/>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 xml:space="preserve">Le règlement sur les produits de </w:t>
      </w:r>
      <w:r>
        <w:rPr>
          <w:rFonts w:ascii="Times New Roman" w:hAnsi="Times New Roman" w:cs="Times New Roman"/>
          <w:noProof/>
          <w:sz w:val="24"/>
          <w:szCs w:val="24"/>
          <w:lang w:val="fr-FR"/>
        </w:rPr>
        <w:t>construction</w:t>
      </w:r>
      <w:r>
        <w:rPr>
          <w:rStyle w:val="FootnoteReference"/>
          <w:rFonts w:ascii="Times New Roman" w:hAnsi="Times New Roman" w:cs="Times New Roman"/>
          <w:noProof/>
          <w:sz w:val="24"/>
          <w:szCs w:val="24"/>
          <w:lang w:val="fr-FR"/>
        </w:rPr>
        <w:footnoteReference w:id="2"/>
      </w:r>
      <w:r>
        <w:rPr>
          <w:rFonts w:ascii="Times New Roman" w:hAnsi="Times New Roman" w:cs="Times New Roman"/>
          <w:noProof/>
          <w:sz w:val="24"/>
          <w:szCs w:val="24"/>
          <w:lang w:val="fr-FR"/>
        </w:rPr>
        <w:t xml:space="preserve"> (RPC) a remplacé l’ancienne directive sur les produits de construction (DPC) établissant des conditions harmonisées de commercialisation pour les produits de construction dans l’Union européenne (UE). Le RPC est pleinement appliqué depuis jui</w:t>
      </w:r>
      <w:r>
        <w:rPr>
          <w:rFonts w:ascii="Times New Roman" w:hAnsi="Times New Roman" w:cs="Times New Roman"/>
          <w:noProof/>
          <w:sz w:val="24"/>
          <w:szCs w:val="24"/>
          <w:lang w:val="fr-FR"/>
        </w:rPr>
        <w:t>llet 2013.</w:t>
      </w:r>
    </w:p>
    <w:p w:rsidR="008E0938" w:rsidRDefault="006B388A">
      <w:pPr>
        <w:pStyle w:val="ListParagraph"/>
        <w:spacing w:after="120" w:line="240" w:lineRule="auto"/>
        <w:ind w:left="0"/>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Ce rapport au Parlement européen et au Conseil, requis par l’article 67, paragraphe 2, du RPC, présente l’état d’avancement de la mise en œuvre du RPC, y compris l’expérience acquise, le degré d’accomplissement des objectifs du RPC et les élémen</w:t>
      </w:r>
      <w:r>
        <w:rPr>
          <w:rFonts w:ascii="Times New Roman" w:hAnsi="Times New Roman" w:cs="Times New Roman"/>
          <w:noProof/>
          <w:sz w:val="24"/>
          <w:szCs w:val="24"/>
          <w:lang w:val="fr-FR"/>
        </w:rPr>
        <w:t>ts exigeant des améliorations.</w:t>
      </w:r>
    </w:p>
    <w:p w:rsidR="008E0938" w:rsidRDefault="006B388A">
      <w:pPr>
        <w:pStyle w:val="ListParagraph"/>
        <w:spacing w:after="120" w:line="240" w:lineRule="auto"/>
        <w:ind w:left="0"/>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 xml:space="preserve">Les données factuelles à la base de ce document proviennent des rapports à la Commission soumis par les États membres et les parties prenantes, des commentaires réguliers reçus des États membres et des principales parties </w:t>
      </w:r>
      <w:r>
        <w:rPr>
          <w:rFonts w:ascii="Times New Roman" w:hAnsi="Times New Roman" w:cs="Times New Roman"/>
          <w:noProof/>
          <w:sz w:val="24"/>
          <w:szCs w:val="24"/>
          <w:lang w:val="fr-FR"/>
        </w:rPr>
        <w:t xml:space="preserve">intéressées essentiellement au travers du groupe consultatif, du comité permanent de la construction et du groupe de coopération administrative pour la surveillance des marchés (AdCo-RPC) et d’une étude externe intitulée «Analysis of implementation of the </w:t>
      </w:r>
      <w:r>
        <w:rPr>
          <w:rFonts w:ascii="Times New Roman" w:hAnsi="Times New Roman" w:cs="Times New Roman"/>
          <w:noProof/>
          <w:sz w:val="24"/>
          <w:szCs w:val="24"/>
          <w:lang w:val="fr-FR"/>
        </w:rPr>
        <w:t>Construction Products Regulation», effectuée en juillet 2015</w:t>
      </w:r>
      <w:r>
        <w:rPr>
          <w:rStyle w:val="FootnoteReference"/>
          <w:rFonts w:ascii="Times New Roman" w:hAnsi="Times New Roman" w:cs="Times New Roman"/>
          <w:noProof/>
          <w:sz w:val="24"/>
          <w:szCs w:val="24"/>
          <w:lang w:val="fr-FR"/>
        </w:rPr>
        <w:footnoteReference w:id="3"/>
      </w:r>
      <w:r>
        <w:rPr>
          <w:rFonts w:ascii="Times New Roman" w:hAnsi="Times New Roman" w:cs="Times New Roman"/>
          <w:noProof/>
          <w:sz w:val="24"/>
          <w:szCs w:val="24"/>
          <w:lang w:val="fr-FR"/>
        </w:rPr>
        <w:t>.</w:t>
      </w:r>
    </w:p>
    <w:p w:rsidR="008E0938" w:rsidRDefault="006B388A">
      <w:pPr>
        <w:pStyle w:val="ListParagraph"/>
        <w:spacing w:after="120" w:line="240" w:lineRule="auto"/>
        <w:ind w:left="0"/>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Ce rapport n’aborde pas les questions figurant déjà dans des études spécifiques, des rapports élaborés par la Commission et des rapports qui doivent être publiés plus tard dans l’année, à savoi</w:t>
      </w:r>
      <w:r>
        <w:rPr>
          <w:rFonts w:ascii="Times New Roman" w:hAnsi="Times New Roman" w:cs="Times New Roman"/>
          <w:noProof/>
          <w:sz w:val="24"/>
          <w:szCs w:val="24"/>
          <w:lang w:val="fr-FR"/>
        </w:rPr>
        <w:t>r, notamment le rapport 2014 sur les substances dangereuses</w:t>
      </w:r>
      <w:r>
        <w:rPr>
          <w:rStyle w:val="FootnoteReference"/>
          <w:rFonts w:ascii="Times New Roman" w:hAnsi="Times New Roman" w:cs="Times New Roman"/>
          <w:noProof/>
          <w:sz w:val="24"/>
          <w:szCs w:val="24"/>
          <w:lang w:val="fr-FR"/>
        </w:rPr>
        <w:footnoteReference w:id="4"/>
      </w:r>
      <w:r>
        <w:rPr>
          <w:rFonts w:ascii="Times New Roman" w:hAnsi="Times New Roman" w:cs="Times New Roman"/>
          <w:noProof/>
          <w:sz w:val="24"/>
          <w:szCs w:val="24"/>
          <w:lang w:val="fr-FR"/>
        </w:rPr>
        <w:t>, le rapport relatif aux pouvoirs délégués adopté en 2015</w:t>
      </w:r>
      <w:r>
        <w:rPr>
          <w:rStyle w:val="FootnoteReference"/>
          <w:rFonts w:ascii="Times New Roman" w:hAnsi="Times New Roman" w:cs="Times New Roman"/>
          <w:noProof/>
          <w:sz w:val="24"/>
          <w:szCs w:val="24"/>
          <w:lang w:val="fr-FR"/>
        </w:rPr>
        <w:footnoteReference w:id="5"/>
      </w:r>
      <w:r>
        <w:rPr>
          <w:rFonts w:ascii="Times New Roman" w:hAnsi="Times New Roman" w:cs="Times New Roman"/>
          <w:noProof/>
          <w:sz w:val="24"/>
          <w:szCs w:val="24"/>
          <w:lang w:val="fr-FR"/>
        </w:rPr>
        <w:t xml:space="preserve"> et le prochain rapport sur le financement de l’Organisation européenne pour l’agrément technique (EOTA) attendu d’ici le 1</w:t>
      </w:r>
      <w:r>
        <w:rPr>
          <w:rFonts w:ascii="Times New Roman" w:hAnsi="Times New Roman" w:cs="Times New Roman"/>
          <w:noProof/>
          <w:sz w:val="24"/>
          <w:szCs w:val="24"/>
          <w:vertAlign w:val="superscript"/>
          <w:lang w:val="fr-FR"/>
        </w:rPr>
        <w:t>er </w:t>
      </w:r>
      <w:r>
        <w:rPr>
          <w:rFonts w:ascii="Times New Roman" w:hAnsi="Times New Roman" w:cs="Times New Roman"/>
          <w:noProof/>
          <w:sz w:val="24"/>
          <w:szCs w:val="24"/>
          <w:lang w:val="fr-FR"/>
        </w:rPr>
        <w:t>janvier 2017</w:t>
      </w:r>
      <w:r>
        <w:rPr>
          <w:rStyle w:val="FootnoteReference"/>
          <w:rFonts w:ascii="Times New Roman" w:hAnsi="Times New Roman" w:cs="Times New Roman"/>
          <w:noProof/>
          <w:sz w:val="24"/>
          <w:szCs w:val="24"/>
          <w:lang w:val="fr-FR"/>
        </w:rPr>
        <w:footnoteReference w:id="6"/>
      </w:r>
      <w:r>
        <w:rPr>
          <w:rFonts w:ascii="Times New Roman" w:hAnsi="Times New Roman" w:cs="Times New Roman"/>
          <w:noProof/>
          <w:sz w:val="24"/>
          <w:szCs w:val="24"/>
          <w:lang w:val="fr-FR"/>
        </w:rPr>
        <w:t>.</w:t>
      </w:r>
    </w:p>
    <w:p w:rsidR="006B388A" w:rsidRDefault="006B388A">
      <w:pPr>
        <w:pStyle w:val="ListParagraph"/>
        <w:spacing w:after="120" w:line="240" w:lineRule="auto"/>
        <w:ind w:left="0"/>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 xml:space="preserve">De même, la cohérence de la législation de l’UE applicable au secteur de la construction, y compris le RPC, ainsi que ses coûts et avantages pour le secteur feront l’objet d’un bilan de qualité du secteur de la construction prévu pour 2017. Une étude a </w:t>
      </w:r>
      <w:r>
        <w:rPr>
          <w:rFonts w:ascii="Times New Roman" w:hAnsi="Times New Roman" w:cs="Times New Roman"/>
          <w:noProof/>
          <w:sz w:val="24"/>
          <w:szCs w:val="24"/>
          <w:lang w:val="fr-FR"/>
        </w:rPr>
        <w:t>été lancée en ce qui concerne l’impact économique du RPC, dont les résultats sont attendus d’ici l’été 2016.</w:t>
      </w:r>
    </w:p>
    <w:p w:rsidR="006B388A" w:rsidRDefault="006B388A" w:rsidP="006B388A">
      <w:pPr>
        <w:rPr>
          <w:noProof/>
          <w:lang w:val="fr-FR"/>
        </w:rPr>
      </w:pPr>
      <w:r>
        <w:rPr>
          <w:noProof/>
          <w:lang w:val="fr-FR"/>
        </w:rPr>
        <w:br w:type="page"/>
      </w:r>
    </w:p>
    <w:p w:rsidR="008E0938" w:rsidRDefault="008E0938">
      <w:pPr>
        <w:pStyle w:val="ListParagraph"/>
        <w:spacing w:after="120" w:line="240" w:lineRule="auto"/>
        <w:ind w:left="0"/>
        <w:contextualSpacing w:val="0"/>
        <w:jc w:val="both"/>
        <w:rPr>
          <w:rFonts w:ascii="Times New Roman" w:hAnsi="Times New Roman" w:cs="Times New Roman"/>
          <w:noProof/>
          <w:sz w:val="24"/>
          <w:szCs w:val="24"/>
          <w:lang w:val="fr-FR"/>
        </w:rPr>
      </w:pPr>
    </w:p>
    <w:p w:rsidR="008E0938" w:rsidRDefault="006B388A">
      <w:pPr>
        <w:pStyle w:val="ListParagraph"/>
        <w:numPr>
          <w:ilvl w:val="0"/>
          <w:numId w:val="6"/>
        </w:numPr>
        <w:tabs>
          <w:tab w:val="left" w:leader="dot" w:pos="6804"/>
        </w:tabs>
        <w:spacing w:after="240" w:line="240" w:lineRule="auto"/>
        <w:ind w:left="357" w:hanging="357"/>
        <w:jc w:val="both"/>
        <w:rPr>
          <w:rFonts w:ascii="Times New Roman" w:hAnsi="Times New Roman" w:cs="Times New Roman"/>
          <w:b/>
          <w:smallCaps/>
          <w:noProof/>
          <w:sz w:val="24"/>
          <w:szCs w:val="24"/>
          <w:lang w:val="fr-FR"/>
        </w:rPr>
      </w:pPr>
      <w:r>
        <w:rPr>
          <w:rFonts w:ascii="Times New Roman" w:hAnsi="Times New Roman" w:cs="Times New Roman"/>
          <w:b/>
          <w:smallCaps/>
          <w:noProof/>
          <w:sz w:val="24"/>
          <w:szCs w:val="24"/>
          <w:lang w:val="fr-FR"/>
        </w:rPr>
        <w:t>Approche du RPC</w:t>
      </w:r>
    </w:p>
    <w:p w:rsidR="008E0938" w:rsidRDefault="008E0938">
      <w:pPr>
        <w:pStyle w:val="ListParagraph"/>
        <w:spacing w:after="120" w:line="240" w:lineRule="auto"/>
        <w:ind w:left="0"/>
        <w:contextualSpacing w:val="0"/>
        <w:jc w:val="both"/>
        <w:rPr>
          <w:rFonts w:ascii="Times New Roman" w:hAnsi="Times New Roman" w:cs="Times New Roman"/>
          <w:b/>
          <w:i/>
          <w:noProof/>
          <w:sz w:val="24"/>
          <w:szCs w:val="24"/>
          <w:lang w:val="fr-FR"/>
        </w:rPr>
      </w:pPr>
    </w:p>
    <w:p w:rsidR="008E0938" w:rsidRDefault="006B388A">
      <w:pPr>
        <w:pStyle w:val="ListParagraph"/>
        <w:spacing w:after="120" w:line="240" w:lineRule="auto"/>
        <w:ind w:left="0"/>
        <w:contextualSpacing w:val="0"/>
        <w:jc w:val="both"/>
        <w:rPr>
          <w:rFonts w:ascii="Times New Roman" w:hAnsi="Times New Roman" w:cs="Times New Roman"/>
          <w:b/>
          <w:i/>
          <w:noProof/>
          <w:sz w:val="24"/>
          <w:szCs w:val="24"/>
          <w:lang w:val="fr-FR"/>
        </w:rPr>
      </w:pPr>
      <w:r>
        <w:rPr>
          <w:rFonts w:ascii="Times New Roman" w:hAnsi="Times New Roman" w:cs="Times New Roman"/>
          <w:b/>
          <w:i/>
          <w:noProof/>
          <w:sz w:val="24"/>
          <w:szCs w:val="24"/>
          <w:lang w:val="fr-FR"/>
        </w:rPr>
        <w:t>Les objectifs du RPC</w:t>
      </w:r>
    </w:p>
    <w:p w:rsidR="008E0938" w:rsidRDefault="006B388A">
      <w:pPr>
        <w:pStyle w:val="ListParagraph"/>
        <w:spacing w:after="120" w:line="240" w:lineRule="auto"/>
        <w:ind w:left="0"/>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lastRenderedPageBreak/>
        <w:t>Le principal objectif du RPC demeure le même que celui de la DPC: assurer le bon fonctionnement du marché in</w:t>
      </w:r>
      <w:r>
        <w:rPr>
          <w:rFonts w:ascii="Times New Roman" w:hAnsi="Times New Roman" w:cs="Times New Roman"/>
          <w:noProof/>
          <w:sz w:val="24"/>
          <w:szCs w:val="24"/>
          <w:lang w:val="fr-FR"/>
        </w:rPr>
        <w:t>térieur pour les produits de construction</w:t>
      </w:r>
      <w:r>
        <w:rPr>
          <w:rFonts w:eastAsia="Times New Roman" w:cs="Times New Roman"/>
          <w:noProof/>
          <w:lang w:val="fr-FR"/>
        </w:rPr>
        <w:t xml:space="preserve"> </w:t>
      </w:r>
      <w:r>
        <w:rPr>
          <w:rFonts w:ascii="Times New Roman" w:hAnsi="Times New Roman" w:cs="Times New Roman"/>
          <w:noProof/>
          <w:sz w:val="24"/>
          <w:szCs w:val="24"/>
          <w:lang w:val="fr-FR"/>
        </w:rPr>
        <w:t xml:space="preserve">et améliorer leur libre circulation dans l’UE, en établissant des conditions harmonisées de commercialisation pour les produits de construction. </w:t>
      </w:r>
    </w:p>
    <w:p w:rsidR="008E0938" w:rsidRDefault="006B388A">
      <w:pPr>
        <w:pStyle w:val="ListParagraph"/>
        <w:spacing w:after="120" w:line="240" w:lineRule="auto"/>
        <w:ind w:left="0"/>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Le RPC a également des objectifs opérationnels spécifiques: simplifi</w:t>
      </w:r>
      <w:r>
        <w:rPr>
          <w:rFonts w:ascii="Times New Roman" w:hAnsi="Times New Roman" w:cs="Times New Roman"/>
          <w:noProof/>
          <w:sz w:val="24"/>
          <w:szCs w:val="24"/>
          <w:lang w:val="fr-FR"/>
        </w:rPr>
        <w:t>er le système existant</w:t>
      </w:r>
      <w:r>
        <w:rPr>
          <w:rStyle w:val="FootnoteReference"/>
          <w:rFonts w:ascii="Times New Roman" w:hAnsi="Times New Roman" w:cs="Times New Roman"/>
          <w:noProof/>
          <w:sz w:val="24"/>
          <w:szCs w:val="24"/>
          <w:lang w:val="fr-FR"/>
        </w:rPr>
        <w:footnoteReference w:id="7"/>
      </w:r>
      <w:r>
        <w:rPr>
          <w:rFonts w:ascii="Times New Roman" w:hAnsi="Times New Roman" w:cs="Times New Roman"/>
          <w:noProof/>
          <w:sz w:val="24"/>
          <w:szCs w:val="24"/>
          <w:lang w:val="fr-FR"/>
        </w:rPr>
        <w:t>, clarifier les concepts et les définitions utilisés et accroître la crédibilité de la structure globale. Tous ces objectifs contribuent aussi à la politique de l’UE en faveur des PME visant à assurer des conditions équitables aux PM</w:t>
      </w:r>
      <w:r>
        <w:rPr>
          <w:rFonts w:ascii="Times New Roman" w:hAnsi="Times New Roman" w:cs="Times New Roman"/>
          <w:noProof/>
          <w:sz w:val="24"/>
          <w:szCs w:val="24"/>
          <w:lang w:val="fr-FR"/>
        </w:rPr>
        <w:t>E, en particulier aux microentreprises.</w:t>
      </w:r>
    </w:p>
    <w:p w:rsidR="008E0938" w:rsidRDefault="006B388A">
      <w:pPr>
        <w:pStyle w:val="ListParagraph"/>
        <w:spacing w:after="120" w:line="240" w:lineRule="auto"/>
        <w:ind w:left="0"/>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L’approche du RPC contribue à la stratégie Europe 2020 de l’Union européenne</w:t>
      </w:r>
      <w:r>
        <w:rPr>
          <w:rStyle w:val="FootnoteReference"/>
          <w:rFonts w:ascii="Times New Roman" w:hAnsi="Times New Roman" w:cs="Times New Roman"/>
          <w:noProof/>
          <w:sz w:val="24"/>
          <w:szCs w:val="24"/>
          <w:lang w:val="fr-FR"/>
        </w:rPr>
        <w:footnoteReference w:id="8"/>
      </w:r>
      <w:r>
        <w:rPr>
          <w:rFonts w:ascii="Times New Roman" w:hAnsi="Times New Roman" w:cs="Times New Roman"/>
          <w:noProof/>
          <w:sz w:val="24"/>
          <w:szCs w:val="24"/>
          <w:lang w:val="fr-FR"/>
        </w:rPr>
        <w:t xml:space="preserve"> et aux objectifs de «Construction 2020»</w:t>
      </w:r>
      <w:r>
        <w:rPr>
          <w:rStyle w:val="FootnoteReference"/>
          <w:rFonts w:ascii="Times New Roman" w:hAnsi="Times New Roman" w:cs="Times New Roman"/>
          <w:noProof/>
          <w:sz w:val="24"/>
          <w:szCs w:val="24"/>
          <w:lang w:val="fr-FR"/>
        </w:rPr>
        <w:footnoteReference w:id="9"/>
      </w:r>
      <w:r>
        <w:rPr>
          <w:rFonts w:ascii="Times New Roman" w:hAnsi="Times New Roman" w:cs="Times New Roman"/>
          <w:noProof/>
          <w:sz w:val="24"/>
          <w:szCs w:val="24"/>
          <w:lang w:val="fr-FR"/>
        </w:rPr>
        <w:t>, à savoir la compétitivité durable du secteur de la construction et de ses entreprises.</w:t>
      </w:r>
    </w:p>
    <w:p w:rsidR="008E0938" w:rsidRDefault="006B388A">
      <w:pPr>
        <w:pStyle w:val="ListParagraph"/>
        <w:spacing w:after="120" w:line="240" w:lineRule="auto"/>
        <w:ind w:left="0"/>
        <w:contextualSpacing w:val="0"/>
        <w:jc w:val="both"/>
        <w:rPr>
          <w:rFonts w:ascii="Times New Roman" w:hAnsi="Times New Roman" w:cs="Times New Roman"/>
          <w:b/>
          <w:i/>
          <w:noProof/>
          <w:sz w:val="24"/>
          <w:szCs w:val="24"/>
          <w:lang w:val="fr-FR"/>
        </w:rPr>
      </w:pPr>
      <w:r>
        <w:rPr>
          <w:rFonts w:ascii="Times New Roman" w:hAnsi="Times New Roman" w:cs="Times New Roman"/>
          <w:b/>
          <w:i/>
          <w:noProof/>
          <w:sz w:val="24"/>
          <w:szCs w:val="24"/>
          <w:lang w:val="fr-FR"/>
        </w:rPr>
        <w:t>Le foncti</w:t>
      </w:r>
      <w:r>
        <w:rPr>
          <w:rFonts w:ascii="Times New Roman" w:hAnsi="Times New Roman" w:cs="Times New Roman"/>
          <w:b/>
          <w:i/>
          <w:noProof/>
          <w:sz w:val="24"/>
          <w:szCs w:val="24"/>
          <w:lang w:val="fr-FR"/>
        </w:rPr>
        <w:t>onnement du RPC</w:t>
      </w:r>
    </w:p>
    <w:p w:rsidR="008E0938" w:rsidRDefault="006B388A">
      <w:pPr>
        <w:pStyle w:val="ListParagraph"/>
        <w:spacing w:after="120" w:line="240" w:lineRule="auto"/>
        <w:ind w:left="0"/>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L’approche basée sur le RPC harmonise les conditions de commercialisation des produits de construction en créant un langage technique commun définissant les caractéristiques essentielles en rapport avec leurs performances dans des spécifica</w:t>
      </w:r>
      <w:r>
        <w:rPr>
          <w:rFonts w:ascii="Times New Roman" w:hAnsi="Times New Roman" w:cs="Times New Roman"/>
          <w:noProof/>
          <w:sz w:val="24"/>
          <w:szCs w:val="24"/>
          <w:lang w:val="fr-FR"/>
        </w:rPr>
        <w:t>tions techniques harmonisées: les normes harmonisées et les documents d’évaluation européens. Ils doivent se conformer aux exigences fondamentales applicables aux ouvrages de construction</w:t>
      </w:r>
      <w:r>
        <w:rPr>
          <w:rStyle w:val="FootnoteReference"/>
          <w:rFonts w:ascii="Times New Roman" w:hAnsi="Times New Roman" w:cs="Times New Roman"/>
          <w:noProof/>
          <w:sz w:val="24"/>
          <w:szCs w:val="24"/>
          <w:lang w:val="fr-FR"/>
        </w:rPr>
        <w:footnoteReference w:id="10"/>
      </w:r>
      <w:r>
        <w:rPr>
          <w:rFonts w:ascii="Times New Roman" w:hAnsi="Times New Roman" w:cs="Times New Roman"/>
          <w:noProof/>
          <w:sz w:val="24"/>
          <w:szCs w:val="24"/>
          <w:lang w:val="fr-FR"/>
        </w:rPr>
        <w:t xml:space="preserve">. Lorsqu’un produit de construction est couvert par une norme </w:t>
      </w:r>
      <w:r>
        <w:rPr>
          <w:rFonts w:ascii="Times New Roman" w:hAnsi="Times New Roman" w:cs="Times New Roman"/>
          <w:noProof/>
          <w:sz w:val="24"/>
          <w:szCs w:val="24"/>
          <w:lang w:val="fr-FR"/>
        </w:rPr>
        <w:t>harmonisée</w:t>
      </w:r>
      <w:r>
        <w:rPr>
          <w:rStyle w:val="FootnoteReference"/>
          <w:rFonts w:ascii="Times New Roman" w:hAnsi="Times New Roman" w:cs="Times New Roman"/>
          <w:noProof/>
          <w:sz w:val="24"/>
          <w:szCs w:val="24"/>
          <w:lang w:val="fr-FR"/>
        </w:rPr>
        <w:footnoteReference w:id="11"/>
      </w:r>
      <w:r>
        <w:rPr>
          <w:rFonts w:ascii="Times New Roman" w:hAnsi="Times New Roman" w:cs="Times New Roman"/>
          <w:noProof/>
          <w:sz w:val="24"/>
          <w:szCs w:val="24"/>
          <w:lang w:val="fr-FR"/>
        </w:rPr>
        <w:t xml:space="preserve"> ou qu’une évaluation technique européenne a été délivrée à son égard, le fabricant établit une déclaration des performances (DdP) et appose le marquage CE sur un tel produit. </w:t>
      </w:r>
    </w:p>
    <w:p w:rsidR="008E0938" w:rsidRDefault="006B388A">
      <w:pPr>
        <w:pStyle w:val="ListParagraph"/>
        <w:spacing w:after="120" w:line="240" w:lineRule="auto"/>
        <w:ind w:left="0"/>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L’objectif du RPC de consolider le marché intérieur pour les produit</w:t>
      </w:r>
      <w:r>
        <w:rPr>
          <w:rFonts w:ascii="Times New Roman" w:hAnsi="Times New Roman" w:cs="Times New Roman"/>
          <w:noProof/>
          <w:sz w:val="24"/>
          <w:szCs w:val="24"/>
          <w:lang w:val="fr-FR"/>
        </w:rPr>
        <w:t>s de construction a été quelque peu réorienté par rapport aux principes généraux énoncés initialement dans la résolution du Conseil concernant une nouvelle approche en matière d’harmonisation technique et de normalisation</w:t>
      </w:r>
      <w:r>
        <w:rPr>
          <w:rStyle w:val="FootnoteReference"/>
          <w:rFonts w:ascii="Times New Roman" w:hAnsi="Times New Roman" w:cs="Times New Roman"/>
          <w:noProof/>
          <w:sz w:val="24"/>
          <w:szCs w:val="24"/>
          <w:lang w:val="fr-FR"/>
        </w:rPr>
        <w:footnoteReference w:id="12"/>
      </w:r>
      <w:r>
        <w:rPr>
          <w:rFonts w:ascii="Times New Roman" w:hAnsi="Times New Roman" w:cs="Times New Roman"/>
          <w:noProof/>
          <w:sz w:val="24"/>
          <w:szCs w:val="24"/>
          <w:lang w:val="fr-FR"/>
        </w:rPr>
        <w:t xml:space="preserve">et révisée depuis par la décision </w:t>
      </w:r>
      <w:r>
        <w:rPr>
          <w:rFonts w:ascii="Times New Roman" w:hAnsi="Times New Roman" w:cs="Times New Roman"/>
          <w:noProof/>
          <w:sz w:val="24"/>
          <w:szCs w:val="24"/>
          <w:lang w:val="fr-FR"/>
        </w:rPr>
        <w:t>nº 768/2008/CE relative à un cadre commun pour la commercialisation des produits</w:t>
      </w:r>
      <w:r>
        <w:rPr>
          <w:rStyle w:val="FootnoteReference"/>
          <w:rFonts w:ascii="Times New Roman" w:hAnsi="Times New Roman" w:cs="Times New Roman"/>
          <w:noProof/>
          <w:sz w:val="24"/>
          <w:szCs w:val="24"/>
          <w:lang w:val="fr-FR"/>
        </w:rPr>
        <w:footnoteReference w:id="13"/>
      </w:r>
      <w:r>
        <w:rPr>
          <w:rFonts w:ascii="Times New Roman" w:hAnsi="Times New Roman" w:cs="Times New Roman"/>
          <w:noProof/>
          <w:sz w:val="24"/>
          <w:szCs w:val="24"/>
          <w:lang w:val="fr-FR"/>
        </w:rPr>
        <w:t>. Les principales différences sont les suivantes:</w:t>
      </w:r>
    </w:p>
    <w:p w:rsidR="008E0938" w:rsidRDefault="006B388A">
      <w:pPr>
        <w:pStyle w:val="ListParagraph"/>
        <w:numPr>
          <w:ilvl w:val="0"/>
          <w:numId w:val="26"/>
        </w:numPr>
        <w:spacing w:after="120" w:line="240" w:lineRule="auto"/>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la répartition des pouvoirs entre l’UE et les États membres: l’UE s’occupe des règles d’accès au marché unique. Les États mem</w:t>
      </w:r>
      <w:r>
        <w:rPr>
          <w:rFonts w:ascii="Times New Roman" w:hAnsi="Times New Roman" w:cs="Times New Roman"/>
          <w:noProof/>
          <w:sz w:val="24"/>
          <w:szCs w:val="24"/>
          <w:lang w:val="fr-FR"/>
        </w:rPr>
        <w:t>bres sont responsables des exigences qui ont trait à la sécurité, l’environnement et l’énergie applicables aux ouvrages de construction;</w:t>
      </w:r>
    </w:p>
    <w:p w:rsidR="008E0938" w:rsidRDefault="006B388A">
      <w:pPr>
        <w:pStyle w:val="ListParagraph"/>
        <w:numPr>
          <w:ilvl w:val="0"/>
          <w:numId w:val="26"/>
        </w:numPr>
        <w:spacing w:after="120" w:line="240" w:lineRule="auto"/>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les conditions harmonisées de commercialisation: au lieu d’harmoniser les produits de construction ou les exigences app</w:t>
      </w:r>
      <w:r>
        <w:rPr>
          <w:rFonts w:ascii="Times New Roman" w:hAnsi="Times New Roman" w:cs="Times New Roman"/>
          <w:noProof/>
          <w:sz w:val="24"/>
          <w:szCs w:val="24"/>
          <w:lang w:val="fr-FR"/>
        </w:rPr>
        <w:t>licables à ces produits, la législation de l’UE (le RPC) se limite à instaurer des conditions harmonisées de commercialisation pour ces produits. Les spécifications techniques harmonisées sont destinées à faciliter la libre circulation des produits de cons</w:t>
      </w:r>
      <w:r>
        <w:rPr>
          <w:rFonts w:ascii="Times New Roman" w:hAnsi="Times New Roman" w:cs="Times New Roman"/>
          <w:noProof/>
          <w:sz w:val="24"/>
          <w:szCs w:val="24"/>
          <w:lang w:val="fr-FR"/>
        </w:rPr>
        <w:t>truction et à donner aux acteurs économiques les moyens de profiter pleinement des avantages offerts par le marché unique.</w:t>
      </w:r>
    </w:p>
    <w:p w:rsidR="008E0938" w:rsidRDefault="006B388A">
      <w:pPr>
        <w:pStyle w:val="ListParagraph"/>
        <w:spacing w:after="120" w:line="240" w:lineRule="auto"/>
        <w:ind w:left="0"/>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Le langage technique commun permet aux professionnels, aux autorités publiques et aux utilisateurs de produits de construction de dis</w:t>
      </w:r>
      <w:r>
        <w:rPr>
          <w:rFonts w:ascii="Times New Roman" w:hAnsi="Times New Roman" w:cs="Times New Roman"/>
          <w:noProof/>
          <w:sz w:val="24"/>
          <w:szCs w:val="24"/>
          <w:lang w:val="fr-FR"/>
        </w:rPr>
        <w:t xml:space="preserve">poser d’informations fiables pour comparer les performances des produits. Autres avantages: </w:t>
      </w:r>
    </w:p>
    <w:p w:rsidR="008E0938" w:rsidRDefault="006B388A">
      <w:pPr>
        <w:pStyle w:val="ListParagraph"/>
        <w:numPr>
          <w:ilvl w:val="0"/>
          <w:numId w:val="22"/>
        </w:numPr>
        <w:spacing w:after="120" w:line="240" w:lineRule="auto"/>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 xml:space="preserve">les produits doivent faire l’objet d’un seul essai conformément à une norme harmonisée ou un document d’évaluation européen; </w:t>
      </w:r>
    </w:p>
    <w:p w:rsidR="008E0938" w:rsidRDefault="006B388A">
      <w:pPr>
        <w:pStyle w:val="ListParagraph"/>
        <w:numPr>
          <w:ilvl w:val="0"/>
          <w:numId w:val="22"/>
        </w:numPr>
        <w:spacing w:after="120" w:line="240" w:lineRule="auto"/>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 xml:space="preserve">les autorités nationales peuvent fixer des exigences de performances à l’aide des normes harmonisées ou des documents d’évaluation européens; </w:t>
      </w:r>
    </w:p>
    <w:p w:rsidR="008E0938" w:rsidRDefault="006B388A">
      <w:pPr>
        <w:pStyle w:val="ListParagraph"/>
        <w:numPr>
          <w:ilvl w:val="0"/>
          <w:numId w:val="22"/>
        </w:numPr>
        <w:spacing w:after="120" w:line="240" w:lineRule="auto"/>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les utilisateurs de produits de construction peuvent mieux déterminer leurs exigences ou besoins en matière de pe</w:t>
      </w:r>
      <w:r>
        <w:rPr>
          <w:rFonts w:ascii="Times New Roman" w:hAnsi="Times New Roman" w:cs="Times New Roman"/>
          <w:noProof/>
          <w:sz w:val="24"/>
          <w:szCs w:val="24"/>
          <w:lang w:val="fr-FR"/>
        </w:rPr>
        <w:t xml:space="preserve">rformances; </w:t>
      </w:r>
    </w:p>
    <w:p w:rsidR="008E0938" w:rsidRDefault="006B388A">
      <w:pPr>
        <w:pStyle w:val="ListParagraph"/>
        <w:numPr>
          <w:ilvl w:val="0"/>
          <w:numId w:val="22"/>
        </w:numPr>
        <w:spacing w:after="120" w:line="240" w:lineRule="auto"/>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la surveillance du marché peut se baser sur une seule structure d’information commune.</w:t>
      </w:r>
    </w:p>
    <w:p w:rsidR="008E0938" w:rsidRDefault="006B388A">
      <w:pPr>
        <w:pStyle w:val="ListParagraph"/>
        <w:spacing w:after="120" w:line="240" w:lineRule="auto"/>
        <w:ind w:left="0"/>
        <w:contextualSpacing w:val="0"/>
        <w:jc w:val="both"/>
        <w:rPr>
          <w:rFonts w:ascii="Times New Roman" w:hAnsi="Times New Roman" w:cs="Times New Roman"/>
          <w:b/>
          <w:i/>
          <w:noProof/>
          <w:sz w:val="24"/>
          <w:szCs w:val="24"/>
          <w:lang w:val="fr-FR"/>
        </w:rPr>
      </w:pPr>
      <w:r>
        <w:rPr>
          <w:rFonts w:ascii="Times New Roman" w:hAnsi="Times New Roman" w:cs="Times New Roman"/>
          <w:b/>
          <w:i/>
          <w:noProof/>
          <w:sz w:val="24"/>
          <w:szCs w:val="24"/>
          <w:lang w:val="fr-FR"/>
        </w:rPr>
        <w:t>Mise en œuvre générale</w:t>
      </w:r>
    </w:p>
    <w:p w:rsidR="008E0938" w:rsidRDefault="006B388A">
      <w:pPr>
        <w:pStyle w:val="ListParagraph"/>
        <w:spacing w:after="120" w:line="240" w:lineRule="auto"/>
        <w:ind w:left="0"/>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Le RPC, qui introduit de nouvelles documentations, procédures et obligations, prévoit une période de transition. Il est pleinement ap</w:t>
      </w:r>
      <w:r>
        <w:rPr>
          <w:rFonts w:ascii="Times New Roman" w:hAnsi="Times New Roman" w:cs="Times New Roman"/>
          <w:noProof/>
          <w:sz w:val="24"/>
          <w:szCs w:val="24"/>
          <w:lang w:val="fr-FR"/>
        </w:rPr>
        <w:t>plicable depuis le 1</w:t>
      </w:r>
      <w:r>
        <w:rPr>
          <w:rFonts w:ascii="Times New Roman" w:hAnsi="Times New Roman" w:cs="Times New Roman"/>
          <w:noProof/>
          <w:sz w:val="24"/>
          <w:szCs w:val="24"/>
          <w:vertAlign w:val="superscript"/>
          <w:lang w:val="fr-FR"/>
        </w:rPr>
        <w:t>er</w:t>
      </w:r>
      <w:r>
        <w:rPr>
          <w:rFonts w:ascii="Times New Roman" w:hAnsi="Times New Roman" w:cs="Times New Roman"/>
          <w:noProof/>
          <w:sz w:val="24"/>
          <w:szCs w:val="24"/>
          <w:lang w:val="fr-FR"/>
        </w:rPr>
        <w:t> juillet 2013, soit moins de trois ans avant la publication de ce rapport et, pour cette raison, la mise en œuvre de certains de ses aspects ne peut pas être encore évaluée, d’où le caractère préliminaire de la présente évaluation.</w:t>
      </w:r>
    </w:p>
    <w:p w:rsidR="008E0938" w:rsidRDefault="006B388A">
      <w:pPr>
        <w:pStyle w:val="ListParagraph"/>
        <w:spacing w:after="120" w:line="240" w:lineRule="auto"/>
        <w:ind w:left="0"/>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Po</w:t>
      </w:r>
      <w:r>
        <w:rPr>
          <w:rFonts w:ascii="Times New Roman" w:hAnsi="Times New Roman" w:cs="Times New Roman"/>
          <w:noProof/>
          <w:sz w:val="24"/>
          <w:szCs w:val="24"/>
          <w:lang w:val="fr-FR"/>
        </w:rPr>
        <w:t>ur accompagner la transition, la Commission a lancé des campagnes d’information ciblant principalement les opérateurs économiques, en particulier les PME, mais également les autorités publiques et les utilisateurs des produits de construction</w:t>
      </w:r>
      <w:r>
        <w:rPr>
          <w:rStyle w:val="FootnoteReference"/>
          <w:rFonts w:ascii="Times New Roman" w:hAnsi="Times New Roman" w:cs="Times New Roman"/>
          <w:noProof/>
          <w:sz w:val="24"/>
          <w:szCs w:val="24"/>
          <w:lang w:val="fr-FR"/>
        </w:rPr>
        <w:footnoteReference w:id="14"/>
      </w:r>
      <w:r>
        <w:rPr>
          <w:rFonts w:ascii="Times New Roman" w:hAnsi="Times New Roman" w:cs="Times New Roman"/>
          <w:noProof/>
          <w:sz w:val="24"/>
          <w:szCs w:val="24"/>
          <w:lang w:val="fr-FR"/>
        </w:rPr>
        <w:t>. Plusieurs a</w:t>
      </w:r>
      <w:r>
        <w:rPr>
          <w:rFonts w:ascii="Times New Roman" w:hAnsi="Times New Roman" w:cs="Times New Roman"/>
          <w:noProof/>
          <w:sz w:val="24"/>
          <w:szCs w:val="24"/>
          <w:lang w:val="fr-FR"/>
        </w:rPr>
        <w:t>ssociations professionnelles et autorités publiques ont aussi mené des campagnes d’information à l’intention de leurs membres ou territoires respectifs</w:t>
      </w:r>
      <w:r>
        <w:rPr>
          <w:rFonts w:ascii="Times New Roman" w:hAnsi="Times New Roman" w:cs="Times New Roman"/>
          <w:bCs/>
          <w:noProof/>
          <w:sz w:val="24"/>
          <w:szCs w:val="24"/>
          <w:lang w:val="fr-FR"/>
        </w:rPr>
        <w:t>.</w:t>
      </w:r>
    </w:p>
    <w:p w:rsidR="008E0938" w:rsidRDefault="006B388A">
      <w:pPr>
        <w:pStyle w:val="ListParagraph"/>
        <w:spacing w:after="120" w:line="240" w:lineRule="auto"/>
        <w:ind w:left="0"/>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 xml:space="preserve">Dans l’ensemble, tous les éléments exigés par le RPC ont été mis en œuvre par les personnes ou parties </w:t>
      </w:r>
      <w:r>
        <w:rPr>
          <w:rFonts w:ascii="Times New Roman" w:hAnsi="Times New Roman" w:cs="Times New Roman"/>
          <w:noProof/>
          <w:sz w:val="24"/>
          <w:szCs w:val="24"/>
          <w:lang w:val="fr-FR"/>
        </w:rPr>
        <w:t>concernées: par exemple, les organismes notifiés et les organismes d’évaluation technique sont en place dans toute l’Europe</w:t>
      </w:r>
      <w:r>
        <w:rPr>
          <w:rStyle w:val="FootnoteReference"/>
          <w:rFonts w:ascii="Times New Roman" w:hAnsi="Times New Roman" w:cs="Times New Roman"/>
          <w:noProof/>
          <w:sz w:val="24"/>
          <w:szCs w:val="24"/>
          <w:lang w:val="fr-FR"/>
        </w:rPr>
        <w:footnoteReference w:id="15"/>
      </w:r>
      <w:r>
        <w:rPr>
          <w:rFonts w:ascii="Times New Roman" w:hAnsi="Times New Roman" w:cs="Times New Roman"/>
          <w:noProof/>
          <w:sz w:val="24"/>
          <w:szCs w:val="24"/>
          <w:lang w:val="fr-FR"/>
        </w:rPr>
        <w:t xml:space="preserve">; les points de contact produit sont en place dans les États membres. Toutefois, certains aspects n’ont pas encore été mis en œuvre </w:t>
      </w:r>
      <w:r>
        <w:rPr>
          <w:rFonts w:ascii="Times New Roman" w:hAnsi="Times New Roman" w:cs="Times New Roman"/>
          <w:noProof/>
          <w:sz w:val="24"/>
          <w:szCs w:val="24"/>
          <w:lang w:val="fr-FR"/>
        </w:rPr>
        <w:t>à grande échelle et requièrent des efforts supplémentaires, comme indiqué dans les sections suivantes.</w:t>
      </w:r>
    </w:p>
    <w:p w:rsidR="008E0938" w:rsidRDefault="008E0938">
      <w:pPr>
        <w:pStyle w:val="ListParagraph"/>
        <w:spacing w:after="120" w:line="240" w:lineRule="auto"/>
        <w:ind w:left="0"/>
        <w:contextualSpacing w:val="0"/>
        <w:jc w:val="both"/>
        <w:rPr>
          <w:rFonts w:ascii="Times New Roman" w:hAnsi="Times New Roman" w:cs="Times New Roman"/>
          <w:noProof/>
          <w:sz w:val="24"/>
          <w:szCs w:val="24"/>
          <w:lang w:val="fr-FR"/>
        </w:rPr>
      </w:pPr>
    </w:p>
    <w:p w:rsidR="008E0938" w:rsidRDefault="006B388A">
      <w:pPr>
        <w:pStyle w:val="ListParagraph"/>
        <w:numPr>
          <w:ilvl w:val="0"/>
          <w:numId w:val="6"/>
        </w:numPr>
        <w:tabs>
          <w:tab w:val="left" w:leader="dot" w:pos="7655"/>
        </w:tabs>
        <w:spacing w:after="120" w:line="240" w:lineRule="auto"/>
        <w:jc w:val="both"/>
        <w:rPr>
          <w:rFonts w:ascii="Times New Roman" w:hAnsi="Times New Roman" w:cs="Times New Roman"/>
          <w:b/>
          <w:smallCaps/>
          <w:noProof/>
          <w:sz w:val="24"/>
          <w:szCs w:val="24"/>
          <w:lang w:val="fr-FR"/>
        </w:rPr>
      </w:pPr>
      <w:r>
        <w:rPr>
          <w:rFonts w:ascii="Times New Roman" w:hAnsi="Times New Roman" w:cs="Times New Roman"/>
          <w:b/>
          <w:smallCaps/>
          <w:noProof/>
          <w:sz w:val="24"/>
          <w:szCs w:val="24"/>
          <w:lang w:val="fr-FR"/>
        </w:rPr>
        <w:t xml:space="preserve">Règles relatives à la commercialisation des produits de construction </w:t>
      </w:r>
    </w:p>
    <w:p w:rsidR="008E0938" w:rsidRDefault="008E0938">
      <w:pPr>
        <w:pStyle w:val="ListParagraph"/>
        <w:spacing w:after="120" w:line="240" w:lineRule="auto"/>
        <w:ind w:left="360"/>
        <w:jc w:val="both"/>
        <w:rPr>
          <w:rFonts w:ascii="Times New Roman" w:hAnsi="Times New Roman" w:cs="Times New Roman"/>
          <w:b/>
          <w:smallCaps/>
          <w:noProof/>
          <w:sz w:val="24"/>
          <w:szCs w:val="24"/>
          <w:lang w:val="fr-FR"/>
        </w:rPr>
      </w:pPr>
    </w:p>
    <w:p w:rsidR="008E0938" w:rsidRDefault="006B388A">
      <w:pPr>
        <w:pStyle w:val="ListParagraph"/>
        <w:spacing w:after="120" w:line="240" w:lineRule="auto"/>
        <w:ind w:left="0"/>
        <w:contextualSpacing w:val="0"/>
        <w:jc w:val="both"/>
        <w:rPr>
          <w:noProof/>
          <w:lang w:val="fr-FR"/>
        </w:rPr>
      </w:pPr>
      <w:r>
        <w:rPr>
          <w:rFonts w:ascii="Times New Roman" w:hAnsi="Times New Roman" w:cs="Times New Roman"/>
          <w:noProof/>
          <w:sz w:val="24"/>
          <w:szCs w:val="24"/>
          <w:lang w:val="fr-FR"/>
        </w:rPr>
        <w:t xml:space="preserve">La DdP et le marquage CE sont nécessaires pour pouvoir mettre un produit de </w:t>
      </w:r>
      <w:r>
        <w:rPr>
          <w:rFonts w:ascii="Times New Roman" w:hAnsi="Times New Roman" w:cs="Times New Roman"/>
          <w:noProof/>
          <w:sz w:val="24"/>
          <w:szCs w:val="24"/>
          <w:lang w:val="fr-FR"/>
        </w:rPr>
        <w:t>construction sur le marché de l’UE. Les fabricants de produits couverts par le domaine harmonisé doivent les utiliser</w:t>
      </w:r>
      <w:r>
        <w:rPr>
          <w:rStyle w:val="FootnoteReference"/>
          <w:rFonts w:ascii="Times New Roman" w:hAnsi="Times New Roman" w:cs="Times New Roman"/>
          <w:noProof/>
          <w:sz w:val="24"/>
          <w:szCs w:val="24"/>
          <w:lang w:val="fr-FR"/>
        </w:rPr>
        <w:footnoteReference w:id="16"/>
      </w:r>
      <w:r>
        <w:rPr>
          <w:rFonts w:ascii="Times New Roman" w:hAnsi="Times New Roman" w:cs="Times New Roman"/>
          <w:noProof/>
          <w:sz w:val="24"/>
          <w:szCs w:val="24"/>
          <w:lang w:val="fr-FR"/>
        </w:rPr>
        <w:t>. Ils constituent également les seuls moyens de fournir des informations</w:t>
      </w:r>
      <w:r>
        <w:rPr>
          <w:rStyle w:val="FootnoteReference"/>
          <w:rFonts w:ascii="Times New Roman" w:hAnsi="Times New Roman" w:cs="Times New Roman"/>
          <w:noProof/>
          <w:sz w:val="24"/>
          <w:szCs w:val="24"/>
          <w:lang w:val="fr-FR"/>
        </w:rPr>
        <w:footnoteReference w:id="17"/>
      </w:r>
      <w:r>
        <w:rPr>
          <w:rFonts w:ascii="Times New Roman" w:hAnsi="Times New Roman" w:cs="Times New Roman"/>
          <w:noProof/>
          <w:sz w:val="24"/>
          <w:szCs w:val="24"/>
          <w:lang w:val="fr-FR"/>
        </w:rPr>
        <w:t xml:space="preserve"> concernant les performances des produits correspondant aux carac</w:t>
      </w:r>
      <w:r>
        <w:rPr>
          <w:rFonts w:ascii="Times New Roman" w:hAnsi="Times New Roman" w:cs="Times New Roman"/>
          <w:noProof/>
          <w:sz w:val="24"/>
          <w:szCs w:val="24"/>
          <w:lang w:val="fr-FR"/>
        </w:rPr>
        <w:t>téristiques essentielles</w:t>
      </w:r>
      <w:r>
        <w:rPr>
          <w:rStyle w:val="FootnoteReference"/>
          <w:rFonts w:ascii="Times New Roman" w:hAnsi="Times New Roman" w:cs="Times New Roman"/>
          <w:noProof/>
          <w:sz w:val="24"/>
          <w:szCs w:val="24"/>
          <w:lang w:val="fr-FR"/>
        </w:rPr>
        <w:footnoteReference w:id="18"/>
      </w:r>
      <w:r>
        <w:rPr>
          <w:rFonts w:ascii="Times New Roman" w:hAnsi="Times New Roman" w:cs="Times New Roman"/>
          <w:noProof/>
          <w:sz w:val="24"/>
          <w:szCs w:val="24"/>
          <w:lang w:val="fr-FR"/>
        </w:rPr>
        <w:t xml:space="preserve"> définies à l’aide du RPC.</w:t>
      </w:r>
    </w:p>
    <w:p w:rsidR="008E0938" w:rsidRDefault="006B388A">
      <w:pPr>
        <w:pStyle w:val="ListParagraph"/>
        <w:spacing w:after="120" w:line="240" w:lineRule="auto"/>
        <w:ind w:left="0"/>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Pour être efficace, le dispositif d’information sur les performances des produits instauré par le RPC doit être appliqué de manière uniforme. Par conséquent, les règles sur les conditions harmonisées de c</w:t>
      </w:r>
      <w:r>
        <w:rPr>
          <w:rFonts w:ascii="Times New Roman" w:hAnsi="Times New Roman" w:cs="Times New Roman"/>
          <w:noProof/>
          <w:sz w:val="24"/>
          <w:szCs w:val="24"/>
          <w:lang w:val="fr-FR"/>
        </w:rPr>
        <w:t>ommercialisation pour les produits de construction doivent être fixées au niveau de l’UE, dans le cadre ou au moyen du RPC. Si les autorités publiques des États membres devaient adopter leur propre approche, cela compromettrait la cohérence et contribuerai</w:t>
      </w:r>
      <w:r>
        <w:rPr>
          <w:rFonts w:ascii="Times New Roman" w:hAnsi="Times New Roman" w:cs="Times New Roman"/>
          <w:noProof/>
          <w:sz w:val="24"/>
          <w:szCs w:val="24"/>
          <w:lang w:val="fr-FR"/>
        </w:rPr>
        <w:t>t au morcellement du marché intérieur.</w:t>
      </w:r>
    </w:p>
    <w:p w:rsidR="008E0938" w:rsidRDefault="006B388A">
      <w:pPr>
        <w:pStyle w:val="ListParagraph"/>
        <w:spacing w:after="120" w:line="240" w:lineRule="auto"/>
        <w:ind w:left="0"/>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Néanmoins, l’utilisation de marques nationales</w:t>
      </w:r>
      <w:r>
        <w:rPr>
          <w:rStyle w:val="FootnoteReference"/>
          <w:rFonts w:ascii="Times New Roman" w:hAnsi="Times New Roman" w:cs="Times New Roman"/>
          <w:noProof/>
          <w:sz w:val="24"/>
          <w:szCs w:val="24"/>
          <w:lang w:val="fr-FR"/>
        </w:rPr>
        <w:footnoteReference w:id="19"/>
      </w:r>
      <w:r>
        <w:rPr>
          <w:rFonts w:ascii="Times New Roman" w:hAnsi="Times New Roman" w:cs="Times New Roman"/>
          <w:noProof/>
          <w:sz w:val="24"/>
          <w:szCs w:val="24"/>
          <w:lang w:val="fr-FR"/>
        </w:rPr>
        <w:t xml:space="preserve"> se poursuit dans plusieurs États membres, à l’encontre des principes du RPC. Les vérifications ou processus </w:t>
      </w:r>
      <w:r>
        <w:rPr>
          <w:rFonts w:ascii="Times New Roman" w:hAnsi="Times New Roman" w:cs="Times New Roman"/>
          <w:i/>
          <w:noProof/>
          <w:sz w:val="24"/>
          <w:szCs w:val="24"/>
          <w:lang w:val="fr-FR"/>
        </w:rPr>
        <w:t xml:space="preserve">ex ante </w:t>
      </w:r>
      <w:r>
        <w:rPr>
          <w:rFonts w:ascii="Times New Roman" w:hAnsi="Times New Roman" w:cs="Times New Roman"/>
          <w:noProof/>
          <w:sz w:val="24"/>
          <w:szCs w:val="24"/>
          <w:lang w:val="fr-FR"/>
        </w:rPr>
        <w:t>nationaux couvrant le domaine harmonisé</w:t>
      </w:r>
      <w:r>
        <w:rPr>
          <w:rStyle w:val="FootnoteReference"/>
          <w:rFonts w:ascii="Times New Roman" w:hAnsi="Times New Roman" w:cs="Times New Roman"/>
          <w:noProof/>
          <w:sz w:val="24"/>
          <w:szCs w:val="24"/>
          <w:lang w:val="fr-FR"/>
        </w:rPr>
        <w:footnoteReference w:id="20"/>
      </w:r>
      <w:r>
        <w:rPr>
          <w:rFonts w:ascii="Times New Roman" w:hAnsi="Times New Roman" w:cs="Times New Roman"/>
          <w:noProof/>
          <w:sz w:val="24"/>
          <w:szCs w:val="24"/>
          <w:lang w:val="fr-FR"/>
        </w:rPr>
        <w:t xml:space="preserve"> ne sont pas </w:t>
      </w:r>
      <w:r>
        <w:rPr>
          <w:rFonts w:ascii="Times New Roman" w:hAnsi="Times New Roman" w:cs="Times New Roman"/>
          <w:noProof/>
          <w:sz w:val="24"/>
          <w:szCs w:val="24"/>
          <w:lang w:val="fr-FR"/>
        </w:rPr>
        <w:t>autorisés. C’est également le cas des marques volontaires sans connotation nationale, car elles empêchent indûment la libre circulation des produits de construction portant le marquage CE, par exemple quand elles sont liées à un système plus exigeant d’éva</w:t>
      </w:r>
      <w:r>
        <w:rPr>
          <w:rFonts w:ascii="Times New Roman" w:hAnsi="Times New Roman" w:cs="Times New Roman"/>
          <w:noProof/>
          <w:sz w:val="24"/>
          <w:szCs w:val="24"/>
          <w:lang w:val="fr-FR"/>
        </w:rPr>
        <w:t>luation et de vérification de la constance des performances imposé par les organismes d’inspection en bâtiment ou les compagnies d’assurance, ou qu’elles sont liées à des incitations financières.</w:t>
      </w:r>
    </w:p>
    <w:p w:rsidR="008E0938" w:rsidRDefault="006B388A">
      <w:pPr>
        <w:pStyle w:val="ListParagraph"/>
        <w:spacing w:after="120" w:line="240" w:lineRule="auto"/>
        <w:ind w:left="0"/>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Cela a été confirmé par l’arrêt de la Cour de justice de l’U</w:t>
      </w:r>
      <w:r>
        <w:rPr>
          <w:rFonts w:ascii="Times New Roman" w:hAnsi="Times New Roman" w:cs="Times New Roman"/>
          <w:noProof/>
          <w:sz w:val="24"/>
          <w:szCs w:val="24"/>
          <w:lang w:val="fr-FR"/>
        </w:rPr>
        <w:t>nion européenne dans l’affaire C</w:t>
      </w:r>
      <w:r>
        <w:rPr>
          <w:rFonts w:ascii="Times New Roman" w:hAnsi="Times New Roman" w:cs="Times New Roman"/>
          <w:noProof/>
          <w:sz w:val="24"/>
          <w:szCs w:val="24"/>
          <w:lang w:val="fr-FR"/>
        </w:rPr>
        <w:noBreakHyphen/>
        <w:t>100/13</w:t>
      </w:r>
      <w:r>
        <w:rPr>
          <w:rStyle w:val="FootnoteReference"/>
          <w:rFonts w:ascii="Times New Roman" w:hAnsi="Times New Roman" w:cs="Times New Roman"/>
          <w:noProof/>
          <w:sz w:val="24"/>
          <w:szCs w:val="24"/>
          <w:lang w:val="fr-FR"/>
        </w:rPr>
        <w:footnoteReference w:id="21"/>
      </w:r>
      <w:r>
        <w:rPr>
          <w:rFonts w:ascii="Times New Roman" w:hAnsi="Times New Roman" w:cs="Times New Roman"/>
          <w:noProof/>
          <w:sz w:val="24"/>
          <w:szCs w:val="24"/>
          <w:lang w:val="fr-FR"/>
        </w:rPr>
        <w:t>, qui indique que les États membres doivent s’abstenir de fixer des exigences supplémentaires. L’applicabilité de cet arrêt au titre du RPC et sa portée étendue à l’ensemble des normes harmonisées confirment le carac</w:t>
      </w:r>
      <w:r>
        <w:rPr>
          <w:rFonts w:ascii="Times New Roman" w:hAnsi="Times New Roman" w:cs="Times New Roman"/>
          <w:noProof/>
          <w:sz w:val="24"/>
          <w:szCs w:val="24"/>
          <w:lang w:val="fr-FR"/>
        </w:rPr>
        <w:t>tère obligatoire du langage technique commun. Puisque l’harmonisation créée dans le cadre ou au travers du RPC est considérée comme exhaustive,</w:t>
      </w:r>
      <w:r>
        <w:rPr>
          <w:rStyle w:val="FootnoteReference"/>
          <w:rFonts w:ascii="Times New Roman" w:hAnsi="Times New Roman" w:cs="Times New Roman"/>
          <w:noProof/>
          <w:sz w:val="24"/>
          <w:szCs w:val="24"/>
          <w:lang w:val="fr-FR"/>
        </w:rPr>
        <w:footnoteReference w:id="22"/>
      </w:r>
      <w:r>
        <w:rPr>
          <w:rFonts w:ascii="Times New Roman" w:hAnsi="Times New Roman" w:cs="Times New Roman"/>
          <w:noProof/>
          <w:sz w:val="24"/>
          <w:szCs w:val="24"/>
          <w:lang w:val="fr-FR"/>
        </w:rPr>
        <w:t xml:space="preserve"> aucune place n’est laissée à d’autres systèmes ayant trait au marquage des produits de construction dans le dom</w:t>
      </w:r>
      <w:r>
        <w:rPr>
          <w:rFonts w:ascii="Times New Roman" w:hAnsi="Times New Roman" w:cs="Times New Roman"/>
          <w:noProof/>
          <w:sz w:val="24"/>
          <w:szCs w:val="24"/>
          <w:lang w:val="fr-FR"/>
        </w:rPr>
        <w:t>aine harmonisé. La Commission a donc demandé à tous les États membres d’aligner leurs systèmes nationaux sur ces principes et suit attentivement les ajustements qu’ils effectuent.</w:t>
      </w:r>
    </w:p>
    <w:p w:rsidR="008E0938" w:rsidRDefault="006B388A">
      <w:pPr>
        <w:pStyle w:val="ListParagraph"/>
        <w:spacing w:after="120" w:line="240" w:lineRule="auto"/>
        <w:ind w:left="0"/>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Une autre question importante identifiée par de nombreuses parties prenantes</w:t>
      </w:r>
      <w:r>
        <w:rPr>
          <w:rFonts w:ascii="Times New Roman" w:hAnsi="Times New Roman" w:cs="Times New Roman"/>
          <w:noProof/>
          <w:sz w:val="24"/>
          <w:szCs w:val="24"/>
          <w:lang w:val="fr-FR"/>
        </w:rPr>
        <w:t xml:space="preserve"> à propos de la mise en œuvre concerne les chevauchements substantiels entre les informations exigées conformément à la DdP et au marquage CE, qui génèrent une charge administrative et financière supplémentaire. Selon une interprétation souple de l’article</w:t>
      </w:r>
      <w:r>
        <w:rPr>
          <w:rFonts w:ascii="Times New Roman" w:hAnsi="Times New Roman" w:cs="Times New Roman"/>
          <w:noProof/>
          <w:sz w:val="24"/>
          <w:szCs w:val="24"/>
          <w:lang w:val="fr-FR"/>
        </w:rPr>
        <w:t xml:space="preserve"> 9, paragraphe 2, le marquage CE pourrait contenir uniquement les informations essentielles et se référer à la DdP pour les autres informations. La DdP serait fournie sous format papier avec le produit, par voie électronique, ou via un site internet. Cela </w:t>
      </w:r>
      <w:r>
        <w:rPr>
          <w:rFonts w:ascii="Times New Roman" w:hAnsi="Times New Roman" w:cs="Times New Roman"/>
          <w:noProof/>
          <w:sz w:val="24"/>
          <w:szCs w:val="24"/>
          <w:lang w:val="fr-FR"/>
        </w:rPr>
        <w:t>pourrait alléger la charge des fabricants, et répondre ainsi à l’objectif de simplification du RPC. La Commission continue de promouvoir une solution simplifiée et flexible de ce type, également afin de garantir la sécurité juridique pour les fabricants, q</w:t>
      </w:r>
      <w:r>
        <w:rPr>
          <w:rFonts w:ascii="Times New Roman" w:hAnsi="Times New Roman" w:cs="Times New Roman"/>
          <w:noProof/>
          <w:sz w:val="24"/>
          <w:szCs w:val="24"/>
          <w:lang w:val="fr-FR"/>
        </w:rPr>
        <w:t>ui ne veulent pas voir différentes interprétations au niveau des États membres.</w:t>
      </w:r>
    </w:p>
    <w:p w:rsidR="008E0938" w:rsidRDefault="008E0938">
      <w:pPr>
        <w:pStyle w:val="ListParagraph"/>
        <w:spacing w:after="120" w:line="240" w:lineRule="auto"/>
        <w:ind w:left="0"/>
        <w:contextualSpacing w:val="0"/>
        <w:jc w:val="both"/>
        <w:rPr>
          <w:rFonts w:ascii="Times New Roman" w:hAnsi="Times New Roman" w:cs="Times New Roman"/>
          <w:noProof/>
          <w:sz w:val="24"/>
          <w:szCs w:val="24"/>
          <w:lang w:val="fr-FR"/>
        </w:rPr>
      </w:pPr>
    </w:p>
    <w:p w:rsidR="008E0938" w:rsidRDefault="006B388A">
      <w:pPr>
        <w:pStyle w:val="ListParagraph"/>
        <w:numPr>
          <w:ilvl w:val="0"/>
          <w:numId w:val="6"/>
        </w:numPr>
        <w:tabs>
          <w:tab w:val="left" w:leader="dot" w:pos="7513"/>
        </w:tabs>
        <w:spacing w:after="120" w:line="240" w:lineRule="auto"/>
        <w:jc w:val="both"/>
        <w:rPr>
          <w:rFonts w:ascii="Times New Roman" w:hAnsi="Times New Roman" w:cs="Times New Roman"/>
          <w:b/>
          <w:smallCaps/>
          <w:noProof/>
          <w:sz w:val="24"/>
          <w:szCs w:val="24"/>
          <w:lang w:val="fr-FR"/>
        </w:rPr>
      </w:pPr>
      <w:r>
        <w:rPr>
          <w:rFonts w:ascii="Times New Roman" w:hAnsi="Times New Roman" w:cs="Times New Roman"/>
          <w:b/>
          <w:smallCaps/>
          <w:noProof/>
          <w:sz w:val="24"/>
          <w:szCs w:val="24"/>
          <w:lang w:val="fr-FR"/>
        </w:rPr>
        <w:t xml:space="preserve">Points de contact produit pour la construction </w:t>
      </w:r>
    </w:p>
    <w:p w:rsidR="008E0938" w:rsidRDefault="008E0938">
      <w:pPr>
        <w:pStyle w:val="ListParagraph"/>
        <w:tabs>
          <w:tab w:val="left" w:leader="dot" w:pos="7513"/>
        </w:tabs>
        <w:spacing w:after="120" w:line="240" w:lineRule="auto"/>
        <w:ind w:left="360"/>
        <w:jc w:val="both"/>
        <w:rPr>
          <w:rFonts w:ascii="Times New Roman" w:hAnsi="Times New Roman" w:cs="Times New Roman"/>
          <w:b/>
          <w:smallCaps/>
          <w:noProof/>
          <w:sz w:val="24"/>
          <w:szCs w:val="24"/>
          <w:lang w:val="fr-FR"/>
        </w:rPr>
      </w:pPr>
    </w:p>
    <w:p w:rsidR="008E0938" w:rsidRDefault="006B388A">
      <w:pPr>
        <w:pStyle w:val="ListParagraph"/>
        <w:spacing w:after="120" w:line="240" w:lineRule="auto"/>
        <w:ind w:left="0"/>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 xml:space="preserve">Les points de contact produit (PCP) pour la construction établis par tous les États membres pour fournir des informations sur </w:t>
      </w:r>
      <w:r>
        <w:rPr>
          <w:rFonts w:ascii="Times New Roman" w:hAnsi="Times New Roman" w:cs="Times New Roman"/>
          <w:noProof/>
          <w:sz w:val="24"/>
          <w:szCs w:val="24"/>
          <w:lang w:val="fr-FR"/>
        </w:rPr>
        <w:t>les règles nationales sont opérationnels et répondent aux demandes d’information de l’industrie. La Commission européenne publie une liste des PCP pour la construction et organise des réunions régulières pour assurer une coordination appropriée et l’échang</w:t>
      </w:r>
      <w:r>
        <w:rPr>
          <w:rFonts w:ascii="Times New Roman" w:hAnsi="Times New Roman" w:cs="Times New Roman"/>
          <w:noProof/>
          <w:sz w:val="24"/>
          <w:szCs w:val="24"/>
          <w:lang w:val="fr-FR"/>
        </w:rPr>
        <w:t>e des meilleures pratiques.</w:t>
      </w:r>
    </w:p>
    <w:p w:rsidR="008E0938" w:rsidRDefault="006B388A">
      <w:pPr>
        <w:pStyle w:val="ListParagraph"/>
        <w:spacing w:after="120" w:line="240" w:lineRule="auto"/>
        <w:ind w:left="0"/>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Toutefois, relativement peu de personnes sont au courant des services proposés par les PCP dans le secteur de la construction et des questions ont été posées en ce qui concerne leur réactivité et la qualité des informations qu’i</w:t>
      </w:r>
      <w:r>
        <w:rPr>
          <w:rFonts w:ascii="Times New Roman" w:hAnsi="Times New Roman" w:cs="Times New Roman"/>
          <w:noProof/>
          <w:sz w:val="24"/>
          <w:szCs w:val="24"/>
          <w:lang w:val="fr-FR"/>
        </w:rPr>
        <w:t>ls fournissent.</w:t>
      </w:r>
    </w:p>
    <w:p w:rsidR="008E0938" w:rsidRDefault="006B388A">
      <w:pPr>
        <w:pStyle w:val="ListParagraph"/>
        <w:spacing w:after="120" w:line="240" w:lineRule="auto"/>
        <w:ind w:left="0"/>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La Commission étudie actuellement des solutions pour améliorer la situation, y compris dans le contexte de l’initiative d’un portail numérique unique visant à rationaliser les plates-formes nationales et européennes existantes qui fournisse</w:t>
      </w:r>
      <w:r>
        <w:rPr>
          <w:rFonts w:ascii="Times New Roman" w:hAnsi="Times New Roman" w:cs="Times New Roman"/>
          <w:noProof/>
          <w:sz w:val="24"/>
          <w:szCs w:val="24"/>
          <w:lang w:val="fr-FR"/>
        </w:rPr>
        <w:t>nt des informations et services concernant les droits liés au marché intérieur.</w:t>
      </w:r>
    </w:p>
    <w:p w:rsidR="008E0938" w:rsidRDefault="006B388A">
      <w:pPr>
        <w:pStyle w:val="ListParagraph"/>
        <w:spacing w:after="120" w:line="240" w:lineRule="auto"/>
        <w:ind w:left="0"/>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Parallèlement aux initiatives de la Commission, les États membres doivent continuer d’aider leurs PCP à améliorer leur fonctionnement et à se faire mieux connaître du secteur d</w:t>
      </w:r>
      <w:r>
        <w:rPr>
          <w:rFonts w:ascii="Times New Roman" w:hAnsi="Times New Roman" w:cs="Times New Roman"/>
          <w:noProof/>
          <w:sz w:val="24"/>
          <w:szCs w:val="24"/>
          <w:lang w:val="fr-FR"/>
        </w:rPr>
        <w:t>e la construction.</w:t>
      </w:r>
    </w:p>
    <w:p w:rsidR="008E0938" w:rsidRDefault="008E0938">
      <w:pPr>
        <w:pStyle w:val="ListParagraph"/>
        <w:spacing w:after="240" w:line="240" w:lineRule="auto"/>
        <w:ind w:left="0"/>
        <w:jc w:val="both"/>
        <w:rPr>
          <w:rFonts w:ascii="Times New Roman" w:hAnsi="Times New Roman" w:cs="Times New Roman"/>
          <w:noProof/>
          <w:sz w:val="24"/>
          <w:szCs w:val="24"/>
          <w:lang w:val="fr-FR"/>
        </w:rPr>
      </w:pPr>
    </w:p>
    <w:p w:rsidR="008E0938" w:rsidRDefault="006B388A">
      <w:pPr>
        <w:pStyle w:val="ListParagraph"/>
        <w:numPr>
          <w:ilvl w:val="0"/>
          <w:numId w:val="6"/>
        </w:numPr>
        <w:tabs>
          <w:tab w:val="left" w:leader="dot" w:pos="7513"/>
        </w:tabs>
        <w:spacing w:after="120" w:line="240" w:lineRule="auto"/>
        <w:jc w:val="both"/>
        <w:rPr>
          <w:rFonts w:ascii="Times New Roman" w:hAnsi="Times New Roman" w:cs="Times New Roman"/>
          <w:b/>
          <w:smallCaps/>
          <w:noProof/>
          <w:sz w:val="24"/>
          <w:szCs w:val="24"/>
          <w:lang w:val="fr-FR"/>
        </w:rPr>
      </w:pPr>
      <w:r>
        <w:rPr>
          <w:rFonts w:ascii="Times New Roman" w:hAnsi="Times New Roman" w:cs="Times New Roman"/>
          <w:b/>
          <w:smallCaps/>
          <w:noProof/>
          <w:sz w:val="24"/>
          <w:szCs w:val="24"/>
          <w:lang w:val="fr-FR"/>
        </w:rPr>
        <w:t>Normes harmonisées</w:t>
      </w:r>
    </w:p>
    <w:p w:rsidR="008E0938" w:rsidRDefault="008E0938">
      <w:pPr>
        <w:pStyle w:val="ListParagraph"/>
        <w:spacing w:after="120" w:line="240" w:lineRule="auto"/>
        <w:jc w:val="both"/>
        <w:rPr>
          <w:rFonts w:ascii="Times New Roman" w:hAnsi="Times New Roman" w:cs="Times New Roman"/>
          <w:noProof/>
          <w:sz w:val="24"/>
          <w:szCs w:val="24"/>
          <w:lang w:val="fr-FR"/>
        </w:rPr>
      </w:pPr>
    </w:p>
    <w:p w:rsidR="008E0938" w:rsidRDefault="006B388A">
      <w:pPr>
        <w:pStyle w:val="ListParagraph"/>
        <w:spacing w:after="120" w:line="240" w:lineRule="auto"/>
        <w:ind w:left="0"/>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En vertu du RPC, les 457 normes harmonisées existantes, citées dans le journal officiel de l’Union européenne (JOUE), et leurs plus de 2</w:t>
      </w:r>
      <w:r>
        <w:rPr>
          <w:rFonts w:ascii="Times New Roman" w:hAnsi="Times New Roman"/>
          <w:noProof/>
          <w:lang w:val="fr-FR"/>
        </w:rPr>
        <w:t> </w:t>
      </w:r>
      <w:r>
        <w:rPr>
          <w:rFonts w:ascii="Times New Roman" w:hAnsi="Times New Roman" w:cs="Times New Roman"/>
          <w:noProof/>
          <w:sz w:val="24"/>
          <w:szCs w:val="24"/>
          <w:lang w:val="fr-FR"/>
        </w:rPr>
        <w:t>000 normes connexes, sont la principale source du langage technique commun dans</w:t>
      </w:r>
      <w:r>
        <w:rPr>
          <w:rFonts w:ascii="Times New Roman" w:hAnsi="Times New Roman" w:cs="Times New Roman"/>
          <w:noProof/>
          <w:sz w:val="24"/>
          <w:szCs w:val="24"/>
          <w:lang w:val="fr-FR"/>
        </w:rPr>
        <w:t xml:space="preserve"> ce domaine. Selon les estimations, les normes harmonisées couvriraient à ce jour environ 75 à 80 % de l’ensemble des produits de construction. La plupart d’entre elles sont devenues applicables peu avant l’entrée en vigueur du RPC, ce qui explique en part</w:t>
      </w:r>
      <w:r>
        <w:rPr>
          <w:rFonts w:ascii="Times New Roman" w:hAnsi="Times New Roman" w:cs="Times New Roman"/>
          <w:noProof/>
          <w:sz w:val="24"/>
          <w:szCs w:val="24"/>
          <w:lang w:val="fr-FR"/>
        </w:rPr>
        <w:t>ie que certaines parties prenantes ont l’impression que des changements radicaux ont été opérés au titre du RPC.</w:t>
      </w:r>
    </w:p>
    <w:p w:rsidR="008E0938" w:rsidRDefault="006B388A">
      <w:pPr>
        <w:pStyle w:val="ListParagraph"/>
        <w:spacing w:after="120" w:line="240" w:lineRule="auto"/>
        <w:ind w:left="0"/>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Contrairement aux normes harmonisées élaborées en vertu de la législation d’harmonisation de l’UE entièrement basée sur le nouveau cadre législ</w:t>
      </w:r>
      <w:r>
        <w:rPr>
          <w:rFonts w:ascii="Times New Roman" w:hAnsi="Times New Roman" w:cs="Times New Roman"/>
          <w:noProof/>
          <w:sz w:val="24"/>
          <w:szCs w:val="24"/>
          <w:lang w:val="fr-FR"/>
        </w:rPr>
        <w:t>atif</w:t>
      </w:r>
      <w:r>
        <w:rPr>
          <w:rStyle w:val="FootnoteReference"/>
          <w:rFonts w:ascii="Times New Roman" w:hAnsi="Times New Roman" w:cs="Times New Roman"/>
          <w:noProof/>
          <w:sz w:val="24"/>
          <w:szCs w:val="24"/>
          <w:lang w:val="fr-FR"/>
        </w:rPr>
        <w:footnoteReference w:id="23"/>
      </w:r>
      <w:r>
        <w:rPr>
          <w:rFonts w:ascii="Times New Roman" w:hAnsi="Times New Roman" w:cs="Times New Roman"/>
          <w:noProof/>
          <w:sz w:val="24"/>
          <w:szCs w:val="24"/>
          <w:lang w:val="fr-FR"/>
        </w:rPr>
        <w:t xml:space="preserve">, les normes harmonisées basées sur le RPC devraient préciser uniquement les méthodes et critères d’évaluation des performances des produits de construction correspondant à leurs caractéristiques essentielles. En général, elles ne fixent pas les </w:t>
      </w:r>
      <w:r>
        <w:rPr>
          <w:rFonts w:ascii="Times New Roman" w:hAnsi="Times New Roman" w:cs="Times New Roman"/>
          <w:noProof/>
          <w:sz w:val="24"/>
          <w:szCs w:val="24"/>
          <w:lang w:val="fr-FR"/>
        </w:rPr>
        <w:t>exigences relatives aux performances des produits à proprement parler. Cela est dû à la répartition des pouvoirs entre l’UE et les États membres telle que décrite ci-dessus.</w:t>
      </w:r>
    </w:p>
    <w:p w:rsidR="008E0938" w:rsidRDefault="006B388A">
      <w:pPr>
        <w:pStyle w:val="ListParagraph"/>
        <w:spacing w:after="120" w:line="240" w:lineRule="auto"/>
        <w:ind w:left="0"/>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L’une des spécificités du RPC réside dans le fait qu’il prévoit l’utilisation obli</w:t>
      </w:r>
      <w:r>
        <w:rPr>
          <w:rFonts w:ascii="Times New Roman" w:hAnsi="Times New Roman" w:cs="Times New Roman"/>
          <w:noProof/>
          <w:sz w:val="24"/>
          <w:szCs w:val="24"/>
          <w:lang w:val="fr-FR"/>
        </w:rPr>
        <w:t>gatoire des normes harmonisées pour les fabricants lorsqu’ils mettent leurs produits de construction sur le marché, ainsi que pour les autorités nationales des États membres lorsqu’elles établissent les exigences concernant leur utilisation</w:t>
      </w:r>
      <w:r>
        <w:rPr>
          <w:rStyle w:val="FootnoteReference"/>
          <w:rFonts w:ascii="Times New Roman" w:hAnsi="Times New Roman" w:cs="Times New Roman"/>
          <w:noProof/>
          <w:sz w:val="24"/>
          <w:szCs w:val="24"/>
          <w:lang w:val="fr-FR"/>
        </w:rPr>
        <w:footnoteReference w:id="24"/>
      </w:r>
      <w:r>
        <w:rPr>
          <w:rFonts w:ascii="Times New Roman" w:hAnsi="Times New Roman" w:cs="Times New Roman"/>
          <w:noProof/>
          <w:sz w:val="24"/>
          <w:szCs w:val="24"/>
          <w:lang w:val="fr-FR"/>
        </w:rPr>
        <w:t>. Cela signifie</w:t>
      </w:r>
      <w:r>
        <w:rPr>
          <w:rFonts w:ascii="Times New Roman" w:hAnsi="Times New Roman" w:cs="Times New Roman"/>
          <w:noProof/>
          <w:sz w:val="24"/>
          <w:szCs w:val="24"/>
          <w:lang w:val="fr-FR"/>
        </w:rPr>
        <w:t xml:space="preserve"> que toutes les parties prenantes peuvent s’appuyer sur les règles uniformes mises en place et ne doivent pas recourir à d’autres instruments (nationaux) à cet effet</w:t>
      </w:r>
      <w:r>
        <w:rPr>
          <w:rStyle w:val="FootnoteReference"/>
          <w:rFonts w:ascii="Times New Roman" w:hAnsi="Times New Roman" w:cs="Times New Roman"/>
          <w:noProof/>
          <w:sz w:val="24"/>
          <w:szCs w:val="24"/>
          <w:lang w:val="fr-FR"/>
        </w:rPr>
        <w:footnoteReference w:id="25"/>
      </w:r>
      <w:r>
        <w:rPr>
          <w:rFonts w:ascii="Times New Roman" w:hAnsi="Times New Roman" w:cs="Times New Roman"/>
          <w:noProof/>
          <w:sz w:val="24"/>
          <w:szCs w:val="24"/>
          <w:lang w:val="fr-FR"/>
        </w:rPr>
        <w:t>.</w:t>
      </w:r>
    </w:p>
    <w:p w:rsidR="008E0938" w:rsidRDefault="006B388A">
      <w:pPr>
        <w:pStyle w:val="ListParagraph"/>
        <w:spacing w:after="120" w:line="240" w:lineRule="auto"/>
        <w:ind w:left="0"/>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Étant donné que leur utilisation est obligatoire pour les produits de construction et qu</w:t>
      </w:r>
      <w:r>
        <w:rPr>
          <w:rFonts w:ascii="Times New Roman" w:hAnsi="Times New Roman" w:cs="Times New Roman"/>
          <w:noProof/>
          <w:sz w:val="24"/>
          <w:szCs w:val="24"/>
          <w:lang w:val="fr-FR"/>
        </w:rPr>
        <w:t>’elles ont un impact majeur sur le marché, les normes harmonisées doivent être de grandes qualités. Il convient de le garder à l’esprit lors de la conception et de l’application de leurs procédures d’adoption. Il est particulièrement important que les diff</w:t>
      </w:r>
      <w:r>
        <w:rPr>
          <w:rFonts w:ascii="Times New Roman" w:hAnsi="Times New Roman" w:cs="Times New Roman"/>
          <w:noProof/>
          <w:sz w:val="24"/>
          <w:szCs w:val="24"/>
          <w:lang w:val="fr-FR"/>
        </w:rPr>
        <w:t>érentes catégories de parties prenantes</w:t>
      </w:r>
      <w:r>
        <w:rPr>
          <w:rStyle w:val="FootnoteReference"/>
          <w:rFonts w:ascii="Times New Roman" w:hAnsi="Times New Roman" w:cs="Times New Roman"/>
          <w:noProof/>
          <w:sz w:val="24"/>
          <w:szCs w:val="24"/>
          <w:lang w:val="fr-FR"/>
        </w:rPr>
        <w:footnoteReference w:id="26"/>
      </w:r>
      <w:r>
        <w:rPr>
          <w:rFonts w:ascii="Times New Roman" w:hAnsi="Times New Roman" w:cs="Times New Roman"/>
          <w:noProof/>
          <w:sz w:val="24"/>
          <w:szCs w:val="24"/>
          <w:lang w:val="fr-FR"/>
        </w:rPr>
        <w:t xml:space="preserve"> soient représentées de façon juste et équitable et que les règles des articles 3, paragraphe 3, et 27 du RPC sur l’établissement de nouvelles classes ou de niveaux seuils de performance soient respectées. Ces deux a</w:t>
      </w:r>
      <w:r>
        <w:rPr>
          <w:rFonts w:ascii="Times New Roman" w:hAnsi="Times New Roman" w:cs="Times New Roman"/>
          <w:noProof/>
          <w:sz w:val="24"/>
          <w:szCs w:val="24"/>
          <w:lang w:val="fr-FR"/>
        </w:rPr>
        <w:t>spects doivent encore être améliorés.</w:t>
      </w:r>
    </w:p>
    <w:p w:rsidR="008E0938" w:rsidRDefault="006B388A">
      <w:pPr>
        <w:pStyle w:val="ListParagraph"/>
        <w:spacing w:after="120" w:line="240" w:lineRule="auto"/>
        <w:ind w:left="0"/>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Comme les normes harmonisées datent pour la plupart de l’époque de la DPC et qu’elles ont toutes été élaborées sur la base de mandats de normalisation émis il y a 10 à 20 ans, certaines ont désormais besoin d’être révi</w:t>
      </w:r>
      <w:r>
        <w:rPr>
          <w:rFonts w:ascii="Times New Roman" w:hAnsi="Times New Roman" w:cs="Times New Roman"/>
          <w:noProof/>
          <w:sz w:val="24"/>
          <w:szCs w:val="24"/>
          <w:lang w:val="fr-FR"/>
        </w:rPr>
        <w:t>sées en fonction des évolutions techniques et du marché. En outre, toutes les caractéristiques spécifiques du RPC n’ont pas encore été totalement prises en compte. La transition de la DPC vers le RPC exige que les parties prenantes, les organisations europ</w:t>
      </w:r>
      <w:r>
        <w:rPr>
          <w:rFonts w:ascii="Times New Roman" w:hAnsi="Times New Roman" w:cs="Times New Roman"/>
          <w:noProof/>
          <w:sz w:val="24"/>
          <w:szCs w:val="24"/>
          <w:lang w:val="fr-FR"/>
        </w:rPr>
        <w:t>éennes de normalisation et les autorités des États membres apprennent à assimiler les nouvelles caractéristiques et les appliquent dans les normes harmonisées. Il y a eu quelques retards dans le démarrage de ce processus et l’adaptation se poursuit.</w:t>
      </w:r>
    </w:p>
    <w:p w:rsidR="008E0938" w:rsidRDefault="006B388A">
      <w:pPr>
        <w:pStyle w:val="ListParagraph"/>
        <w:spacing w:after="120" w:line="240" w:lineRule="auto"/>
        <w:ind w:left="0"/>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Ces ci</w:t>
      </w:r>
      <w:r>
        <w:rPr>
          <w:rFonts w:ascii="Times New Roman" w:hAnsi="Times New Roman" w:cs="Times New Roman"/>
          <w:noProof/>
          <w:sz w:val="24"/>
          <w:szCs w:val="24"/>
          <w:lang w:val="fr-FR"/>
        </w:rPr>
        <w:t xml:space="preserve">rconstances ont nécessité une plus grande surveillance de la part de la Commission. En conséquence, un nombre important de normes harmonisées candidates ne sont pas citées dans le JOUE avant les ajustements appropriés ou l’adoption des actes délégués pour </w:t>
      </w:r>
      <w:r>
        <w:rPr>
          <w:rFonts w:ascii="Times New Roman" w:hAnsi="Times New Roman" w:cs="Times New Roman"/>
          <w:noProof/>
          <w:sz w:val="24"/>
          <w:szCs w:val="24"/>
          <w:lang w:val="fr-FR"/>
        </w:rPr>
        <w:t>intégrer des classes et/ou niveaux seuils. Une coopération continue avec les consultants du Comité européen de normalisation (CEN) sera essentielle pour améliorer la situation avant de présenter les normes harmonisées à la Commission en vue de la publicati</w:t>
      </w:r>
      <w:r>
        <w:rPr>
          <w:rFonts w:ascii="Times New Roman" w:hAnsi="Times New Roman" w:cs="Times New Roman"/>
          <w:noProof/>
          <w:sz w:val="24"/>
          <w:szCs w:val="24"/>
          <w:lang w:val="fr-FR"/>
        </w:rPr>
        <w:t>on de leurs références dans le JOUE.</w:t>
      </w:r>
    </w:p>
    <w:p w:rsidR="008E0938" w:rsidRDefault="006B388A">
      <w:pPr>
        <w:spacing w:after="120" w:line="240" w:lineRule="auto"/>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Bien que le RPC n’ait pas apporté de changements conséquents au cadre général des normes harmonisées dans ce domaine, les parties prenantes ont récemment demandé un processus de normalisation plus rapide et simplifié, a</w:t>
      </w:r>
      <w:r>
        <w:rPr>
          <w:rFonts w:ascii="Times New Roman" w:hAnsi="Times New Roman" w:cs="Times New Roman"/>
          <w:noProof/>
          <w:sz w:val="24"/>
          <w:szCs w:val="24"/>
          <w:lang w:val="fr-FR"/>
        </w:rPr>
        <w:t>insi que des normes répondant mieux aux besoins des utilisateurs. Le caractère exhaustif des normes harmonisées basées sur le RPC, confirmé par la Cour de justice de l’UE dans l’affaire C-100/13 citée en référence ci-dessus</w:t>
      </w:r>
      <w:r>
        <w:rPr>
          <w:rStyle w:val="FootnoteReference"/>
          <w:rFonts w:ascii="Times New Roman" w:hAnsi="Times New Roman" w:cs="Times New Roman"/>
          <w:noProof/>
          <w:sz w:val="24"/>
          <w:szCs w:val="24"/>
          <w:lang w:val="fr-FR"/>
        </w:rPr>
        <w:footnoteReference w:id="27"/>
      </w:r>
      <w:r>
        <w:rPr>
          <w:rFonts w:ascii="Times New Roman" w:hAnsi="Times New Roman" w:cs="Times New Roman"/>
          <w:noProof/>
          <w:sz w:val="24"/>
          <w:szCs w:val="24"/>
          <w:lang w:val="fr-FR"/>
        </w:rPr>
        <w:t>, exige encore l’adaptation d’un</w:t>
      </w:r>
      <w:r>
        <w:rPr>
          <w:rFonts w:ascii="Times New Roman" w:hAnsi="Times New Roman" w:cs="Times New Roman"/>
          <w:noProof/>
          <w:sz w:val="24"/>
          <w:szCs w:val="24"/>
          <w:lang w:val="fr-FR"/>
        </w:rPr>
        <w:t xml:space="preserve"> certain nombre de normes</w:t>
      </w:r>
      <w:r>
        <w:rPr>
          <w:rStyle w:val="FootnoteReference"/>
          <w:rFonts w:ascii="Times New Roman" w:hAnsi="Times New Roman" w:cs="Times New Roman"/>
          <w:noProof/>
          <w:sz w:val="24"/>
          <w:szCs w:val="24"/>
          <w:lang w:val="fr-FR"/>
        </w:rPr>
        <w:footnoteReference w:id="28"/>
      </w:r>
      <w:r>
        <w:rPr>
          <w:rFonts w:ascii="Times New Roman" w:hAnsi="Times New Roman" w:cs="Times New Roman"/>
          <w:noProof/>
          <w:sz w:val="24"/>
          <w:szCs w:val="24"/>
          <w:lang w:val="fr-FR"/>
        </w:rPr>
        <w:t>. En outre, des demandes de normalisation nouvelles ou révisées doivent être émises</w:t>
      </w:r>
      <w:r>
        <w:rPr>
          <w:rStyle w:val="FootnoteReference"/>
          <w:rFonts w:ascii="Times New Roman" w:hAnsi="Times New Roman" w:cs="Times New Roman"/>
          <w:noProof/>
          <w:sz w:val="24"/>
          <w:szCs w:val="24"/>
          <w:lang w:val="fr-FR"/>
        </w:rPr>
        <w:footnoteReference w:id="29"/>
      </w:r>
      <w:r>
        <w:rPr>
          <w:rFonts w:ascii="Times New Roman" w:hAnsi="Times New Roman" w:cs="Times New Roman"/>
          <w:noProof/>
          <w:sz w:val="24"/>
          <w:szCs w:val="24"/>
          <w:lang w:val="fr-FR"/>
        </w:rPr>
        <w:t xml:space="preserve"> et l’actuel arriéré des normes harmonisées qui ne sont pas encore citées dans le JOUE doit être résorbé. Tout cela peut être réalisé moyennant se</w:t>
      </w:r>
      <w:r>
        <w:rPr>
          <w:rFonts w:ascii="Times New Roman" w:hAnsi="Times New Roman" w:cs="Times New Roman"/>
          <w:noProof/>
          <w:sz w:val="24"/>
          <w:szCs w:val="24"/>
          <w:lang w:val="fr-FR"/>
        </w:rPr>
        <w:t>ulement une collaboration accrue entre le CEN, les États membres, l’industrie, la Commission et les parties prenantes concernées, notamment dans le cadre l’initiative commune sur la normalisation</w:t>
      </w:r>
      <w:r>
        <w:rPr>
          <w:rStyle w:val="FootnoteReference"/>
          <w:rFonts w:ascii="Times New Roman" w:hAnsi="Times New Roman" w:cs="Times New Roman"/>
          <w:noProof/>
          <w:sz w:val="24"/>
          <w:szCs w:val="24"/>
          <w:lang w:val="fr-FR"/>
        </w:rPr>
        <w:footnoteReference w:id="30"/>
      </w:r>
      <w:r>
        <w:rPr>
          <w:rFonts w:ascii="Times New Roman" w:hAnsi="Times New Roman" w:cs="Times New Roman"/>
          <w:noProof/>
          <w:sz w:val="24"/>
          <w:szCs w:val="24"/>
          <w:lang w:val="fr-FR"/>
        </w:rPr>
        <w:t>.</w:t>
      </w:r>
    </w:p>
    <w:p w:rsidR="008E0938" w:rsidRDefault="008E0938">
      <w:pPr>
        <w:spacing w:after="120" w:line="240" w:lineRule="auto"/>
        <w:jc w:val="both"/>
        <w:rPr>
          <w:rFonts w:ascii="Times New Roman" w:hAnsi="Times New Roman" w:cs="Times New Roman"/>
          <w:noProof/>
          <w:sz w:val="24"/>
          <w:szCs w:val="24"/>
          <w:lang w:val="fr-FR"/>
        </w:rPr>
      </w:pPr>
    </w:p>
    <w:p w:rsidR="008E0938" w:rsidRDefault="006B388A">
      <w:pPr>
        <w:pStyle w:val="ListParagraph"/>
        <w:numPr>
          <w:ilvl w:val="0"/>
          <w:numId w:val="6"/>
        </w:numPr>
        <w:tabs>
          <w:tab w:val="left" w:leader="dot" w:pos="7088"/>
        </w:tabs>
        <w:spacing w:after="120" w:line="240" w:lineRule="auto"/>
        <w:jc w:val="both"/>
        <w:rPr>
          <w:rFonts w:ascii="Times New Roman" w:hAnsi="Times New Roman" w:cs="Times New Roman"/>
          <w:b/>
          <w:smallCaps/>
          <w:noProof/>
          <w:sz w:val="24"/>
          <w:szCs w:val="24"/>
          <w:lang w:val="fr-FR"/>
        </w:rPr>
      </w:pPr>
      <w:r>
        <w:rPr>
          <w:rFonts w:ascii="Times New Roman" w:hAnsi="Times New Roman" w:cs="Times New Roman"/>
          <w:b/>
          <w:smallCaps/>
          <w:noProof/>
          <w:sz w:val="24"/>
          <w:szCs w:val="24"/>
          <w:lang w:val="fr-FR"/>
        </w:rPr>
        <w:t>Organisation européenne pour l’agrément technique (EOTA)</w:t>
      </w:r>
    </w:p>
    <w:p w:rsidR="008E0938" w:rsidRDefault="006B388A">
      <w:pPr>
        <w:pStyle w:val="CM1"/>
        <w:spacing w:after="120"/>
        <w:jc w:val="both"/>
        <w:rPr>
          <w:rFonts w:ascii="Times New Roman" w:hAnsi="Times New Roman"/>
          <w:noProof/>
          <w:lang w:val="fr-FR"/>
        </w:rPr>
      </w:pPr>
      <w:r>
        <w:rPr>
          <w:rFonts w:ascii="Times New Roman" w:hAnsi="Times New Roman"/>
          <w:noProof/>
          <w:lang w:val="fr-FR"/>
        </w:rPr>
        <w:t>S’agissant des produits pour lesquels les performances ne peuvent pas être entièrement évaluées conformément à une norme harmonisée existante, le RPC</w:t>
      </w:r>
      <w:r>
        <w:rPr>
          <w:noProof/>
          <w:vertAlign w:val="superscript"/>
          <w:lang w:val="fr-FR"/>
        </w:rPr>
        <w:footnoteReference w:id="31"/>
      </w:r>
      <w:r>
        <w:rPr>
          <w:rFonts w:ascii="Times New Roman" w:hAnsi="Times New Roman"/>
          <w:noProof/>
          <w:lang w:val="fr-FR"/>
        </w:rPr>
        <w:t xml:space="preserve"> définit des procédures spécifiques impliquant une demande d’évaluation technique européenne présentée par</w:t>
      </w:r>
      <w:r>
        <w:rPr>
          <w:rFonts w:ascii="Times New Roman" w:hAnsi="Times New Roman"/>
          <w:noProof/>
          <w:lang w:val="fr-FR"/>
        </w:rPr>
        <w:t xml:space="preserve"> les fabricants et la rédaction et l’adoption des documents d’évaluation européens par l’EOTA, l’organisation des organismes d’évaluation technique (OET).</w:t>
      </w:r>
    </w:p>
    <w:p w:rsidR="008E0938" w:rsidRDefault="006B388A">
      <w:pPr>
        <w:pStyle w:val="CM1"/>
        <w:spacing w:after="120"/>
        <w:jc w:val="both"/>
        <w:rPr>
          <w:rFonts w:ascii="Times New Roman" w:hAnsi="Times New Roman"/>
          <w:noProof/>
          <w:lang w:val="fr-FR"/>
        </w:rPr>
      </w:pPr>
      <w:r>
        <w:rPr>
          <w:rFonts w:ascii="Times New Roman" w:hAnsi="Times New Roman"/>
          <w:noProof/>
          <w:lang w:val="fr-FR"/>
        </w:rPr>
        <w:t>Les objectifs de l’EOTA, tels que définis dans le RPC et sur la base de l’expérience et des critiques</w:t>
      </w:r>
      <w:r>
        <w:rPr>
          <w:rFonts w:ascii="Times New Roman" w:hAnsi="Times New Roman"/>
          <w:noProof/>
          <w:lang w:val="fr-FR"/>
        </w:rPr>
        <w:t xml:space="preserve"> à l’encontre de la DPC, ont été atteints: raccourcir et simplifier les procédures, réduire leur coût pour les fabricants et les rendre plus transparentes. Afin de passer de la délivrance d’agréments pour des produits à la seule évaluation de leurs perform</w:t>
      </w:r>
      <w:r>
        <w:rPr>
          <w:rFonts w:ascii="Times New Roman" w:hAnsi="Times New Roman"/>
          <w:noProof/>
          <w:lang w:val="fr-FR"/>
        </w:rPr>
        <w:t>ances, la première étape a consisté à mettre en place un ensemble de principes</w:t>
      </w:r>
      <w:r>
        <w:rPr>
          <w:rStyle w:val="FootnoteReference"/>
          <w:rFonts w:ascii="Times New Roman" w:hAnsi="Times New Roman"/>
          <w:noProof/>
          <w:color w:val="000000"/>
          <w:lang w:val="fr-FR"/>
        </w:rPr>
        <w:footnoteReference w:id="32"/>
      </w:r>
      <w:r>
        <w:rPr>
          <w:rFonts w:ascii="Times New Roman" w:hAnsi="Times New Roman"/>
          <w:noProof/>
          <w:lang w:val="fr-FR"/>
        </w:rPr>
        <w:t>, qui ont ensuite été transformés en procédures spécifiques pour la rédaction et l’adoption des documents d’évaluation européens</w:t>
      </w:r>
      <w:r>
        <w:rPr>
          <w:rStyle w:val="FootnoteReference"/>
          <w:rFonts w:ascii="Times New Roman" w:hAnsi="Times New Roman"/>
          <w:noProof/>
          <w:color w:val="000000"/>
          <w:lang w:val="fr-FR"/>
        </w:rPr>
        <w:footnoteReference w:id="33"/>
      </w:r>
      <w:r>
        <w:rPr>
          <w:rFonts w:ascii="Times New Roman" w:hAnsi="Times New Roman"/>
          <w:noProof/>
          <w:lang w:val="fr-FR"/>
        </w:rPr>
        <w:t>. La conformité à ces principes a été bonne grâc</w:t>
      </w:r>
      <w:r>
        <w:rPr>
          <w:rFonts w:ascii="Times New Roman" w:hAnsi="Times New Roman"/>
          <w:noProof/>
          <w:lang w:val="fr-FR"/>
        </w:rPr>
        <w:t>e à une plus grande participation des fabricants impliqués et de la Commission à ces procédures.</w:t>
      </w:r>
    </w:p>
    <w:p w:rsidR="008E0938" w:rsidRDefault="006B388A">
      <w:pPr>
        <w:pStyle w:val="CM1"/>
        <w:spacing w:after="120"/>
        <w:jc w:val="both"/>
        <w:rPr>
          <w:rFonts w:ascii="Times New Roman" w:hAnsi="Times New Roman"/>
          <w:noProof/>
          <w:lang w:val="fr-FR"/>
        </w:rPr>
      </w:pPr>
      <w:r>
        <w:rPr>
          <w:rFonts w:ascii="Times New Roman" w:hAnsi="Times New Roman"/>
          <w:noProof/>
          <w:lang w:val="fr-FR"/>
        </w:rPr>
        <w:t>Depuis novembre 2011, les États membres ont pour la plupart désigné des organismes d’évaluation technique (OET) en utilisant les outils électroniques de la Com</w:t>
      </w:r>
      <w:r>
        <w:rPr>
          <w:rFonts w:ascii="Times New Roman" w:hAnsi="Times New Roman"/>
          <w:noProof/>
          <w:lang w:val="fr-FR"/>
        </w:rPr>
        <w:t>mission, suivant les critères stricts fixés dans et basés sur le RPC</w:t>
      </w:r>
      <w:r>
        <w:rPr>
          <w:rStyle w:val="FootnoteReference"/>
          <w:rFonts w:ascii="Times New Roman" w:hAnsi="Times New Roman"/>
          <w:noProof/>
          <w:color w:val="000000"/>
          <w:lang w:val="fr-FR"/>
        </w:rPr>
        <w:footnoteReference w:id="34"/>
      </w:r>
      <w:r>
        <w:rPr>
          <w:rFonts w:ascii="Times New Roman" w:hAnsi="Times New Roman"/>
          <w:noProof/>
          <w:lang w:val="fr-FR"/>
        </w:rPr>
        <w:t>. Les demandes d’évaluations techniques européennes (ETE) et donc également la préparation des projets de documents d’évaluation européens sont principalement traitées par un nombre limit</w:t>
      </w:r>
      <w:r>
        <w:rPr>
          <w:rFonts w:ascii="Times New Roman" w:hAnsi="Times New Roman"/>
          <w:noProof/>
          <w:lang w:val="fr-FR"/>
        </w:rPr>
        <w:t>é d’OET.</w:t>
      </w:r>
    </w:p>
    <w:p w:rsidR="008E0938" w:rsidRDefault="006B388A">
      <w:pPr>
        <w:pStyle w:val="CM1"/>
        <w:spacing w:after="120"/>
        <w:jc w:val="both"/>
        <w:rPr>
          <w:rFonts w:ascii="Times New Roman" w:hAnsi="Times New Roman"/>
          <w:noProof/>
          <w:lang w:val="fr-FR"/>
        </w:rPr>
      </w:pPr>
      <w:r>
        <w:rPr>
          <w:rFonts w:ascii="Times New Roman" w:hAnsi="Times New Roman"/>
          <w:noProof/>
          <w:lang w:val="fr-FR"/>
        </w:rPr>
        <w:t>Toutefois, la transition de la DPC vers le RPC n’est pas encore achevée. Près de 90 % des ETE émises en vertu du RPC sont encore basées sur les guides d’agrément technique européen (ETAG) utilisés comme documents d’évaluation européens</w:t>
      </w:r>
      <w:r>
        <w:rPr>
          <w:rStyle w:val="FootnoteReference"/>
          <w:rFonts w:ascii="Times New Roman" w:hAnsi="Times New Roman"/>
          <w:noProof/>
          <w:color w:val="000000"/>
          <w:lang w:val="fr-FR"/>
        </w:rPr>
        <w:footnoteReference w:id="35"/>
      </w:r>
      <w:r>
        <w:rPr>
          <w:rFonts w:ascii="Times New Roman" w:hAnsi="Times New Roman"/>
          <w:noProof/>
          <w:lang w:val="fr-FR"/>
        </w:rPr>
        <w:t xml:space="preserve">. Les </w:t>
      </w:r>
      <w:r>
        <w:rPr>
          <w:rFonts w:ascii="Times New Roman" w:hAnsi="Times New Roman"/>
          <w:noProof/>
          <w:lang w:val="fr-FR"/>
        </w:rPr>
        <w:t>principes de ces pratiques ont été convenus avec l’EOTA et doivent être suivis pour anticiper toute complication, notamment pour les fabricants impliqués. La conversion des guides d’agrément technique européen en documents d’évaluation européens est en cou</w:t>
      </w:r>
      <w:r>
        <w:rPr>
          <w:rFonts w:ascii="Times New Roman" w:hAnsi="Times New Roman"/>
          <w:noProof/>
          <w:lang w:val="fr-FR"/>
        </w:rPr>
        <w:t>rs</w:t>
      </w:r>
      <w:r>
        <w:rPr>
          <w:rStyle w:val="FootnoteReference"/>
          <w:rFonts w:ascii="Times New Roman" w:hAnsi="Times New Roman"/>
          <w:noProof/>
          <w:lang w:val="fr-FR"/>
        </w:rPr>
        <w:footnoteReference w:id="36"/>
      </w:r>
      <w:r>
        <w:rPr>
          <w:rFonts w:ascii="Times New Roman" w:hAnsi="Times New Roman"/>
          <w:noProof/>
          <w:lang w:val="fr-FR"/>
        </w:rPr>
        <w:t xml:space="preserve"> et a commencé par ceux les plus fréquemment utilisés. Les fabricants peuvent utiliser, en tant qu’ETE les agréments techniques européens délivrés conformément à la DPC (jusqu’au 30 juin 2013) pendant toute la durée de leur validité (cinq ans au maximum</w:t>
      </w:r>
      <w:r>
        <w:rPr>
          <w:rFonts w:ascii="Times New Roman" w:hAnsi="Times New Roman"/>
          <w:noProof/>
          <w:lang w:val="fr-FR"/>
        </w:rPr>
        <w:t>, soit éventuellement jusqu’au 30 juin 2018)</w:t>
      </w:r>
      <w:r>
        <w:rPr>
          <w:rStyle w:val="FootnoteReference"/>
          <w:rFonts w:ascii="Times New Roman" w:hAnsi="Times New Roman"/>
          <w:noProof/>
          <w:color w:val="000000"/>
          <w:lang w:val="fr-FR"/>
        </w:rPr>
        <w:footnoteReference w:id="37"/>
      </w:r>
      <w:r>
        <w:rPr>
          <w:rFonts w:ascii="Times New Roman" w:hAnsi="Times New Roman"/>
          <w:noProof/>
          <w:lang w:val="fr-FR"/>
        </w:rPr>
        <w:t>.</w:t>
      </w:r>
    </w:p>
    <w:p w:rsidR="008E0938" w:rsidRDefault="006B388A">
      <w:pPr>
        <w:pStyle w:val="CM1"/>
        <w:spacing w:after="120"/>
        <w:jc w:val="both"/>
        <w:rPr>
          <w:rFonts w:ascii="Times New Roman" w:hAnsi="Times New Roman"/>
          <w:noProof/>
          <w:lang w:val="fr-FR"/>
        </w:rPr>
      </w:pPr>
      <w:r>
        <w:rPr>
          <w:rFonts w:ascii="Times New Roman" w:hAnsi="Times New Roman"/>
          <w:noProof/>
          <w:lang w:val="fr-FR"/>
        </w:rPr>
        <w:t>L’évolution du concept au sein des OET – de «l’agrément du produit» à «l’évaluation des performances» – représente le principal défi pour la mise en œuvre appropriée des dispositions du RPC sur l’élaboration e</w:t>
      </w:r>
      <w:r>
        <w:rPr>
          <w:rFonts w:ascii="Times New Roman" w:hAnsi="Times New Roman"/>
          <w:noProof/>
          <w:lang w:val="fr-FR"/>
        </w:rPr>
        <w:t>t l’adoption des documents d’évaluation européens. Après l’adoption du règlement d’exécution (UE) nº 1062/2013 de la Commission relatif au format de l’évaluation technique européenne pour les produits de construction</w:t>
      </w:r>
      <w:r>
        <w:rPr>
          <w:rStyle w:val="FootnoteReference"/>
          <w:rFonts w:ascii="Times New Roman" w:hAnsi="Times New Roman"/>
          <w:noProof/>
          <w:lang w:val="fr-FR"/>
        </w:rPr>
        <w:footnoteReference w:id="38"/>
      </w:r>
      <w:r>
        <w:rPr>
          <w:rFonts w:ascii="Times New Roman" w:hAnsi="Times New Roman"/>
          <w:noProof/>
          <w:lang w:val="fr-FR"/>
        </w:rPr>
        <w:t>, l’EOTA et la Commission se sont accor</w:t>
      </w:r>
      <w:r>
        <w:rPr>
          <w:rFonts w:ascii="Times New Roman" w:hAnsi="Times New Roman"/>
          <w:noProof/>
          <w:lang w:val="fr-FR"/>
        </w:rPr>
        <w:t>dées sur les principes régissant la rédaction des documents d’évaluation européens et ont élaboré des orientations détaillées sur l’expérience acquise dans ces processus</w:t>
      </w:r>
      <w:r>
        <w:rPr>
          <w:rStyle w:val="FootnoteReference"/>
          <w:rFonts w:ascii="Times New Roman" w:hAnsi="Times New Roman"/>
          <w:noProof/>
          <w:color w:val="000000"/>
          <w:lang w:val="fr-FR"/>
        </w:rPr>
        <w:footnoteReference w:id="39"/>
      </w:r>
      <w:r>
        <w:rPr>
          <w:rFonts w:ascii="Times New Roman" w:hAnsi="Times New Roman"/>
          <w:noProof/>
          <w:lang w:val="fr-FR"/>
        </w:rPr>
        <w:t>. Tout ceci a permis la première publication des références aux documents d’évaluation</w:t>
      </w:r>
      <w:r>
        <w:rPr>
          <w:rFonts w:ascii="Times New Roman" w:hAnsi="Times New Roman"/>
          <w:noProof/>
          <w:lang w:val="fr-FR"/>
        </w:rPr>
        <w:t xml:space="preserve"> européens dans le JOUE en juillet 2015</w:t>
      </w:r>
      <w:r>
        <w:rPr>
          <w:rStyle w:val="FootnoteReference"/>
          <w:rFonts w:ascii="Times New Roman" w:hAnsi="Times New Roman"/>
          <w:noProof/>
          <w:color w:val="000000"/>
          <w:lang w:val="fr-FR"/>
        </w:rPr>
        <w:footnoteReference w:id="40"/>
      </w:r>
      <w:r>
        <w:rPr>
          <w:rFonts w:ascii="Times New Roman" w:hAnsi="Times New Roman"/>
          <w:noProof/>
          <w:lang w:val="fr-FR"/>
        </w:rPr>
        <w:t>.</w:t>
      </w:r>
    </w:p>
    <w:p w:rsidR="008E0938" w:rsidRDefault="006B388A">
      <w:pPr>
        <w:spacing w:after="120" w:line="240" w:lineRule="auto"/>
        <w:jc w:val="both"/>
        <w:rPr>
          <w:rFonts w:ascii="Times New Roman" w:hAnsi="Times New Roman"/>
          <w:noProof/>
          <w:sz w:val="24"/>
          <w:szCs w:val="24"/>
          <w:lang w:val="fr-FR"/>
        </w:rPr>
      </w:pPr>
      <w:r>
        <w:rPr>
          <w:rFonts w:ascii="Times New Roman" w:hAnsi="Times New Roman"/>
          <w:noProof/>
          <w:sz w:val="24"/>
          <w:szCs w:val="24"/>
          <w:lang w:val="fr-FR"/>
        </w:rPr>
        <w:t xml:space="preserve">La Commission n’a pas été informée par l’EOTA d’une quelconque nécessité de régler des différends entre OET, conformément aux dispositions de l’article 23 du RPC. Toutefois, cela ne signifie pas qu’il n’y a pas de </w:t>
      </w:r>
      <w:r>
        <w:rPr>
          <w:rFonts w:ascii="Times New Roman" w:hAnsi="Times New Roman"/>
          <w:noProof/>
          <w:sz w:val="24"/>
          <w:szCs w:val="24"/>
          <w:lang w:val="fr-FR"/>
        </w:rPr>
        <w:t>désaccords, en particulier dans la mesure où il y a eu des retards dans l’adoption des documents d’évaluation européens au sein de l’EOTA</w:t>
      </w:r>
      <w:r>
        <w:rPr>
          <w:rStyle w:val="FootnoteReference"/>
          <w:rFonts w:ascii="Times New Roman" w:hAnsi="Times New Roman"/>
          <w:noProof/>
          <w:color w:val="000000"/>
          <w:lang w:val="fr-FR"/>
        </w:rPr>
        <w:footnoteReference w:id="41"/>
      </w:r>
      <w:r>
        <w:rPr>
          <w:rFonts w:ascii="Times New Roman" w:hAnsi="Times New Roman"/>
          <w:noProof/>
          <w:sz w:val="24"/>
          <w:szCs w:val="24"/>
          <w:lang w:val="fr-FR"/>
        </w:rPr>
        <w:t>.</w:t>
      </w:r>
    </w:p>
    <w:p w:rsidR="008E0938" w:rsidRDefault="006B388A">
      <w:pPr>
        <w:spacing w:after="120" w:line="240" w:lineRule="auto"/>
        <w:jc w:val="both"/>
        <w:rPr>
          <w:rFonts w:ascii="Times New Roman" w:hAnsi="Times New Roman"/>
          <w:noProof/>
          <w:sz w:val="24"/>
          <w:szCs w:val="24"/>
          <w:lang w:val="fr-FR"/>
        </w:rPr>
      </w:pPr>
      <w:r>
        <w:rPr>
          <w:rFonts w:ascii="Times New Roman" w:hAnsi="Times New Roman"/>
          <w:noProof/>
          <w:sz w:val="24"/>
          <w:szCs w:val="24"/>
          <w:lang w:val="fr-FR"/>
        </w:rPr>
        <w:t>En conclusion, les articles 19, 20, 21 et 24 du RPC fonctionnent conformément à leurs objectifs. La transition prati</w:t>
      </w:r>
      <w:r>
        <w:rPr>
          <w:rFonts w:ascii="Times New Roman" w:hAnsi="Times New Roman"/>
          <w:noProof/>
          <w:sz w:val="24"/>
          <w:szCs w:val="24"/>
          <w:lang w:val="fr-FR"/>
        </w:rPr>
        <w:t>que de la DPC vers le RPC aurait pu être plus rapide et les procédures en place pourraient être encore plus simplifiées. Néanmoins, en général les améliorations requises pour finaliser les documents d’évaluation européens de manière plus rapide et transpar</w:t>
      </w:r>
      <w:r>
        <w:rPr>
          <w:rFonts w:ascii="Times New Roman" w:hAnsi="Times New Roman"/>
          <w:noProof/>
          <w:sz w:val="24"/>
          <w:szCs w:val="24"/>
          <w:lang w:val="fr-FR"/>
        </w:rPr>
        <w:t>ente peuvent être faites sans propositions de réglementation</w:t>
      </w:r>
      <w:r>
        <w:rPr>
          <w:rStyle w:val="FootnoteReference"/>
          <w:rFonts w:ascii="Times New Roman" w:hAnsi="Times New Roman"/>
          <w:noProof/>
          <w:color w:val="000000"/>
          <w:lang w:val="fr-FR"/>
        </w:rPr>
        <w:footnoteReference w:id="42"/>
      </w:r>
      <w:r>
        <w:rPr>
          <w:rFonts w:ascii="Times New Roman" w:hAnsi="Times New Roman"/>
          <w:noProof/>
          <w:sz w:val="24"/>
          <w:szCs w:val="24"/>
          <w:lang w:val="fr-FR"/>
        </w:rPr>
        <w:t>.</w:t>
      </w:r>
    </w:p>
    <w:p w:rsidR="008E0938" w:rsidRDefault="008E0938">
      <w:pPr>
        <w:pStyle w:val="CM1"/>
        <w:spacing w:after="120"/>
        <w:jc w:val="both"/>
        <w:rPr>
          <w:rFonts w:ascii="Times New Roman" w:hAnsi="Times New Roman"/>
          <w:noProof/>
          <w:lang w:val="fr-FR"/>
        </w:rPr>
      </w:pPr>
    </w:p>
    <w:p w:rsidR="008E0938" w:rsidRDefault="006B388A">
      <w:pPr>
        <w:pStyle w:val="ListParagraph"/>
        <w:numPr>
          <w:ilvl w:val="0"/>
          <w:numId w:val="6"/>
        </w:numPr>
        <w:tabs>
          <w:tab w:val="left" w:leader="dot" w:pos="7513"/>
        </w:tabs>
        <w:spacing w:after="120" w:line="240" w:lineRule="auto"/>
        <w:jc w:val="both"/>
        <w:rPr>
          <w:rFonts w:ascii="Times New Roman" w:hAnsi="Times New Roman" w:cs="Times New Roman"/>
          <w:b/>
          <w:smallCaps/>
          <w:noProof/>
          <w:sz w:val="24"/>
          <w:szCs w:val="24"/>
          <w:lang w:val="fr-FR"/>
        </w:rPr>
      </w:pPr>
      <w:r>
        <w:rPr>
          <w:rFonts w:ascii="Times New Roman" w:hAnsi="Times New Roman" w:cs="Times New Roman"/>
          <w:b/>
          <w:smallCaps/>
          <w:noProof/>
          <w:sz w:val="24"/>
          <w:szCs w:val="24"/>
          <w:lang w:val="fr-FR"/>
        </w:rPr>
        <w:t>Organismes notifiés et autorités notifiantes</w:t>
      </w:r>
    </w:p>
    <w:p w:rsidR="008E0938" w:rsidRDefault="008E0938">
      <w:pPr>
        <w:pStyle w:val="ListParagraph"/>
        <w:spacing w:after="120" w:line="240" w:lineRule="auto"/>
        <w:ind w:left="360"/>
        <w:jc w:val="both"/>
        <w:rPr>
          <w:rFonts w:ascii="Times New Roman" w:hAnsi="Times New Roman" w:cs="Times New Roman"/>
          <w:smallCaps/>
          <w:noProof/>
          <w:sz w:val="24"/>
          <w:szCs w:val="24"/>
          <w:lang w:val="fr-FR"/>
        </w:rPr>
      </w:pPr>
    </w:p>
    <w:p w:rsidR="008E0938" w:rsidRDefault="006B388A">
      <w:pPr>
        <w:pStyle w:val="ListParagraph"/>
        <w:autoSpaceDE w:val="0"/>
        <w:autoSpaceDN w:val="0"/>
        <w:adjustRightInd w:val="0"/>
        <w:spacing w:after="120" w:line="240" w:lineRule="auto"/>
        <w:ind w:left="0"/>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La crédibilité du système instauré par le RPC repose largement sur les organismes notifiés</w:t>
      </w:r>
      <w:r>
        <w:rPr>
          <w:rStyle w:val="FootnoteReference"/>
          <w:rFonts w:ascii="Times New Roman" w:hAnsi="Times New Roman" w:cs="Times New Roman"/>
          <w:noProof/>
          <w:sz w:val="24"/>
          <w:szCs w:val="24"/>
          <w:lang w:val="fr-FR"/>
        </w:rPr>
        <w:footnoteReference w:id="43"/>
      </w:r>
      <w:r>
        <w:rPr>
          <w:rFonts w:ascii="Times New Roman" w:hAnsi="Times New Roman" w:cs="Times New Roman"/>
          <w:noProof/>
          <w:sz w:val="24"/>
          <w:szCs w:val="24"/>
          <w:lang w:val="fr-FR"/>
        </w:rPr>
        <w:t xml:space="preserve">, qui doivent satisfaire à des exigences strictes </w:t>
      </w:r>
      <w:r>
        <w:rPr>
          <w:rFonts w:ascii="Times New Roman" w:hAnsi="Times New Roman" w:cs="Times New Roman"/>
          <w:noProof/>
          <w:sz w:val="24"/>
          <w:szCs w:val="24"/>
          <w:lang w:val="fr-FR"/>
        </w:rPr>
        <w:t>concernant leur compétence technique, leur impartialité et leur responsabilité</w:t>
      </w:r>
      <w:r>
        <w:rPr>
          <w:rStyle w:val="FootnoteReference"/>
          <w:rFonts w:ascii="Times New Roman" w:hAnsi="Times New Roman" w:cs="Times New Roman"/>
          <w:noProof/>
          <w:sz w:val="24"/>
          <w:szCs w:val="24"/>
          <w:lang w:val="fr-FR"/>
        </w:rPr>
        <w:footnoteReference w:id="44"/>
      </w:r>
      <w:r>
        <w:rPr>
          <w:rFonts w:ascii="Times New Roman" w:hAnsi="Times New Roman" w:cs="Times New Roman"/>
          <w:noProof/>
          <w:sz w:val="24"/>
          <w:szCs w:val="24"/>
          <w:lang w:val="fr-FR"/>
        </w:rPr>
        <w:t xml:space="preserve">. Une attention particulière devrait être portée à leur indépendance, un critère souligné lors du processus d’adoption du RPC. Les autorités notifiantes désignées par les États </w:t>
      </w:r>
      <w:r>
        <w:rPr>
          <w:rFonts w:ascii="Times New Roman" w:hAnsi="Times New Roman" w:cs="Times New Roman"/>
          <w:noProof/>
          <w:sz w:val="24"/>
          <w:szCs w:val="24"/>
          <w:lang w:val="fr-FR"/>
        </w:rPr>
        <w:t>membres</w:t>
      </w:r>
      <w:r>
        <w:rPr>
          <w:rStyle w:val="FootnoteReference"/>
          <w:rFonts w:ascii="Times New Roman" w:hAnsi="Times New Roman" w:cs="Times New Roman"/>
          <w:noProof/>
          <w:sz w:val="24"/>
          <w:szCs w:val="24"/>
          <w:lang w:val="fr-FR"/>
        </w:rPr>
        <w:footnoteReference w:id="45"/>
      </w:r>
      <w:r>
        <w:rPr>
          <w:rFonts w:ascii="Times New Roman" w:hAnsi="Times New Roman" w:cs="Times New Roman"/>
          <w:noProof/>
          <w:sz w:val="24"/>
          <w:szCs w:val="24"/>
          <w:lang w:val="fr-FR"/>
        </w:rPr>
        <w:t xml:space="preserve"> sont responsables des procédures nationales de notification et de contrôle.</w:t>
      </w:r>
    </w:p>
    <w:p w:rsidR="008E0938" w:rsidRDefault="006B388A">
      <w:pPr>
        <w:pStyle w:val="ListParagraph"/>
        <w:autoSpaceDE w:val="0"/>
        <w:autoSpaceDN w:val="0"/>
        <w:adjustRightInd w:val="0"/>
        <w:spacing w:after="120" w:line="240" w:lineRule="auto"/>
        <w:ind w:left="0"/>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Les activités du groupe des organismes notifiés et de ses sous-groupes ont été renforcées par le soutien réglementaire accru qu’ils apportent au titre du RPC</w:t>
      </w:r>
      <w:r>
        <w:rPr>
          <w:rStyle w:val="FootnoteReference"/>
          <w:rFonts w:ascii="Times New Roman" w:hAnsi="Times New Roman" w:cs="Times New Roman"/>
          <w:noProof/>
          <w:sz w:val="24"/>
          <w:szCs w:val="24"/>
          <w:lang w:val="fr-FR"/>
        </w:rPr>
        <w:footnoteReference w:id="46"/>
      </w:r>
      <w:r>
        <w:rPr>
          <w:rFonts w:ascii="Times New Roman" w:hAnsi="Times New Roman" w:cs="Times New Roman"/>
          <w:noProof/>
          <w:sz w:val="24"/>
          <w:szCs w:val="24"/>
          <w:lang w:val="fr-FR"/>
        </w:rPr>
        <w:t>. Cette coord</w:t>
      </w:r>
      <w:r>
        <w:rPr>
          <w:rFonts w:ascii="Times New Roman" w:hAnsi="Times New Roman" w:cs="Times New Roman"/>
          <w:noProof/>
          <w:sz w:val="24"/>
          <w:szCs w:val="24"/>
          <w:lang w:val="fr-FR"/>
        </w:rPr>
        <w:t>ination des organismes notifiés est nécessaire pour garantir une application uniforme des règles en vigueur, de façon à éviter des critiques occasionnelles sur la variabilité des pratiques en ce domaine.</w:t>
      </w:r>
    </w:p>
    <w:p w:rsidR="008E0938" w:rsidRDefault="006B388A">
      <w:pPr>
        <w:pStyle w:val="ListParagraph"/>
        <w:autoSpaceDE w:val="0"/>
        <w:autoSpaceDN w:val="0"/>
        <w:adjustRightInd w:val="0"/>
        <w:spacing w:after="120" w:line="240" w:lineRule="auto"/>
        <w:ind w:left="0"/>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La sécurité juridique et la cohérence ont pu être am</w:t>
      </w:r>
      <w:r>
        <w:rPr>
          <w:rFonts w:ascii="Times New Roman" w:hAnsi="Times New Roman" w:cs="Times New Roman"/>
          <w:noProof/>
          <w:sz w:val="24"/>
          <w:szCs w:val="24"/>
          <w:lang w:val="fr-FR"/>
        </w:rPr>
        <w:t>éliorées lorsque l’annexe V du RPC a été modifiée par le règlement délégué (UE) n ° 568/2014 de la Commission du 18 février 2014</w:t>
      </w:r>
      <w:r>
        <w:rPr>
          <w:rStyle w:val="FootnoteReference"/>
          <w:rFonts w:ascii="Times New Roman" w:hAnsi="Times New Roman" w:cs="Times New Roman"/>
          <w:noProof/>
          <w:sz w:val="24"/>
          <w:szCs w:val="24"/>
          <w:lang w:val="fr-FR"/>
        </w:rPr>
        <w:footnoteReference w:id="47"/>
      </w:r>
      <w:r>
        <w:rPr>
          <w:rFonts w:ascii="Times New Roman" w:hAnsi="Times New Roman" w:cs="Times New Roman"/>
          <w:noProof/>
          <w:sz w:val="24"/>
          <w:szCs w:val="24"/>
          <w:lang w:val="fr-FR"/>
        </w:rPr>
        <w:t>. Ce règlement a clarifié le niveau d’implication et le rôle des organismes notifiés dans l’évaluation et la vérification de la</w:t>
      </w:r>
      <w:r>
        <w:rPr>
          <w:rFonts w:ascii="Times New Roman" w:hAnsi="Times New Roman" w:cs="Times New Roman"/>
          <w:noProof/>
          <w:sz w:val="24"/>
          <w:szCs w:val="24"/>
          <w:lang w:val="fr-FR"/>
        </w:rPr>
        <w:t xml:space="preserve"> constance des performances des produits de construction. De fait, désormais les organismes notifiés perçoivent mieux leurs responsabilités.</w:t>
      </w:r>
    </w:p>
    <w:p w:rsidR="008E0938" w:rsidRDefault="006B388A">
      <w:pPr>
        <w:pStyle w:val="ListParagraph"/>
        <w:autoSpaceDE w:val="0"/>
        <w:autoSpaceDN w:val="0"/>
        <w:adjustRightInd w:val="0"/>
        <w:spacing w:after="120" w:line="240" w:lineRule="auto"/>
        <w:ind w:left="0"/>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La transition de la DPC vers le RPC a entraîné un changement de paradigme également pour les organismes notifiés. C</w:t>
      </w:r>
      <w:r>
        <w:rPr>
          <w:rFonts w:ascii="Times New Roman" w:hAnsi="Times New Roman" w:cs="Times New Roman"/>
          <w:noProof/>
          <w:sz w:val="24"/>
          <w:szCs w:val="24"/>
          <w:lang w:val="fr-FR"/>
        </w:rPr>
        <w:t>ertains d’entre eux ont encore besoin de s’adapter pour prendre en compte l’orientation vers des activités de certification ciblées</w:t>
      </w:r>
      <w:r>
        <w:rPr>
          <w:rStyle w:val="FootnoteReference"/>
          <w:rFonts w:ascii="Times New Roman" w:hAnsi="Times New Roman" w:cs="Times New Roman"/>
          <w:noProof/>
          <w:sz w:val="24"/>
          <w:szCs w:val="24"/>
          <w:lang w:val="fr-FR"/>
        </w:rPr>
        <w:footnoteReference w:id="48"/>
      </w:r>
      <w:r>
        <w:rPr>
          <w:rFonts w:ascii="Times New Roman" w:hAnsi="Times New Roman" w:cs="Times New Roman"/>
          <w:noProof/>
          <w:sz w:val="24"/>
          <w:szCs w:val="24"/>
          <w:lang w:val="fr-FR"/>
        </w:rPr>
        <w:t>, en plus des autres clarifications de leurs fonctions. Cela a aussi une incidence sur l’utilisation des normes d’accréditat</w:t>
      </w:r>
      <w:r>
        <w:rPr>
          <w:rFonts w:ascii="Times New Roman" w:hAnsi="Times New Roman" w:cs="Times New Roman"/>
          <w:noProof/>
          <w:sz w:val="24"/>
          <w:szCs w:val="24"/>
          <w:lang w:val="fr-FR"/>
        </w:rPr>
        <w:t>ion à des fins de notification.</w:t>
      </w:r>
    </w:p>
    <w:p w:rsidR="008E0938" w:rsidRDefault="006B388A">
      <w:pPr>
        <w:pStyle w:val="ListParagraph"/>
        <w:autoSpaceDE w:val="0"/>
        <w:autoSpaceDN w:val="0"/>
        <w:adjustRightInd w:val="0"/>
        <w:spacing w:after="120" w:line="240" w:lineRule="auto"/>
        <w:ind w:left="0"/>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Les commentaires reçus concernant l’application des dispositions du RPC dans ce domaine suggèrent que certaines règles pourraient être plus précises</w:t>
      </w:r>
      <w:r>
        <w:rPr>
          <w:rStyle w:val="FootnoteReference"/>
          <w:rFonts w:ascii="Times New Roman" w:hAnsi="Times New Roman" w:cs="Times New Roman"/>
          <w:noProof/>
          <w:sz w:val="24"/>
          <w:szCs w:val="24"/>
          <w:lang w:val="fr-FR"/>
        </w:rPr>
        <w:footnoteReference w:id="49"/>
      </w:r>
      <w:r>
        <w:rPr>
          <w:rFonts w:ascii="Times New Roman" w:hAnsi="Times New Roman" w:cs="Times New Roman"/>
          <w:noProof/>
          <w:sz w:val="24"/>
          <w:szCs w:val="24"/>
          <w:lang w:val="fr-FR"/>
        </w:rPr>
        <w:t>. Dans le même ordre d’idées, ces dispositions</w:t>
      </w:r>
      <w:r>
        <w:rPr>
          <w:rStyle w:val="FootnoteReference"/>
          <w:rFonts w:ascii="Times New Roman" w:eastAsia="Calibri" w:hAnsi="Times New Roman" w:cs="Times New Roman"/>
          <w:noProof/>
          <w:sz w:val="24"/>
          <w:szCs w:val="24"/>
          <w:lang w:val="fr-FR"/>
        </w:rPr>
        <w:footnoteReference w:id="50"/>
      </w:r>
      <w:r>
        <w:rPr>
          <w:rFonts w:ascii="Times New Roman" w:hAnsi="Times New Roman" w:cs="Times New Roman"/>
          <w:noProof/>
          <w:sz w:val="24"/>
          <w:szCs w:val="24"/>
          <w:lang w:val="fr-FR"/>
        </w:rPr>
        <w:t xml:space="preserve"> </w:t>
      </w:r>
      <w:r>
        <w:rPr>
          <w:rFonts w:ascii="Times New Roman" w:eastAsia="Calibri" w:hAnsi="Times New Roman" w:cs="Times New Roman"/>
          <w:noProof/>
          <w:sz w:val="24"/>
          <w:szCs w:val="24"/>
          <w:lang w:val="fr-FR"/>
        </w:rPr>
        <w:t>mériteraient une étude plus</w:t>
      </w:r>
      <w:r>
        <w:rPr>
          <w:rFonts w:ascii="Times New Roman" w:eastAsia="Calibri" w:hAnsi="Times New Roman" w:cs="Times New Roman"/>
          <w:noProof/>
          <w:sz w:val="24"/>
          <w:szCs w:val="24"/>
          <w:lang w:val="fr-FR"/>
        </w:rPr>
        <w:t xml:space="preserve"> approfondie pour déterminer si elles devraient être éloignées des principes de la nouvelle approche</w:t>
      </w:r>
      <w:r>
        <w:rPr>
          <w:rStyle w:val="FootnoteReference"/>
          <w:rFonts w:ascii="Times New Roman" w:hAnsi="Times New Roman" w:cs="Times New Roman"/>
          <w:noProof/>
          <w:sz w:val="24"/>
          <w:szCs w:val="24"/>
          <w:lang w:val="fr-FR"/>
        </w:rPr>
        <w:footnoteReference w:id="51"/>
      </w:r>
      <w:r>
        <w:rPr>
          <w:rFonts w:ascii="Times New Roman" w:eastAsia="Calibri" w:hAnsi="Times New Roman" w:cs="Times New Roman"/>
          <w:noProof/>
          <w:sz w:val="24"/>
          <w:szCs w:val="24"/>
          <w:lang w:val="fr-FR"/>
        </w:rPr>
        <w:t>.</w:t>
      </w:r>
    </w:p>
    <w:p w:rsidR="008E0938" w:rsidRDefault="008E0938">
      <w:pPr>
        <w:pStyle w:val="ListParagraph"/>
        <w:spacing w:after="120" w:line="240" w:lineRule="auto"/>
        <w:ind w:left="0"/>
        <w:jc w:val="both"/>
        <w:rPr>
          <w:rFonts w:ascii="Times New Roman" w:hAnsi="Times New Roman" w:cs="Times New Roman"/>
          <w:noProof/>
          <w:sz w:val="24"/>
          <w:szCs w:val="24"/>
          <w:lang w:val="fr-FR"/>
        </w:rPr>
      </w:pPr>
    </w:p>
    <w:p w:rsidR="008E0938" w:rsidRDefault="006B388A">
      <w:pPr>
        <w:pStyle w:val="ListParagraph"/>
        <w:numPr>
          <w:ilvl w:val="0"/>
          <w:numId w:val="6"/>
        </w:numPr>
        <w:tabs>
          <w:tab w:val="left" w:leader="dot" w:pos="7655"/>
        </w:tabs>
        <w:spacing w:after="120" w:line="240" w:lineRule="auto"/>
        <w:jc w:val="both"/>
        <w:rPr>
          <w:rFonts w:ascii="Times New Roman" w:hAnsi="Times New Roman" w:cs="Times New Roman"/>
          <w:b/>
          <w:smallCaps/>
          <w:noProof/>
          <w:sz w:val="24"/>
          <w:szCs w:val="24"/>
          <w:lang w:val="fr-FR"/>
        </w:rPr>
      </w:pPr>
      <w:r>
        <w:rPr>
          <w:rFonts w:ascii="Times New Roman" w:hAnsi="Times New Roman" w:cs="Times New Roman"/>
          <w:b/>
          <w:smallCaps/>
          <w:noProof/>
          <w:sz w:val="24"/>
          <w:szCs w:val="24"/>
          <w:lang w:val="fr-FR"/>
        </w:rPr>
        <w:t>Microentreprises et simplification</w:t>
      </w:r>
    </w:p>
    <w:p w:rsidR="008E0938" w:rsidRDefault="008E0938">
      <w:pPr>
        <w:pStyle w:val="ListParagraph"/>
        <w:spacing w:after="120" w:line="240" w:lineRule="auto"/>
        <w:ind w:left="360"/>
        <w:jc w:val="both"/>
        <w:rPr>
          <w:rFonts w:ascii="Times New Roman" w:hAnsi="Times New Roman" w:cs="Times New Roman"/>
          <w:b/>
          <w:smallCaps/>
          <w:noProof/>
          <w:sz w:val="24"/>
          <w:szCs w:val="24"/>
          <w:lang w:val="fr-FR"/>
        </w:rPr>
      </w:pPr>
    </w:p>
    <w:p w:rsidR="008E0938" w:rsidRDefault="006B388A">
      <w:pPr>
        <w:pStyle w:val="ListParagraph"/>
        <w:spacing w:after="120" w:line="240" w:lineRule="auto"/>
        <w:ind w:left="0"/>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Pour garantir des conditions équitables aux PME et aux micro-entreprises, le RPC prévoit des dérogations à l’obligat</w:t>
      </w:r>
      <w:r>
        <w:rPr>
          <w:rFonts w:ascii="Times New Roman" w:hAnsi="Times New Roman" w:cs="Times New Roman"/>
          <w:noProof/>
          <w:sz w:val="24"/>
          <w:szCs w:val="24"/>
          <w:lang w:val="fr-FR"/>
        </w:rPr>
        <w:t>ion d’établir une déclaration des performances</w:t>
      </w:r>
      <w:r>
        <w:rPr>
          <w:rStyle w:val="FootnoteReference"/>
          <w:rFonts w:ascii="Times New Roman" w:hAnsi="Times New Roman" w:cs="Times New Roman"/>
          <w:noProof/>
          <w:sz w:val="24"/>
          <w:szCs w:val="24"/>
          <w:lang w:val="fr-FR"/>
        </w:rPr>
        <w:footnoteReference w:id="52"/>
      </w:r>
      <w:r>
        <w:rPr>
          <w:rFonts w:ascii="Times New Roman" w:hAnsi="Times New Roman" w:cs="Times New Roman"/>
          <w:noProof/>
          <w:sz w:val="24"/>
          <w:szCs w:val="24"/>
          <w:lang w:val="fr-FR"/>
        </w:rPr>
        <w:t xml:space="preserve"> et des procédures simplifiées pour la mise sur le marché des produits de construction</w:t>
      </w:r>
      <w:r>
        <w:rPr>
          <w:rStyle w:val="FootnoteReference"/>
          <w:rFonts w:ascii="Times New Roman" w:hAnsi="Times New Roman" w:cs="Times New Roman"/>
          <w:noProof/>
          <w:sz w:val="24"/>
          <w:szCs w:val="24"/>
          <w:lang w:val="fr-FR"/>
        </w:rPr>
        <w:footnoteReference w:id="53"/>
      </w:r>
      <w:r>
        <w:rPr>
          <w:rFonts w:ascii="Times New Roman" w:hAnsi="Times New Roman" w:cs="Times New Roman"/>
          <w:noProof/>
          <w:sz w:val="24"/>
          <w:szCs w:val="24"/>
          <w:lang w:val="fr-FR"/>
        </w:rPr>
        <w:t>.</w:t>
      </w:r>
    </w:p>
    <w:p w:rsidR="008E0938" w:rsidRDefault="006B388A">
      <w:pPr>
        <w:pStyle w:val="ListParagraph"/>
        <w:spacing w:after="120" w:line="240" w:lineRule="auto"/>
        <w:ind w:left="0"/>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 xml:space="preserve">Au stade actuel de la mise en œuvre, l’expérience est encore limitée en ce qui concerne l’utilisation pratique de la </w:t>
      </w:r>
      <w:r>
        <w:rPr>
          <w:rFonts w:ascii="Times New Roman" w:hAnsi="Times New Roman" w:cs="Times New Roman"/>
          <w:noProof/>
          <w:sz w:val="24"/>
          <w:szCs w:val="24"/>
          <w:lang w:val="fr-FR"/>
        </w:rPr>
        <w:t>plupart de ces options, à l’exception des règles sur les procédures simplifiées concernant la classification sans essai, partage et transfert en aval</w:t>
      </w:r>
      <w:r>
        <w:rPr>
          <w:rStyle w:val="FootnoteReference"/>
          <w:rFonts w:ascii="Times New Roman" w:hAnsi="Times New Roman" w:cs="Times New Roman"/>
          <w:noProof/>
          <w:sz w:val="24"/>
          <w:szCs w:val="24"/>
          <w:lang w:val="fr-FR"/>
        </w:rPr>
        <w:footnoteReference w:id="54"/>
      </w:r>
      <w:r>
        <w:rPr>
          <w:rFonts w:ascii="Times New Roman" w:hAnsi="Times New Roman" w:cs="Times New Roman"/>
          <w:noProof/>
          <w:sz w:val="24"/>
          <w:szCs w:val="24"/>
          <w:lang w:val="fr-FR"/>
        </w:rPr>
        <w:t xml:space="preserve">. Ces dispositions sont d’utilisation courante, le cas échéant. </w:t>
      </w:r>
    </w:p>
    <w:p w:rsidR="008E0938" w:rsidRDefault="006B388A">
      <w:pPr>
        <w:pStyle w:val="ListParagraph"/>
        <w:spacing w:after="120" w:line="240" w:lineRule="auto"/>
        <w:ind w:left="0"/>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Toutefois, on ne dispose jusqu’ici d’aucu</w:t>
      </w:r>
      <w:r>
        <w:rPr>
          <w:rFonts w:ascii="Times New Roman" w:hAnsi="Times New Roman" w:cs="Times New Roman"/>
          <w:noProof/>
          <w:sz w:val="24"/>
          <w:szCs w:val="24"/>
          <w:lang w:val="fr-FR"/>
        </w:rPr>
        <w:t>ne preuve documentaire sur l’utilisation des autres options en question. Cela pourrait signifier que l’allègement escompté de la charge financière et administrative pesant sur les entreprises ne s’est pas concrétisé. Parmi les raisons invoquées par les par</w:t>
      </w:r>
      <w:r>
        <w:rPr>
          <w:rFonts w:ascii="Times New Roman" w:hAnsi="Times New Roman" w:cs="Times New Roman"/>
          <w:noProof/>
          <w:sz w:val="24"/>
          <w:szCs w:val="24"/>
          <w:lang w:val="fr-FR"/>
        </w:rPr>
        <w:t xml:space="preserve">ties prenantes pour expliquer ce recours limité figurent notamment: </w:t>
      </w:r>
    </w:p>
    <w:p w:rsidR="008E0938" w:rsidRDefault="006B388A">
      <w:pPr>
        <w:pStyle w:val="ListParagraph"/>
        <w:numPr>
          <w:ilvl w:val="0"/>
          <w:numId w:val="24"/>
        </w:numPr>
        <w:spacing w:after="120" w:line="240" w:lineRule="auto"/>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 xml:space="preserve">la variabilité des pratiques et interprétations selon les États membres; </w:t>
      </w:r>
    </w:p>
    <w:p w:rsidR="008E0938" w:rsidRDefault="006B388A">
      <w:pPr>
        <w:pStyle w:val="ListParagraph"/>
        <w:numPr>
          <w:ilvl w:val="0"/>
          <w:numId w:val="24"/>
        </w:numPr>
        <w:spacing w:after="120" w:line="240" w:lineRule="auto"/>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 xml:space="preserve">la faible sensibilisation du secteur à ces options; </w:t>
      </w:r>
    </w:p>
    <w:p w:rsidR="008E0938" w:rsidRDefault="006B388A">
      <w:pPr>
        <w:pStyle w:val="ListParagraph"/>
        <w:numPr>
          <w:ilvl w:val="0"/>
          <w:numId w:val="24"/>
        </w:numPr>
        <w:spacing w:after="120" w:line="240" w:lineRule="auto"/>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l’incertitude concernant la signification des principaux ter</w:t>
      </w:r>
      <w:r>
        <w:rPr>
          <w:rFonts w:ascii="Times New Roman" w:hAnsi="Times New Roman" w:cs="Times New Roman"/>
          <w:noProof/>
          <w:sz w:val="24"/>
          <w:szCs w:val="24"/>
          <w:lang w:val="fr-FR"/>
        </w:rPr>
        <w:t>mes du RPC;</w:t>
      </w:r>
    </w:p>
    <w:p w:rsidR="008E0938" w:rsidRDefault="006B388A">
      <w:pPr>
        <w:pStyle w:val="ListParagraph"/>
        <w:numPr>
          <w:ilvl w:val="0"/>
          <w:numId w:val="24"/>
        </w:numPr>
        <w:spacing w:after="120" w:line="240" w:lineRule="auto"/>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 xml:space="preserve">la difficulté de démontrer l’«équivalence» et/ou de fournir une documentation technique alternative; </w:t>
      </w:r>
    </w:p>
    <w:p w:rsidR="008E0938" w:rsidRDefault="006B388A">
      <w:pPr>
        <w:pStyle w:val="ListParagraph"/>
        <w:numPr>
          <w:ilvl w:val="0"/>
          <w:numId w:val="24"/>
        </w:numPr>
        <w:spacing w:after="120" w:line="240" w:lineRule="auto"/>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les doutes quant à l’étendue réelle des économies financières applicables;</w:t>
      </w:r>
    </w:p>
    <w:p w:rsidR="008E0938" w:rsidRDefault="006B388A">
      <w:pPr>
        <w:pStyle w:val="ListParagraph"/>
        <w:numPr>
          <w:ilvl w:val="0"/>
          <w:numId w:val="24"/>
        </w:numPr>
        <w:spacing w:after="120" w:line="240" w:lineRule="auto"/>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 xml:space="preserve">la crainte de la désapprobation des autorités ou des utilisateurs </w:t>
      </w:r>
      <w:r>
        <w:rPr>
          <w:rFonts w:ascii="Times New Roman" w:hAnsi="Times New Roman" w:cs="Times New Roman"/>
          <w:noProof/>
          <w:sz w:val="24"/>
          <w:szCs w:val="24"/>
          <w:lang w:val="fr-FR"/>
        </w:rPr>
        <w:t>si les procédures ne sont pas (correctement) appliquées.</w:t>
      </w:r>
    </w:p>
    <w:p w:rsidR="008E0938" w:rsidRDefault="006B388A">
      <w:pPr>
        <w:pStyle w:val="ListParagraph"/>
        <w:spacing w:after="120" w:line="240" w:lineRule="auto"/>
        <w:ind w:left="0"/>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En particulier, ces doutes ont compromis les possibilités pour les microentreprises de recourir aux procédures simplifiées de l’article 37 comme prévu lors du processus réglementaire du RPC.</w:t>
      </w:r>
    </w:p>
    <w:p w:rsidR="008E0938" w:rsidRDefault="006B388A">
      <w:pPr>
        <w:pStyle w:val="ListParagraph"/>
        <w:spacing w:after="120" w:line="240" w:lineRule="auto"/>
        <w:ind w:left="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Une appr</w:t>
      </w:r>
      <w:r>
        <w:rPr>
          <w:rFonts w:ascii="Times New Roman" w:hAnsi="Times New Roman" w:cs="Times New Roman"/>
          <w:noProof/>
          <w:sz w:val="24"/>
          <w:szCs w:val="24"/>
          <w:lang w:val="fr-FR"/>
        </w:rPr>
        <w:t>oche globale semble être nécessaire, avec de nouveaux développements sur la marche à suivre, pour mieux répondre aux attentes des PME, et notamment des microentreprises, évoluant dans le secteur de la construction dans l’UE. La Commission doit encourager c</w:t>
      </w:r>
      <w:r>
        <w:rPr>
          <w:rFonts w:ascii="Times New Roman" w:hAnsi="Times New Roman" w:cs="Times New Roman"/>
          <w:noProof/>
          <w:sz w:val="24"/>
          <w:szCs w:val="24"/>
          <w:lang w:val="fr-FR"/>
        </w:rPr>
        <w:t xml:space="preserve">es développements via des discussions sur une plate-forme technique. </w:t>
      </w:r>
    </w:p>
    <w:p w:rsidR="008E0938" w:rsidRDefault="006B388A">
      <w:pPr>
        <w:pStyle w:val="ListParagraph"/>
        <w:pageBreakBefore/>
        <w:numPr>
          <w:ilvl w:val="0"/>
          <w:numId w:val="6"/>
        </w:numPr>
        <w:tabs>
          <w:tab w:val="left" w:leader="dot" w:pos="6946"/>
        </w:tabs>
        <w:spacing w:after="120" w:line="240" w:lineRule="auto"/>
        <w:ind w:left="357" w:hanging="357"/>
        <w:jc w:val="both"/>
        <w:rPr>
          <w:rFonts w:ascii="Times New Roman" w:eastAsia="Calibri" w:hAnsi="Times New Roman" w:cs="Times New Roman"/>
          <w:noProof/>
          <w:sz w:val="24"/>
          <w:szCs w:val="24"/>
          <w:lang w:val="fr-FR"/>
        </w:rPr>
      </w:pPr>
      <w:bookmarkStart w:id="1" w:name="_GoBack"/>
      <w:bookmarkEnd w:id="1"/>
      <w:r>
        <w:rPr>
          <w:rFonts w:ascii="Times New Roman" w:hAnsi="Times New Roman" w:cs="Times New Roman"/>
          <w:b/>
          <w:smallCaps/>
          <w:noProof/>
          <w:sz w:val="24"/>
          <w:szCs w:val="24"/>
          <w:lang w:val="fr-FR"/>
        </w:rPr>
        <w:t>Surveillance du marché</w:t>
      </w:r>
    </w:p>
    <w:p w:rsidR="008E0938" w:rsidRDefault="008E0938">
      <w:pPr>
        <w:pStyle w:val="ListParagraph"/>
        <w:tabs>
          <w:tab w:val="left" w:leader="dot" w:pos="6946"/>
        </w:tabs>
        <w:spacing w:after="120" w:line="240" w:lineRule="auto"/>
        <w:ind w:left="360"/>
        <w:jc w:val="both"/>
        <w:rPr>
          <w:rFonts w:ascii="Times New Roman" w:eastAsia="Calibri" w:hAnsi="Times New Roman" w:cs="Times New Roman"/>
          <w:noProof/>
          <w:sz w:val="24"/>
          <w:szCs w:val="24"/>
          <w:lang w:val="fr-FR"/>
        </w:rPr>
      </w:pPr>
    </w:p>
    <w:p w:rsidR="008E0938" w:rsidRDefault="006B388A">
      <w:pPr>
        <w:pStyle w:val="ListParagraph"/>
        <w:autoSpaceDE w:val="0"/>
        <w:autoSpaceDN w:val="0"/>
        <w:adjustRightInd w:val="0"/>
        <w:spacing w:after="120" w:line="240" w:lineRule="auto"/>
        <w:ind w:left="0"/>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 xml:space="preserve">Dans le contexte du «nouveau cadre législatif» adopté en 2008, </w:t>
      </w:r>
      <w:r>
        <w:rPr>
          <w:rFonts w:ascii="Times New Roman" w:eastAsia="Calibri" w:hAnsi="Times New Roman" w:cs="Times New Roman"/>
          <w:noProof/>
          <w:sz w:val="24"/>
          <w:szCs w:val="24"/>
          <w:lang w:val="fr-FR"/>
        </w:rPr>
        <w:t>le règlement (CE) nº 765/2008</w:t>
      </w:r>
      <w:r>
        <w:rPr>
          <w:rStyle w:val="FootnoteReference"/>
          <w:rFonts w:ascii="Times New Roman" w:eastAsia="Calibri" w:hAnsi="Times New Roman" w:cs="Times New Roman"/>
          <w:noProof/>
          <w:sz w:val="24"/>
          <w:szCs w:val="24"/>
          <w:lang w:val="fr-FR"/>
        </w:rPr>
        <w:footnoteReference w:id="55"/>
      </w:r>
      <w:r>
        <w:rPr>
          <w:rFonts w:ascii="Times New Roman" w:eastAsia="Calibri" w:hAnsi="Times New Roman" w:cs="Times New Roman"/>
          <w:noProof/>
          <w:sz w:val="24"/>
          <w:szCs w:val="24"/>
          <w:lang w:val="fr-FR"/>
        </w:rPr>
        <w:t xml:space="preserve"> a instauré le principal cadre administratif pour la surveillance du</w:t>
      </w:r>
      <w:r>
        <w:rPr>
          <w:rFonts w:ascii="Times New Roman" w:eastAsia="Calibri" w:hAnsi="Times New Roman" w:cs="Times New Roman"/>
          <w:noProof/>
          <w:sz w:val="24"/>
          <w:szCs w:val="24"/>
          <w:lang w:val="fr-FR"/>
        </w:rPr>
        <w:t xml:space="preserve"> marché dans les États membres, tandis que la décision nº 768/2008/CE comprenait des dispositions de référence pour les procédures de surveillance du marché individuelles: ces dispositions devaient être utilisées en étant intégrées dans la législation spéc</w:t>
      </w:r>
      <w:r>
        <w:rPr>
          <w:rFonts w:ascii="Times New Roman" w:eastAsia="Calibri" w:hAnsi="Times New Roman" w:cs="Times New Roman"/>
          <w:noProof/>
          <w:sz w:val="24"/>
          <w:szCs w:val="24"/>
          <w:lang w:val="fr-FR"/>
        </w:rPr>
        <w:t>ifique au secteur. Les articles 56 à 59 du RPC relatifs à la surveillance du marché s’appuient ainsi largement sur les articles R31 à R34 de la décision nº 768/2008/CE, mais ont dû être ajustés au contexte en question. Ces ajustements pourraient être consi</w:t>
      </w:r>
      <w:r>
        <w:rPr>
          <w:rFonts w:ascii="Times New Roman" w:eastAsia="Calibri" w:hAnsi="Times New Roman" w:cs="Times New Roman"/>
          <w:noProof/>
          <w:sz w:val="24"/>
          <w:szCs w:val="24"/>
          <w:lang w:val="fr-FR"/>
        </w:rPr>
        <w:t>dérés comme étant en partie à l’origine des difficultés rencontrées au niveau de la surveillance du marché lors de la mise en œuvre du RPC</w:t>
      </w:r>
      <w:r>
        <w:rPr>
          <w:rStyle w:val="FootnoteReference"/>
          <w:rFonts w:ascii="Times New Roman" w:eastAsia="Calibri" w:hAnsi="Times New Roman" w:cs="Times New Roman"/>
          <w:noProof/>
          <w:sz w:val="24"/>
          <w:szCs w:val="24"/>
          <w:lang w:val="fr-FR"/>
        </w:rPr>
        <w:footnoteReference w:id="56"/>
      </w:r>
      <w:r>
        <w:rPr>
          <w:rFonts w:ascii="Times New Roman" w:eastAsia="Calibri" w:hAnsi="Times New Roman" w:cs="Times New Roman"/>
          <w:noProof/>
          <w:sz w:val="24"/>
          <w:szCs w:val="24"/>
          <w:lang w:val="fr-FR"/>
        </w:rPr>
        <w:t>.</w:t>
      </w:r>
    </w:p>
    <w:p w:rsidR="008E0938" w:rsidRDefault="006B388A">
      <w:pPr>
        <w:pStyle w:val="ListParagraph"/>
        <w:autoSpaceDE w:val="0"/>
        <w:autoSpaceDN w:val="0"/>
        <w:adjustRightInd w:val="0"/>
        <w:spacing w:after="120" w:line="240" w:lineRule="auto"/>
        <w:ind w:left="0"/>
        <w:contextualSpacing w:val="0"/>
        <w:jc w:val="both"/>
        <w:rPr>
          <w:rFonts w:ascii="Times New Roman" w:eastAsia="Calibri" w:hAnsi="Times New Roman" w:cs="Times New Roman"/>
          <w:noProof/>
          <w:sz w:val="24"/>
          <w:szCs w:val="24"/>
          <w:lang w:val="fr-FR"/>
        </w:rPr>
      </w:pPr>
      <w:r>
        <w:rPr>
          <w:rFonts w:ascii="Times New Roman" w:hAnsi="Times New Roman" w:cs="Times New Roman"/>
          <w:noProof/>
          <w:sz w:val="24"/>
          <w:szCs w:val="24"/>
          <w:lang w:val="fr-FR"/>
        </w:rPr>
        <w:t>Le fonctionnement des autorités de surveillance du marché dans les États membres est basé sur le règlement</w:t>
      </w:r>
      <w:r>
        <w:rPr>
          <w:rFonts w:ascii="Times New Roman" w:eastAsia="Calibri" w:hAnsi="Times New Roman" w:cs="Times New Roman"/>
          <w:noProof/>
          <w:sz w:val="24"/>
          <w:szCs w:val="24"/>
          <w:lang w:val="fr-FR"/>
        </w:rPr>
        <w:t xml:space="preserve"> (CE) nº </w:t>
      </w:r>
      <w:r>
        <w:rPr>
          <w:rFonts w:ascii="Times New Roman" w:eastAsia="Calibri" w:hAnsi="Times New Roman" w:cs="Times New Roman"/>
          <w:noProof/>
          <w:sz w:val="24"/>
          <w:szCs w:val="24"/>
          <w:lang w:val="fr-FR"/>
        </w:rPr>
        <w:t>765/2008 depuis son entrée en vigueur le 1</w:t>
      </w:r>
      <w:r>
        <w:rPr>
          <w:rFonts w:ascii="Times New Roman" w:eastAsia="Calibri" w:hAnsi="Times New Roman" w:cs="Times New Roman"/>
          <w:noProof/>
          <w:sz w:val="24"/>
          <w:szCs w:val="24"/>
          <w:vertAlign w:val="superscript"/>
          <w:lang w:val="fr-FR"/>
        </w:rPr>
        <w:t xml:space="preserve">er janvier </w:t>
      </w:r>
      <w:r>
        <w:rPr>
          <w:rFonts w:ascii="Times New Roman" w:eastAsia="Calibri" w:hAnsi="Times New Roman" w:cs="Times New Roman"/>
          <w:noProof/>
          <w:sz w:val="24"/>
          <w:szCs w:val="24"/>
          <w:lang w:val="fr-FR"/>
        </w:rPr>
        <w:t>2010 et tous les États membres ont mis en place des autorités de surveillance du marché pour les produits de construction, néanmoins avec une disponibilité de ressources et un impact effectif sur le marc</w:t>
      </w:r>
      <w:r>
        <w:rPr>
          <w:rFonts w:ascii="Times New Roman" w:eastAsia="Calibri" w:hAnsi="Times New Roman" w:cs="Times New Roman"/>
          <w:noProof/>
          <w:sz w:val="24"/>
          <w:szCs w:val="24"/>
          <w:lang w:val="fr-FR"/>
        </w:rPr>
        <w:t xml:space="preserve">hé relativement variables. Leur coopération au sein du </w:t>
      </w:r>
      <w:r>
        <w:rPr>
          <w:rFonts w:ascii="Times New Roman" w:hAnsi="Times New Roman" w:cs="Times New Roman"/>
          <w:noProof/>
          <w:sz w:val="24"/>
          <w:szCs w:val="24"/>
          <w:lang w:val="fr-FR"/>
        </w:rPr>
        <w:t>groupe de coopération administrative pour la surveillance des marchés (AdCo-RPC)</w:t>
      </w:r>
      <w:r>
        <w:rPr>
          <w:rFonts w:ascii="Times New Roman" w:eastAsia="Calibri" w:hAnsi="Times New Roman" w:cs="Times New Roman"/>
          <w:noProof/>
          <w:sz w:val="24"/>
          <w:szCs w:val="24"/>
          <w:lang w:val="fr-FR"/>
        </w:rPr>
        <w:t xml:space="preserve"> s’est sans cesse intensifiée au cours des dernières années, en partie grâce au nouveau soutien financier dispensé par l’</w:t>
      </w:r>
      <w:r>
        <w:rPr>
          <w:rFonts w:ascii="Times New Roman" w:eastAsia="Calibri" w:hAnsi="Times New Roman" w:cs="Times New Roman"/>
          <w:noProof/>
          <w:sz w:val="24"/>
          <w:szCs w:val="24"/>
          <w:lang w:val="fr-FR"/>
        </w:rPr>
        <w:t>UE en faveur des activités de ce groupe. AdCo-RPC a récemment organisé plusieurs actions communes de surveillance du marché et a efficacement contribué à développer le système d’information et de communication pour la surveillance des marchés (ICSMS)</w:t>
      </w:r>
      <w:r>
        <w:rPr>
          <w:rStyle w:val="FootnoteReference"/>
          <w:rFonts w:ascii="Times New Roman" w:eastAsia="Calibri" w:hAnsi="Times New Roman" w:cs="Times New Roman"/>
          <w:noProof/>
          <w:sz w:val="24"/>
          <w:szCs w:val="24"/>
          <w:lang w:val="fr-FR"/>
        </w:rPr>
        <w:footnoteReference w:id="57"/>
      </w:r>
      <w:r>
        <w:rPr>
          <w:rFonts w:ascii="Times New Roman" w:eastAsia="Calibri" w:hAnsi="Times New Roman" w:cs="Times New Roman"/>
          <w:noProof/>
          <w:sz w:val="24"/>
          <w:szCs w:val="24"/>
          <w:lang w:val="fr-FR"/>
        </w:rPr>
        <w:t xml:space="preserve"> pour</w:t>
      </w:r>
      <w:r>
        <w:rPr>
          <w:rFonts w:ascii="Times New Roman" w:eastAsia="Calibri" w:hAnsi="Times New Roman" w:cs="Times New Roman"/>
          <w:noProof/>
          <w:sz w:val="24"/>
          <w:szCs w:val="24"/>
          <w:lang w:val="fr-FR"/>
        </w:rPr>
        <w:t xml:space="preserve"> mieux répondre aux besoins du secteur de la construction. Le système rapide d’échange d’informations (RAPEX), établi au titre de la directive européenne 2001/95/CE relative à la sécurité générale des produits (DSGP), a été également utilisé pour les produ</w:t>
      </w:r>
      <w:r>
        <w:rPr>
          <w:rFonts w:ascii="Times New Roman" w:eastAsia="Calibri" w:hAnsi="Times New Roman" w:cs="Times New Roman"/>
          <w:noProof/>
          <w:sz w:val="24"/>
          <w:szCs w:val="24"/>
          <w:lang w:val="fr-FR"/>
        </w:rPr>
        <w:t>its de construction en vue d’assurer leur sécurité d’utilisation.</w:t>
      </w:r>
    </w:p>
    <w:p w:rsidR="008E0938" w:rsidRDefault="006B388A">
      <w:pPr>
        <w:pStyle w:val="ListParagraph"/>
        <w:autoSpaceDE w:val="0"/>
        <w:autoSpaceDN w:val="0"/>
        <w:adjustRightInd w:val="0"/>
        <w:spacing w:after="120" w:line="240" w:lineRule="auto"/>
        <w:ind w:left="0"/>
        <w:contextualSpacing w:val="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Parmi les autres développements en cours au niveau du groupe AdCo-RPC figure l’élaboration d’une approche sectorielle de l’évaluation des risques pour les produits de construction. En outre,</w:t>
      </w:r>
      <w:r>
        <w:rPr>
          <w:rFonts w:ascii="Times New Roman" w:hAnsi="Times New Roman" w:cs="Times New Roman"/>
          <w:noProof/>
          <w:sz w:val="24"/>
          <w:szCs w:val="24"/>
          <w:lang w:val="fr-FR"/>
        </w:rPr>
        <w:t xml:space="preserve"> les autorités des États membres s’attaquent actuellement aux difficultés relatives à l’application des articles 56 à 58 du RPC en vue de simplifier les procédures concernées</w:t>
      </w:r>
      <w:r>
        <w:rPr>
          <w:rStyle w:val="FootnoteReference"/>
          <w:rFonts w:ascii="Times New Roman" w:eastAsia="Calibri" w:hAnsi="Times New Roman" w:cs="Times New Roman"/>
          <w:noProof/>
          <w:sz w:val="24"/>
          <w:szCs w:val="24"/>
          <w:lang w:val="fr-FR"/>
        </w:rPr>
        <w:footnoteReference w:id="58"/>
      </w:r>
      <w:r>
        <w:rPr>
          <w:rFonts w:ascii="Times New Roman" w:hAnsi="Times New Roman" w:cs="Times New Roman"/>
          <w:noProof/>
          <w:sz w:val="24"/>
          <w:szCs w:val="24"/>
          <w:lang w:val="fr-FR"/>
        </w:rPr>
        <w:t>. Ces développements sont fort utiles pour les décisions à venir sur l’améliorati</w:t>
      </w:r>
      <w:r>
        <w:rPr>
          <w:rFonts w:ascii="Times New Roman" w:hAnsi="Times New Roman" w:cs="Times New Roman"/>
          <w:noProof/>
          <w:sz w:val="24"/>
          <w:szCs w:val="24"/>
          <w:lang w:val="fr-FR"/>
        </w:rPr>
        <w:t>on de la surveillance du marché dans les États membres.</w:t>
      </w:r>
    </w:p>
    <w:p w:rsidR="008E0938" w:rsidRDefault="008E0938">
      <w:pPr>
        <w:autoSpaceDE w:val="0"/>
        <w:autoSpaceDN w:val="0"/>
        <w:adjustRightInd w:val="0"/>
        <w:spacing w:after="120" w:line="240" w:lineRule="auto"/>
        <w:jc w:val="both"/>
        <w:rPr>
          <w:rFonts w:ascii="Times New Roman" w:hAnsi="Times New Roman" w:cs="Times New Roman"/>
          <w:smallCaps/>
          <w:noProof/>
          <w:sz w:val="24"/>
          <w:szCs w:val="24"/>
          <w:lang w:val="fr-FR"/>
        </w:rPr>
      </w:pPr>
    </w:p>
    <w:p w:rsidR="008E0938" w:rsidRDefault="006B388A">
      <w:pPr>
        <w:pStyle w:val="ListParagraph"/>
        <w:numPr>
          <w:ilvl w:val="0"/>
          <w:numId w:val="6"/>
        </w:numPr>
        <w:tabs>
          <w:tab w:val="left" w:leader="dot" w:pos="7513"/>
          <w:tab w:val="left" w:pos="7797"/>
        </w:tabs>
        <w:spacing w:after="120" w:line="240" w:lineRule="auto"/>
        <w:jc w:val="both"/>
        <w:rPr>
          <w:rFonts w:ascii="Times New Roman" w:hAnsi="Times New Roman" w:cs="Times New Roman"/>
          <w:b/>
          <w:smallCaps/>
          <w:noProof/>
          <w:sz w:val="24"/>
          <w:szCs w:val="24"/>
          <w:lang w:val="fr-FR"/>
        </w:rPr>
      </w:pPr>
      <w:r>
        <w:rPr>
          <w:rFonts w:ascii="Times New Roman" w:hAnsi="Times New Roman" w:cs="Times New Roman"/>
          <w:b/>
          <w:smallCaps/>
          <w:noProof/>
          <w:sz w:val="24"/>
          <w:szCs w:val="24"/>
          <w:lang w:val="fr-FR"/>
        </w:rPr>
        <w:t>Conclusions, recommandations et marche à suivre</w:t>
      </w:r>
    </w:p>
    <w:p w:rsidR="008E0938" w:rsidRDefault="008E0938">
      <w:pPr>
        <w:pStyle w:val="ListParagraph"/>
        <w:spacing w:after="120" w:line="240" w:lineRule="auto"/>
        <w:ind w:left="360"/>
        <w:jc w:val="both"/>
        <w:rPr>
          <w:rFonts w:ascii="Times New Roman" w:hAnsi="Times New Roman" w:cs="Times New Roman"/>
          <w:smallCaps/>
          <w:noProof/>
          <w:sz w:val="24"/>
          <w:szCs w:val="24"/>
          <w:lang w:val="fr-FR"/>
        </w:rPr>
      </w:pPr>
    </w:p>
    <w:p w:rsidR="008E0938" w:rsidRDefault="006B388A">
      <w:pPr>
        <w:spacing w:after="120" w:line="240" w:lineRule="auto"/>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 xml:space="preserve">Le RPC est mis en œuvre depuis relativement peu de temps et tous ses objectifs ne sont donc pas encore atteints. Une partie importante des défis </w:t>
      </w:r>
      <w:r>
        <w:rPr>
          <w:rFonts w:ascii="Times New Roman" w:hAnsi="Times New Roman" w:cs="Times New Roman"/>
          <w:noProof/>
          <w:sz w:val="24"/>
          <w:szCs w:val="24"/>
          <w:lang w:val="fr-FR"/>
        </w:rPr>
        <w:t>rapportés ci-dessus concerne des difficultés de mise en œuvre et des retards d’adaptation des parties prenantes. Avant de pouvoir tirer des conclusions définitives sur l’efficacité de la législation, il convient de consentir d’autres efforts pour améliorer</w:t>
      </w:r>
      <w:r>
        <w:rPr>
          <w:rFonts w:ascii="Times New Roman" w:hAnsi="Times New Roman" w:cs="Times New Roman"/>
          <w:noProof/>
          <w:sz w:val="24"/>
          <w:szCs w:val="24"/>
          <w:lang w:val="fr-FR"/>
        </w:rPr>
        <w:t xml:space="preserve"> la mise en œuvre, en particulier au niveau national (par exemple sur l’interprétation uniforme et la suppression des obstacles à la libre circulation) mais aussi au niveau d’autres acteurs tels que le CEN et l’EOTA. Pour cette raison, la Commission ne jug</w:t>
      </w:r>
      <w:r>
        <w:rPr>
          <w:rFonts w:ascii="Times New Roman" w:hAnsi="Times New Roman" w:cs="Times New Roman"/>
          <w:noProof/>
          <w:sz w:val="24"/>
          <w:szCs w:val="24"/>
          <w:lang w:val="fr-FR"/>
        </w:rPr>
        <w:t>e pas approprié, à ce stade, de proposer des amendements au RPC.</w:t>
      </w:r>
    </w:p>
    <w:p w:rsidR="008E0938" w:rsidRDefault="006B388A">
      <w:pPr>
        <w:spacing w:after="120" w:line="240" w:lineRule="auto"/>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La Commission estime toutefois qu’un dialogue permanent avec les États membres et les autres parties prenantes, un suivi attentif de la situation et l’application des règles existantes sont c</w:t>
      </w:r>
      <w:r>
        <w:rPr>
          <w:rFonts w:ascii="Times New Roman" w:hAnsi="Times New Roman" w:cs="Times New Roman"/>
          <w:noProof/>
          <w:sz w:val="24"/>
          <w:szCs w:val="24"/>
          <w:lang w:val="fr-FR"/>
        </w:rPr>
        <w:t>lairement nécessaires.</w:t>
      </w:r>
    </w:p>
    <w:p w:rsidR="008E0938" w:rsidRDefault="006B388A">
      <w:pPr>
        <w:spacing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En s’appuyant sur les efforts de clarification déjà consentis pour soutenir la mise en œuvre appropriée et uniforme du RPC tout en mettant l’accent sur les domaines identifiés dans le présent rapport, il serait notamment possible de </w:t>
      </w:r>
      <w:r>
        <w:rPr>
          <w:rFonts w:ascii="Times New Roman" w:hAnsi="Times New Roman"/>
          <w:noProof/>
          <w:sz w:val="24"/>
          <w:szCs w:val="24"/>
          <w:lang w:val="fr-FR"/>
        </w:rPr>
        <w:t>développer du matériel d’interprétation et d’orientation supplémentaire</w:t>
      </w:r>
      <w:r>
        <w:rPr>
          <w:rFonts w:ascii="Times New Roman" w:hAnsi="Times New Roman" w:cs="Times New Roman"/>
          <w:noProof/>
          <w:sz w:val="24"/>
          <w:szCs w:val="24"/>
          <w:lang w:val="fr-FR"/>
        </w:rPr>
        <w:t>, ainsi que des actions de communication et de sensibilisation.</w:t>
      </w:r>
    </w:p>
    <w:p w:rsidR="008E0938" w:rsidRDefault="006B388A">
      <w:pPr>
        <w:spacing w:after="120" w:line="240" w:lineRule="auto"/>
        <w:jc w:val="both"/>
        <w:rPr>
          <w:rFonts w:ascii="Times New Roman" w:hAnsi="Times New Roman"/>
          <w:noProof/>
          <w:sz w:val="24"/>
          <w:szCs w:val="24"/>
          <w:lang w:val="fr-FR"/>
        </w:rPr>
      </w:pPr>
      <w:r>
        <w:rPr>
          <w:rFonts w:ascii="Times New Roman" w:hAnsi="Times New Roman"/>
          <w:noProof/>
          <w:sz w:val="24"/>
          <w:szCs w:val="24"/>
          <w:lang w:val="fr-FR"/>
        </w:rPr>
        <w:t>Il est possible de simplifier davantage et plus rapidement le processus de normalisation, et de se doter de normes qui ré</w:t>
      </w:r>
      <w:r>
        <w:rPr>
          <w:rFonts w:ascii="Times New Roman" w:hAnsi="Times New Roman"/>
          <w:noProof/>
          <w:sz w:val="24"/>
          <w:szCs w:val="24"/>
          <w:lang w:val="fr-FR"/>
        </w:rPr>
        <w:t>pondent mieux aux besoins de leurs utilisateurs grâce à une collaboration étroite et efficace entre le CEN, les États membres, l’industrie et la Commission.</w:t>
      </w:r>
    </w:p>
    <w:p w:rsidR="008E0938" w:rsidRDefault="006B388A">
      <w:pPr>
        <w:spacing w:after="120" w:line="240" w:lineRule="auto"/>
        <w:jc w:val="both"/>
        <w:rPr>
          <w:rFonts w:ascii="Times New Roman" w:hAnsi="Times New Roman"/>
          <w:noProof/>
          <w:sz w:val="24"/>
          <w:szCs w:val="24"/>
          <w:lang w:val="fr-FR"/>
        </w:rPr>
      </w:pPr>
      <w:r>
        <w:rPr>
          <w:rFonts w:ascii="Times New Roman" w:hAnsi="Times New Roman"/>
          <w:noProof/>
          <w:sz w:val="24"/>
          <w:szCs w:val="24"/>
          <w:lang w:val="fr-FR"/>
        </w:rPr>
        <w:t>Pour l’EOTA, les règles de procédure énoncées à l’annexe II du RPC pourraient être simplifiées pour</w:t>
      </w:r>
      <w:r>
        <w:rPr>
          <w:rFonts w:ascii="Times New Roman" w:hAnsi="Times New Roman"/>
          <w:noProof/>
          <w:sz w:val="24"/>
          <w:szCs w:val="24"/>
          <w:lang w:val="fr-FR"/>
        </w:rPr>
        <w:t xml:space="preserve"> finaliser les documents d’évaluation européens de manière plus rapide et plus transparente au moyen d’un acte délégué.</w:t>
      </w:r>
    </w:p>
    <w:p w:rsidR="008E0938" w:rsidRDefault="006B388A">
      <w:pPr>
        <w:spacing w:after="120" w:line="240" w:lineRule="auto"/>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À ce stade, la Commission considère qu’il reste encore à clarifier certaines dispositions du RPC pour favoriser une application uniforme</w:t>
      </w:r>
      <w:r>
        <w:rPr>
          <w:rFonts w:ascii="Times New Roman" w:hAnsi="Times New Roman" w:cs="Times New Roman"/>
          <w:noProof/>
          <w:sz w:val="24"/>
          <w:szCs w:val="24"/>
          <w:lang w:val="fr-FR"/>
        </w:rPr>
        <w:t>, et notamment:</w:t>
      </w:r>
    </w:p>
    <w:p w:rsidR="008E0938" w:rsidRDefault="006B388A">
      <w:pPr>
        <w:spacing w:after="120" w:line="240" w:lineRule="auto"/>
        <w:ind w:left="426"/>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w:t>
      </w:r>
      <w:r>
        <w:rPr>
          <w:rFonts w:ascii="Times New Roman" w:hAnsi="Times New Roman" w:cs="Times New Roman"/>
          <w:noProof/>
          <w:sz w:val="24"/>
          <w:szCs w:val="24"/>
          <w:lang w:val="fr-FR"/>
        </w:rPr>
        <w:tab/>
        <w:t>l’article 5 sur les dérogations à l’établissement d’une DdP;</w:t>
      </w:r>
    </w:p>
    <w:p w:rsidR="008E0938" w:rsidRDefault="006B388A">
      <w:pPr>
        <w:spacing w:after="120" w:line="240" w:lineRule="auto"/>
        <w:ind w:left="426"/>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w:t>
      </w:r>
      <w:r>
        <w:rPr>
          <w:rFonts w:ascii="Times New Roman" w:hAnsi="Times New Roman" w:cs="Times New Roman"/>
          <w:noProof/>
          <w:sz w:val="24"/>
          <w:szCs w:val="24"/>
          <w:lang w:val="fr-FR"/>
        </w:rPr>
        <w:tab/>
        <w:t>l’article 6 sur le contenu de la DdP;</w:t>
      </w:r>
    </w:p>
    <w:p w:rsidR="008E0938" w:rsidRDefault="006B388A">
      <w:pPr>
        <w:spacing w:after="120" w:line="240" w:lineRule="auto"/>
        <w:ind w:left="426"/>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w:t>
      </w:r>
      <w:r>
        <w:rPr>
          <w:rFonts w:ascii="Times New Roman" w:hAnsi="Times New Roman" w:cs="Times New Roman"/>
          <w:noProof/>
          <w:sz w:val="24"/>
          <w:szCs w:val="24"/>
          <w:lang w:val="fr-FR"/>
        </w:rPr>
        <w:tab/>
        <w:t>l’article 9, paragraphe 2, sur les informations qui suivent le marquage CE;</w:t>
      </w:r>
    </w:p>
    <w:p w:rsidR="008E0938" w:rsidRDefault="006B388A">
      <w:pPr>
        <w:spacing w:after="120" w:line="240" w:lineRule="auto"/>
        <w:ind w:left="426"/>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w:t>
      </w:r>
      <w:r>
        <w:rPr>
          <w:rFonts w:ascii="Times New Roman" w:hAnsi="Times New Roman" w:cs="Times New Roman"/>
          <w:noProof/>
          <w:sz w:val="24"/>
          <w:szCs w:val="24"/>
          <w:lang w:val="fr-FR"/>
        </w:rPr>
        <w:tab/>
        <w:t>l’article 37 sur les procédures simplifiées pour les micr</w:t>
      </w:r>
      <w:r>
        <w:rPr>
          <w:rFonts w:ascii="Times New Roman" w:hAnsi="Times New Roman" w:cs="Times New Roman"/>
          <w:noProof/>
          <w:sz w:val="24"/>
          <w:szCs w:val="24"/>
          <w:lang w:val="fr-FR"/>
        </w:rPr>
        <w:t>oentreprises;</w:t>
      </w:r>
    </w:p>
    <w:p w:rsidR="008E0938" w:rsidRDefault="006B388A">
      <w:pPr>
        <w:spacing w:after="120" w:line="240" w:lineRule="auto"/>
        <w:ind w:left="720" w:hanging="294"/>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w:t>
      </w:r>
      <w:r>
        <w:rPr>
          <w:rFonts w:ascii="Times New Roman" w:hAnsi="Times New Roman" w:cs="Times New Roman"/>
          <w:noProof/>
          <w:sz w:val="24"/>
          <w:szCs w:val="24"/>
          <w:lang w:val="fr-FR"/>
        </w:rPr>
        <w:tab/>
        <w:t>l’article 38 sur les procédures simplifiées pour les produits fabriqués individuellement ou sur mesure ou;</w:t>
      </w:r>
    </w:p>
    <w:p w:rsidR="008E0938" w:rsidRDefault="006B388A">
      <w:pPr>
        <w:spacing w:after="120" w:line="240" w:lineRule="auto"/>
        <w:ind w:left="426"/>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w:t>
      </w:r>
      <w:r>
        <w:rPr>
          <w:rFonts w:ascii="Times New Roman" w:hAnsi="Times New Roman" w:cs="Times New Roman"/>
          <w:noProof/>
          <w:sz w:val="24"/>
          <w:szCs w:val="24"/>
          <w:lang w:val="fr-FR"/>
        </w:rPr>
        <w:tab/>
        <w:t>les articles 56-58 sur les procédures pour la surveillance du marché.</w:t>
      </w:r>
    </w:p>
    <w:p w:rsidR="008E0938" w:rsidRDefault="006B388A">
      <w:pPr>
        <w:spacing w:after="120" w:line="240" w:lineRule="auto"/>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 xml:space="preserve">La Commission entend poursuivre le suivi attentif de la mise en œuvre du règlement afin d’identifier d’éventuels problèmes d’interprétation qui n’ont pas encore été résolus. </w:t>
      </w:r>
    </w:p>
    <w:p w:rsidR="008E0938" w:rsidRDefault="006B388A">
      <w:pPr>
        <w:spacing w:after="120" w:line="240" w:lineRule="auto"/>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La Commission poursuivra le dialogue avec les parties concernées sur les question</w:t>
      </w:r>
      <w:r>
        <w:rPr>
          <w:rFonts w:ascii="Times New Roman" w:hAnsi="Times New Roman" w:cs="Times New Roman"/>
          <w:noProof/>
          <w:sz w:val="24"/>
          <w:szCs w:val="24"/>
          <w:lang w:val="fr-FR"/>
        </w:rPr>
        <w:t>s identifiées via des plates-formes techniques prévues d’ici à la fin de l’année 2016. Dès lors que la mise en œuvre aura atteint un stade de maturité et au vu des résultats de ce dialogue et des résultats des études connexes à venir, de l’évaluation secto</w:t>
      </w:r>
      <w:r>
        <w:rPr>
          <w:rFonts w:ascii="Times New Roman" w:hAnsi="Times New Roman" w:cs="Times New Roman"/>
          <w:noProof/>
          <w:sz w:val="24"/>
          <w:szCs w:val="24"/>
          <w:lang w:val="fr-FR"/>
        </w:rPr>
        <w:t>rielle et des rapports</w:t>
      </w:r>
      <w:r>
        <w:rPr>
          <w:rStyle w:val="FootnoteReference"/>
          <w:rFonts w:ascii="Times New Roman" w:hAnsi="Times New Roman" w:cs="Times New Roman"/>
          <w:noProof/>
          <w:sz w:val="24"/>
          <w:szCs w:val="24"/>
          <w:lang w:val="fr-FR"/>
        </w:rPr>
        <w:footnoteReference w:id="59"/>
      </w:r>
      <w:r>
        <w:rPr>
          <w:rFonts w:ascii="Times New Roman" w:hAnsi="Times New Roman" w:cs="Times New Roman"/>
          <w:noProof/>
          <w:sz w:val="24"/>
          <w:szCs w:val="24"/>
          <w:lang w:val="fr-FR"/>
        </w:rPr>
        <w:t>, la Commission examinera l’efficacité du RPC.</w:t>
      </w:r>
    </w:p>
    <w:p w:rsidR="008E0938" w:rsidRDefault="008E0938">
      <w:pPr>
        <w:spacing w:after="120" w:line="240" w:lineRule="auto"/>
        <w:ind w:left="720"/>
        <w:jc w:val="center"/>
        <w:rPr>
          <w:rFonts w:ascii="Times New Roman" w:hAnsi="Times New Roman" w:cs="Times New Roman"/>
          <w:noProof/>
          <w:sz w:val="16"/>
          <w:szCs w:val="16"/>
          <w:lang w:val="fr-FR"/>
        </w:rPr>
      </w:pPr>
    </w:p>
    <w:sectPr w:rsidR="008E0938">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938" w:rsidRDefault="006B388A">
      <w:pPr>
        <w:spacing w:after="0" w:line="240" w:lineRule="auto"/>
      </w:pPr>
      <w:r>
        <w:separator/>
      </w:r>
    </w:p>
  </w:endnote>
  <w:endnote w:type="continuationSeparator" w:id="0">
    <w:p w:rsidR="008E0938" w:rsidRDefault="006B388A">
      <w:pPr>
        <w:spacing w:after="0" w:line="240" w:lineRule="auto"/>
      </w:pPr>
      <w:r>
        <w:continuationSeparator/>
      </w:r>
    </w:p>
  </w:endnote>
  <w:endnote w:type="continuationNotice" w:id="1">
    <w:p w:rsidR="008E0938" w:rsidRDefault="008E09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38" w:rsidRDefault="008E09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38" w:rsidRDefault="006B388A">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38" w:rsidRDefault="008E0938">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38" w:rsidRDefault="008E093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589547"/>
      <w:docPartObj>
        <w:docPartGallery w:val="Page Numbers (Bottom of Page)"/>
        <w:docPartUnique/>
      </w:docPartObj>
    </w:sdtPr>
    <w:sdtEndPr>
      <w:rPr>
        <w:sz w:val="18"/>
        <w:szCs w:val="18"/>
      </w:rPr>
    </w:sdtEndPr>
    <w:sdtContent>
      <w:p w:rsidR="008E0938" w:rsidRDefault="006B388A">
        <w:pPr>
          <w:pStyle w:val="Footer"/>
          <w:jc w:val="righ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4</w:t>
        </w:r>
        <w:r>
          <w:rPr>
            <w:sz w:val="18"/>
            <w:szCs w:val="18"/>
          </w:rPr>
          <w:fldChar w:fldCharType="end"/>
        </w:r>
      </w:p>
    </w:sdtContent>
  </w:sdt>
  <w:p w:rsidR="008E0938" w:rsidRDefault="008E093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316138"/>
      <w:docPartObj>
        <w:docPartGallery w:val="Page Numbers (Bottom of Page)"/>
        <w:docPartUnique/>
      </w:docPartObj>
    </w:sdtPr>
    <w:sdtEndPr>
      <w:rPr>
        <w:noProof/>
      </w:rPr>
    </w:sdtEndPr>
    <w:sdtContent>
      <w:p w:rsidR="008E0938" w:rsidRDefault="006B38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E0938" w:rsidRDefault="008E09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938" w:rsidRDefault="006B388A">
      <w:pPr>
        <w:spacing w:after="0" w:line="240" w:lineRule="auto"/>
      </w:pPr>
      <w:r>
        <w:separator/>
      </w:r>
    </w:p>
  </w:footnote>
  <w:footnote w:type="continuationSeparator" w:id="0">
    <w:p w:rsidR="008E0938" w:rsidRDefault="006B388A">
      <w:pPr>
        <w:spacing w:after="0" w:line="240" w:lineRule="auto"/>
      </w:pPr>
      <w:r>
        <w:continuationSeparator/>
      </w:r>
    </w:p>
  </w:footnote>
  <w:footnote w:type="continuationNotice" w:id="1">
    <w:p w:rsidR="008E0938" w:rsidRDefault="008E0938">
      <w:pPr>
        <w:spacing w:after="0" w:line="240" w:lineRule="auto"/>
      </w:pPr>
    </w:p>
  </w:footnote>
  <w:footnote w:id="2">
    <w:p w:rsidR="008E0938" w:rsidRDefault="006B388A">
      <w:pPr>
        <w:pStyle w:val="FootnoteText"/>
        <w:ind w:left="198" w:hanging="198"/>
        <w:jc w:val="both"/>
        <w:rPr>
          <w:lang w:val="fr-FR"/>
        </w:rPr>
      </w:pPr>
      <w:r>
        <w:rPr>
          <w:rStyle w:val="FootnoteReference"/>
        </w:rPr>
        <w:footnoteRef/>
      </w:r>
      <w:r>
        <w:rPr>
          <w:lang w:val="fr-FR"/>
        </w:rPr>
        <w:t xml:space="preserve"> Règlement (UE) nº 305/2011 du Parlement européen et du Conseil du 9 mars 2011 établissant des conditions harmonisées de commercialisation pour les produits de construction et abrogeant la directive 89/106/CEE du Conseil, JO L 88 du 4.4.2011, p. 5.</w:t>
      </w:r>
    </w:p>
  </w:footnote>
  <w:footnote w:id="3">
    <w:p w:rsidR="008E0938" w:rsidRDefault="006B388A">
      <w:pPr>
        <w:pStyle w:val="FootnoteText"/>
        <w:ind w:left="198" w:hanging="198"/>
        <w:rPr>
          <w:lang w:val="fr-FR"/>
        </w:rPr>
      </w:pPr>
      <w:r>
        <w:rPr>
          <w:rStyle w:val="FootnoteReference"/>
          <w:lang w:val="fr-FR"/>
        </w:rPr>
        <w:footnoteRef/>
      </w:r>
      <w:r>
        <w:rPr>
          <w:lang w:val="fr-FR"/>
        </w:rPr>
        <w:t xml:space="preserve"> http:</w:t>
      </w:r>
      <w:r>
        <w:rPr>
          <w:lang w:val="fr-FR"/>
        </w:rPr>
        <w:t>//bookshop.europa.eu/en/analysis-of-the-implementation-of-the-construction-products-regulation-pbET0415686/, http://bookshop.europa.eu/en/analysis-of-the-implementation-of-the-construction-products-regulation-pbET0415688/, http://bookshop.europa.eu/en/anal</w:t>
      </w:r>
      <w:r>
        <w:rPr>
          <w:lang w:val="fr-FR"/>
        </w:rPr>
        <w:t>ysis-of-the-implementation-of-the-construction-products-regulation-pbET0115716/</w:t>
      </w:r>
      <w:r>
        <w:rPr>
          <w:rStyle w:val="Hyperlink"/>
          <w:u w:val="none"/>
          <w:lang w:val="fr-FR"/>
        </w:rPr>
        <w:t>.</w:t>
      </w:r>
    </w:p>
  </w:footnote>
  <w:footnote w:id="4">
    <w:p w:rsidR="008E0938" w:rsidRDefault="006B388A">
      <w:pPr>
        <w:pStyle w:val="FootnoteText"/>
        <w:ind w:left="198" w:hanging="198"/>
        <w:rPr>
          <w:lang w:val="fr-FR"/>
        </w:rPr>
      </w:pPr>
      <w:r>
        <w:rPr>
          <w:rStyle w:val="FootnoteReference"/>
          <w:lang w:val="fr-FR"/>
        </w:rPr>
        <w:footnoteRef/>
      </w:r>
      <w:r>
        <w:rPr>
          <w:lang w:val="fr-FR"/>
        </w:rPr>
        <w:t xml:space="preserve"> COM(2014)511 du 7.8.2014, conformément à l’article 67, paragraphe 1.</w:t>
      </w:r>
    </w:p>
  </w:footnote>
  <w:footnote w:id="5">
    <w:p w:rsidR="008E0938" w:rsidRDefault="006B388A">
      <w:pPr>
        <w:pStyle w:val="FootnoteText"/>
        <w:ind w:left="198" w:hanging="198"/>
        <w:rPr>
          <w:lang w:val="fr-FR"/>
        </w:rPr>
      </w:pPr>
      <w:r>
        <w:rPr>
          <w:rStyle w:val="FootnoteReference"/>
          <w:lang w:val="fr-FR"/>
        </w:rPr>
        <w:footnoteRef/>
      </w:r>
      <w:r>
        <w:rPr>
          <w:lang w:val="fr-FR"/>
        </w:rPr>
        <w:t xml:space="preserve"> COM(2015)449 du 16.9.2015, conformément à l’article 61, paragraphe 1.</w:t>
      </w:r>
    </w:p>
  </w:footnote>
  <w:footnote w:id="6">
    <w:p w:rsidR="008E0938" w:rsidRDefault="006B388A">
      <w:pPr>
        <w:pStyle w:val="FootnoteText"/>
        <w:ind w:left="198" w:hanging="198"/>
        <w:rPr>
          <w:lang w:val="fr-FR"/>
        </w:rPr>
      </w:pPr>
      <w:r>
        <w:rPr>
          <w:rStyle w:val="FootnoteReference"/>
          <w:lang w:val="fr-FR"/>
        </w:rPr>
        <w:footnoteRef/>
      </w:r>
      <w:r>
        <w:rPr>
          <w:lang w:val="fr-FR"/>
        </w:rPr>
        <w:t xml:space="preserve"> Conformément aux dispositions </w:t>
      </w:r>
      <w:r>
        <w:rPr>
          <w:lang w:val="fr-FR"/>
        </w:rPr>
        <w:t>de l’article 34, paragraphe 2, du RPC.</w:t>
      </w:r>
    </w:p>
  </w:footnote>
  <w:footnote w:id="7">
    <w:p w:rsidR="008E0938" w:rsidRDefault="006B388A">
      <w:pPr>
        <w:pStyle w:val="FootnoteText"/>
        <w:ind w:left="198" w:hanging="198"/>
        <w:jc w:val="both"/>
        <w:rPr>
          <w:lang w:val="fr-FR"/>
        </w:rPr>
      </w:pPr>
      <w:r>
        <w:rPr>
          <w:rStyle w:val="FootnoteReference"/>
        </w:rPr>
        <w:footnoteRef/>
      </w:r>
      <w:r>
        <w:rPr>
          <w:lang w:val="fr-FR"/>
        </w:rPr>
        <w:t xml:space="preserve"> Le RPC a donc été inscrit dans le programme glissant de la Commission pour la mise à jour et la simplification de l’acquis communautaire, et intégré dans le programme REFIT (</w:t>
      </w:r>
      <w:r>
        <w:rPr>
          <w:i/>
          <w:lang w:val="fr-FR"/>
        </w:rPr>
        <w:t>Regulatory Fitness and Performance Progra</w:t>
      </w:r>
      <w:r>
        <w:rPr>
          <w:i/>
          <w:lang w:val="fr-FR"/>
        </w:rPr>
        <w:t>mme</w:t>
      </w:r>
      <w:r>
        <w:rPr>
          <w:lang w:val="fr-FR"/>
        </w:rPr>
        <w:t xml:space="preserve"> – Programme pour une réglementation affûtée et performante) en 2014.</w:t>
      </w:r>
    </w:p>
  </w:footnote>
  <w:footnote w:id="8">
    <w:p w:rsidR="008E0938" w:rsidRDefault="006B388A">
      <w:pPr>
        <w:pStyle w:val="FootnoteText"/>
        <w:ind w:left="198" w:hanging="198"/>
        <w:jc w:val="both"/>
        <w:rPr>
          <w:lang w:val="fr-FR"/>
        </w:rPr>
      </w:pPr>
      <w:r>
        <w:rPr>
          <w:rStyle w:val="FootnoteReference"/>
          <w:lang w:val="fr-FR"/>
        </w:rPr>
        <w:footnoteRef/>
      </w:r>
      <w:r>
        <w:rPr>
          <w:lang w:val="fr-FR"/>
        </w:rPr>
        <w:t xml:space="preserve"> http://ec.europa.eu/europe2020/index_fr.htm.</w:t>
      </w:r>
    </w:p>
  </w:footnote>
  <w:footnote w:id="9">
    <w:p w:rsidR="008E0938" w:rsidRDefault="006B388A">
      <w:pPr>
        <w:pStyle w:val="FootnoteText"/>
        <w:ind w:left="198" w:hanging="198"/>
        <w:jc w:val="both"/>
        <w:rPr>
          <w:lang w:val="fr-FR"/>
        </w:rPr>
      </w:pPr>
      <w:r>
        <w:rPr>
          <w:rStyle w:val="FootnoteReference"/>
          <w:lang w:val="fr-FR"/>
        </w:rPr>
        <w:footnoteRef/>
      </w:r>
      <w:r>
        <w:rPr>
          <w:lang w:val="fr-FR"/>
        </w:rPr>
        <w:t xml:space="preserve"> Communication de la Commission au Parlement européen et au Conseil, «Stratégie pour une compétitivité durable du secteur de la construction et de ses entreprises», COM(2012) 433 du 31.7.2012.</w:t>
      </w:r>
    </w:p>
  </w:footnote>
  <w:footnote w:id="10">
    <w:p w:rsidR="008E0938" w:rsidRDefault="006B388A">
      <w:pPr>
        <w:pStyle w:val="FootnoteText"/>
        <w:rPr>
          <w:lang w:val="fr-FR"/>
        </w:rPr>
      </w:pPr>
      <w:r>
        <w:rPr>
          <w:rStyle w:val="FootnoteReference"/>
          <w:lang w:val="fr-FR"/>
        </w:rPr>
        <w:footnoteRef/>
      </w:r>
      <w:r>
        <w:rPr>
          <w:lang w:val="fr-FR"/>
        </w:rPr>
        <w:t xml:space="preserve"> Énumérées à l’Annexe I du RPC.</w:t>
      </w:r>
    </w:p>
  </w:footnote>
  <w:footnote w:id="11">
    <w:p w:rsidR="008E0938" w:rsidRDefault="006B388A">
      <w:pPr>
        <w:pStyle w:val="FootnoteText"/>
        <w:rPr>
          <w:lang w:val="fr-FR"/>
        </w:rPr>
      </w:pPr>
      <w:r>
        <w:rPr>
          <w:rStyle w:val="FootnoteReference"/>
          <w:lang w:val="fr-FR"/>
        </w:rPr>
        <w:footnoteRef/>
      </w:r>
      <w:r>
        <w:rPr>
          <w:lang w:val="fr-FR"/>
        </w:rPr>
        <w:t xml:space="preserve"> Définie à l’article 2, paragraphe 1, du RPC.</w:t>
      </w:r>
    </w:p>
  </w:footnote>
  <w:footnote w:id="12">
    <w:p w:rsidR="008E0938" w:rsidRDefault="006B388A">
      <w:pPr>
        <w:pStyle w:val="FootnoteText"/>
        <w:rPr>
          <w:lang w:val="fr-FR"/>
        </w:rPr>
      </w:pPr>
      <w:r>
        <w:rPr>
          <w:rStyle w:val="FootnoteReference"/>
          <w:lang w:val="fr-FR"/>
        </w:rPr>
        <w:footnoteRef/>
      </w:r>
      <w:r>
        <w:rPr>
          <w:lang w:val="fr-FR"/>
        </w:rPr>
        <w:t xml:space="preserve"> Résolution du Conseil du 7 mai 1985, JO C 136 du 4.8.1985.</w:t>
      </w:r>
    </w:p>
  </w:footnote>
  <w:footnote w:id="13">
    <w:p w:rsidR="008E0938" w:rsidRDefault="006B388A">
      <w:pPr>
        <w:pStyle w:val="FootnoteText"/>
        <w:rPr>
          <w:lang w:val="fr-FR"/>
        </w:rPr>
      </w:pPr>
      <w:r>
        <w:rPr>
          <w:rStyle w:val="FootnoteReference"/>
          <w:lang w:val="fr-FR"/>
        </w:rPr>
        <w:footnoteRef/>
      </w:r>
      <w:r>
        <w:rPr>
          <w:lang w:val="fr-FR"/>
        </w:rPr>
        <w:t xml:space="preserve"> JO L 218 du 13.8.2008, p. 82.</w:t>
      </w:r>
    </w:p>
  </w:footnote>
  <w:footnote w:id="14">
    <w:p w:rsidR="008E0938" w:rsidRDefault="006B388A">
      <w:pPr>
        <w:pStyle w:val="FootnoteText"/>
        <w:ind w:left="198" w:hanging="198"/>
        <w:jc w:val="both"/>
        <w:rPr>
          <w:lang w:val="fr-FR"/>
        </w:rPr>
      </w:pPr>
      <w:r>
        <w:rPr>
          <w:rStyle w:val="FootnoteReference"/>
        </w:rPr>
        <w:footnoteRef/>
      </w:r>
      <w:r>
        <w:rPr>
          <w:lang w:val="fr-FR"/>
        </w:rPr>
        <w:t xml:space="preserve"> Une conférence en juin 2012, une vidéo en 2014 et une brochure en 2015 («Marquage CE des produits de construction é</w:t>
      </w:r>
      <w:r>
        <w:rPr>
          <w:lang w:val="fr-FR"/>
        </w:rPr>
        <w:t>tape par étape», http://ec.europa.eu/DocsRoom/documents?tags=ce-guide).</w:t>
      </w:r>
    </w:p>
  </w:footnote>
  <w:footnote w:id="15">
    <w:p w:rsidR="008E0938" w:rsidRDefault="006B388A">
      <w:pPr>
        <w:pStyle w:val="FootnoteText"/>
        <w:ind w:left="198" w:hanging="198"/>
        <w:rPr>
          <w:lang w:val="pt-PT"/>
        </w:rPr>
      </w:pPr>
      <w:r>
        <w:rPr>
          <w:rStyle w:val="FootnoteReference"/>
          <w:lang w:val="fr-FR"/>
        </w:rPr>
        <w:footnoteRef/>
      </w:r>
      <w:r>
        <w:rPr>
          <w:lang w:val="pt-PT"/>
        </w:rPr>
        <w:t xml:space="preserve"> Nando, à l’adresse: http://ec.europa.eu/growth/tools-databases/nando/index.cfm?fuseaction=directive.notifiedbody&amp;dir_id=33</w:t>
      </w:r>
      <w:r>
        <w:rPr>
          <w:rStyle w:val="Hyperlink"/>
          <w:u w:val="none"/>
          <w:lang w:val="pt-PT"/>
        </w:rPr>
        <w:t>.</w:t>
      </w:r>
    </w:p>
  </w:footnote>
  <w:footnote w:id="16">
    <w:p w:rsidR="008E0938" w:rsidRDefault="006B388A">
      <w:pPr>
        <w:pStyle w:val="FootnoteText"/>
        <w:ind w:left="198" w:hanging="198"/>
        <w:jc w:val="both"/>
        <w:rPr>
          <w:lang w:val="fr-FR"/>
        </w:rPr>
      </w:pPr>
      <w:r>
        <w:rPr>
          <w:rStyle w:val="FootnoteReference"/>
          <w:lang w:val="fr-FR"/>
        </w:rPr>
        <w:footnoteRef/>
      </w:r>
      <w:r>
        <w:rPr>
          <w:lang w:val="fr-FR"/>
        </w:rPr>
        <w:t xml:space="preserve"> Au titre de l’article 4, paragraphe 1, ce domaine compre</w:t>
      </w:r>
      <w:r>
        <w:rPr>
          <w:lang w:val="fr-FR"/>
        </w:rPr>
        <w:t>nd les produits couverts par les normes harmonisées et ceux conformes à une évaluation technique dont ils ont fait l’objet.</w:t>
      </w:r>
    </w:p>
  </w:footnote>
  <w:footnote w:id="17">
    <w:p w:rsidR="008E0938" w:rsidRDefault="006B388A">
      <w:pPr>
        <w:pStyle w:val="FootnoteText"/>
        <w:ind w:left="198" w:hanging="198"/>
        <w:jc w:val="both"/>
        <w:rPr>
          <w:lang w:val="fr-FR"/>
        </w:rPr>
      </w:pPr>
      <w:r>
        <w:rPr>
          <w:rStyle w:val="FootnoteReference"/>
          <w:lang w:val="fr-FR"/>
        </w:rPr>
        <w:footnoteRef/>
      </w:r>
      <w:r>
        <w:rPr>
          <w:lang w:val="fr-FR"/>
        </w:rPr>
        <w:t xml:space="preserve"> Suite à l’adoption du règlement délégué (UE) nº 157/2014 de la Commission du 30 octobre 2013 concernant les conditions de publicat</w:t>
      </w:r>
      <w:r>
        <w:rPr>
          <w:lang w:val="fr-FR"/>
        </w:rPr>
        <w:t>ion sur un site internet d’une déclaration des performances relative à des produits de construction, les fabricants peuvent peut mettre la DdP à disposition par voie électronique. Il est prouvé que cette approche est utilisée et qu’elle est perçue de maniè</w:t>
      </w:r>
      <w:r>
        <w:rPr>
          <w:lang w:val="fr-FR"/>
        </w:rPr>
        <w:t>re positive par le secteur.</w:t>
      </w:r>
    </w:p>
  </w:footnote>
  <w:footnote w:id="18">
    <w:p w:rsidR="008E0938" w:rsidRDefault="006B388A">
      <w:pPr>
        <w:pStyle w:val="FootnoteText"/>
        <w:ind w:left="198" w:hanging="198"/>
        <w:jc w:val="both"/>
        <w:rPr>
          <w:lang w:val="fr-FR"/>
        </w:rPr>
      </w:pPr>
      <w:r>
        <w:rPr>
          <w:rStyle w:val="FootnoteReference"/>
          <w:lang w:val="fr-FR"/>
        </w:rPr>
        <w:footnoteRef/>
      </w:r>
      <w:r>
        <w:rPr>
          <w:lang w:val="fr-FR"/>
        </w:rPr>
        <w:t xml:space="preserve"> Cf. article 4, paragraphe 2, du RPC. </w:t>
      </w:r>
    </w:p>
  </w:footnote>
  <w:footnote w:id="19">
    <w:p w:rsidR="008E0938" w:rsidRDefault="006B388A">
      <w:pPr>
        <w:pStyle w:val="FootnoteText"/>
        <w:ind w:left="198" w:hanging="198"/>
        <w:jc w:val="both"/>
        <w:rPr>
          <w:lang w:val="fr-FR"/>
        </w:rPr>
      </w:pPr>
      <w:r>
        <w:rPr>
          <w:rStyle w:val="FootnoteReference"/>
        </w:rPr>
        <w:footnoteRef/>
      </w:r>
      <w:r>
        <w:rPr>
          <w:lang w:val="fr-FR"/>
        </w:rPr>
        <w:t xml:space="preserve"> Marques (ou, plus généralement, procédures créant des exigences </w:t>
      </w:r>
      <w:r>
        <w:rPr>
          <w:i/>
          <w:lang w:val="fr-FR"/>
        </w:rPr>
        <w:t>ex ante</w:t>
      </w:r>
      <w:r>
        <w:rPr>
          <w:lang w:val="fr-FR"/>
        </w:rPr>
        <w:t xml:space="preserve"> pour les fabricants) avec une connotation nationale.</w:t>
      </w:r>
    </w:p>
  </w:footnote>
  <w:footnote w:id="20">
    <w:p w:rsidR="008E0938" w:rsidRDefault="006B388A">
      <w:pPr>
        <w:pStyle w:val="FootnoteText"/>
        <w:ind w:left="198" w:hanging="198"/>
        <w:jc w:val="both"/>
        <w:rPr>
          <w:lang w:val="fr-FR"/>
        </w:rPr>
      </w:pPr>
      <w:r>
        <w:rPr>
          <w:rStyle w:val="FootnoteReference"/>
          <w:lang w:val="fr-FR"/>
        </w:rPr>
        <w:footnoteRef/>
      </w:r>
      <w:r>
        <w:rPr>
          <w:lang w:val="fr-FR"/>
        </w:rPr>
        <w:t xml:space="preserve"> Le domaine des exigences fondamentales applicables aux ouvr</w:t>
      </w:r>
      <w:r>
        <w:rPr>
          <w:lang w:val="fr-FR"/>
        </w:rPr>
        <w:t>ages de construction, telles qu’énoncées à l’annexe I du RPC.</w:t>
      </w:r>
    </w:p>
  </w:footnote>
  <w:footnote w:id="21">
    <w:p w:rsidR="008E0938" w:rsidRDefault="006B388A">
      <w:pPr>
        <w:pStyle w:val="FootnoteText"/>
        <w:ind w:left="198" w:hanging="198"/>
        <w:jc w:val="both"/>
        <w:rPr>
          <w:lang w:val="fr-FR"/>
        </w:rPr>
      </w:pPr>
      <w:r>
        <w:rPr>
          <w:rStyle w:val="FootnoteReference"/>
          <w:lang w:val="fr-FR"/>
        </w:rPr>
        <w:footnoteRef/>
      </w:r>
      <w:r>
        <w:rPr>
          <w:lang w:val="fr-FR"/>
        </w:rPr>
        <w:t xml:space="preserve"> http://curia.europa.eu/juris/liste.jsf?td=ALL&amp;language=fr&amp;jur=C,T,F&amp;num=c-100/13 %23</w:t>
      </w:r>
      <w:r>
        <w:rPr>
          <w:rStyle w:val="Hyperlink"/>
          <w:u w:val="none"/>
          <w:lang w:val="fr-FR"/>
        </w:rPr>
        <w:t>.</w:t>
      </w:r>
    </w:p>
  </w:footnote>
  <w:footnote w:id="22">
    <w:p w:rsidR="008E0938" w:rsidRDefault="006B388A">
      <w:pPr>
        <w:pStyle w:val="FootnoteText"/>
        <w:ind w:left="198" w:hanging="198"/>
        <w:jc w:val="both"/>
        <w:rPr>
          <w:lang w:val="fr-FR"/>
        </w:rPr>
      </w:pPr>
      <w:r>
        <w:rPr>
          <w:rStyle w:val="FootnoteReference"/>
          <w:lang w:val="fr-FR"/>
        </w:rPr>
        <w:footnoteRef/>
      </w:r>
      <w:r>
        <w:rPr>
          <w:lang w:val="fr-FR"/>
        </w:rPr>
        <w:t xml:space="preserve"> Comme au point 62 de l’arrêt dans l’affaire C-100/13.</w:t>
      </w:r>
    </w:p>
  </w:footnote>
  <w:footnote w:id="23">
    <w:p w:rsidR="008E0938" w:rsidRDefault="006B388A">
      <w:pPr>
        <w:pStyle w:val="FootnoteText"/>
        <w:ind w:left="198" w:hanging="198"/>
        <w:jc w:val="both"/>
        <w:rPr>
          <w:lang w:val="fr-FR"/>
        </w:rPr>
      </w:pPr>
      <w:r>
        <w:rPr>
          <w:rStyle w:val="FootnoteReference"/>
        </w:rPr>
        <w:footnoteRef/>
      </w:r>
      <w:r>
        <w:rPr>
          <w:lang w:val="fr-FR"/>
        </w:rPr>
        <w:t xml:space="preserve"> Décision nº 768/2008/CE du Parlement européen et</w:t>
      </w:r>
      <w:r>
        <w:rPr>
          <w:lang w:val="fr-FR"/>
        </w:rPr>
        <w:t xml:space="preserve"> du Conseil du 9 juillet 2008 relative à un cadre commun pour la commercialisation des produits et abrogeant la décision 93/465/CEE du Conseil, JO L 218 du 13.8.2008, p. 82.</w:t>
      </w:r>
    </w:p>
  </w:footnote>
  <w:footnote w:id="24">
    <w:p w:rsidR="008E0938" w:rsidRDefault="006B388A">
      <w:pPr>
        <w:pStyle w:val="FootnoteText"/>
        <w:ind w:left="198" w:hanging="198"/>
        <w:jc w:val="both"/>
        <w:rPr>
          <w:lang w:val="fr-FR"/>
        </w:rPr>
      </w:pPr>
      <w:r>
        <w:rPr>
          <w:rStyle w:val="FootnoteReference"/>
          <w:lang w:val="fr-FR"/>
        </w:rPr>
        <w:footnoteRef/>
      </w:r>
      <w:r>
        <w:rPr>
          <w:lang w:val="fr-FR"/>
        </w:rPr>
        <w:t xml:space="preserve"> Cf. articles 4, paragraphe 2, article 8, paragraphes 3 et 6, et article 17, para</w:t>
      </w:r>
      <w:r>
        <w:rPr>
          <w:lang w:val="fr-FR"/>
        </w:rPr>
        <w:t>graphe 5.</w:t>
      </w:r>
    </w:p>
  </w:footnote>
  <w:footnote w:id="25">
    <w:p w:rsidR="008E0938" w:rsidRDefault="006B388A">
      <w:pPr>
        <w:pStyle w:val="FootnoteText"/>
        <w:ind w:left="198" w:hanging="198"/>
        <w:jc w:val="both"/>
        <w:rPr>
          <w:lang w:val="fr-FR"/>
        </w:rPr>
      </w:pPr>
      <w:r>
        <w:rPr>
          <w:rStyle w:val="FootnoteReference"/>
          <w:lang w:val="fr-FR"/>
        </w:rPr>
        <w:footnoteRef/>
      </w:r>
      <w:r>
        <w:rPr>
          <w:lang w:val="fr-FR"/>
        </w:rPr>
        <w:t xml:space="preserve"> L’accès aux normes harmonisées est une question importante, comme le reconnait l’avocat général à la Cour de justice européenne dans ses conclusions (paragraphe 51 en particulier) rendues le 28.1.2016 dans l’affaire C-613/14. Ces conclusions so</w:t>
      </w:r>
      <w:r>
        <w:rPr>
          <w:lang w:val="fr-FR"/>
        </w:rPr>
        <w:t>ulignent également la pertinence des normes dans le cadre du mécanisme d’harmonisation de l’UE – par ailleurs, le médiateur européen a récemment clôturé une affaire sur ce sujet Q2/2013/EIS par son rapport du 11.12.2015.</w:t>
      </w:r>
    </w:p>
  </w:footnote>
  <w:footnote w:id="26">
    <w:p w:rsidR="008E0938" w:rsidRDefault="006B388A">
      <w:pPr>
        <w:pStyle w:val="FootnoteText"/>
        <w:ind w:left="198" w:hanging="198"/>
        <w:jc w:val="both"/>
        <w:rPr>
          <w:lang w:val="fr-FR"/>
        </w:rPr>
      </w:pPr>
      <w:r>
        <w:rPr>
          <w:rStyle w:val="FootnoteReference"/>
          <w:lang w:val="fr-FR"/>
        </w:rPr>
        <w:footnoteRef/>
      </w:r>
      <w:r>
        <w:rPr>
          <w:lang w:val="fr-FR"/>
        </w:rPr>
        <w:t xml:space="preserve"> Voir article 17, paragraphe 2, du</w:t>
      </w:r>
      <w:r>
        <w:rPr>
          <w:lang w:val="fr-FR"/>
        </w:rPr>
        <w:t xml:space="preserve"> RPC.</w:t>
      </w:r>
    </w:p>
  </w:footnote>
  <w:footnote w:id="27">
    <w:p w:rsidR="008E0938" w:rsidRDefault="006B388A">
      <w:pPr>
        <w:pStyle w:val="FootnoteText"/>
        <w:ind w:left="198" w:hanging="198"/>
        <w:jc w:val="both"/>
        <w:rPr>
          <w:lang w:val="fr-FR"/>
        </w:rPr>
      </w:pPr>
      <w:r>
        <w:rPr>
          <w:rStyle w:val="FootnoteReference"/>
          <w:lang w:val="fr-FR"/>
        </w:rPr>
        <w:footnoteRef/>
      </w:r>
      <w:r>
        <w:rPr>
          <w:lang w:val="fr-FR"/>
        </w:rPr>
        <w:t xml:space="preserve"> Voir note de bas de page 16.</w:t>
      </w:r>
    </w:p>
  </w:footnote>
  <w:footnote w:id="28">
    <w:p w:rsidR="008E0938" w:rsidRDefault="006B388A">
      <w:pPr>
        <w:pStyle w:val="FootnoteText"/>
        <w:ind w:left="198" w:hanging="198"/>
        <w:jc w:val="both"/>
        <w:rPr>
          <w:lang w:val="fr-FR"/>
        </w:rPr>
      </w:pPr>
      <w:r>
        <w:rPr>
          <w:rStyle w:val="FootnoteReference"/>
          <w:lang w:val="fr-FR"/>
        </w:rPr>
        <w:footnoteRef/>
      </w:r>
      <w:r>
        <w:rPr>
          <w:lang w:val="fr-FR"/>
        </w:rPr>
        <w:t xml:space="preserve"> En particulier sur certaines exigences fondamentales applicables aux ouvrages de construction.</w:t>
      </w:r>
    </w:p>
  </w:footnote>
  <w:footnote w:id="29">
    <w:p w:rsidR="008E0938" w:rsidRDefault="006B388A">
      <w:pPr>
        <w:pStyle w:val="FootnoteText"/>
        <w:ind w:left="198" w:hanging="198"/>
        <w:jc w:val="both"/>
        <w:rPr>
          <w:lang w:val="fr-FR"/>
        </w:rPr>
      </w:pPr>
      <w:r>
        <w:rPr>
          <w:rStyle w:val="FootnoteReference"/>
          <w:lang w:val="fr-FR"/>
        </w:rPr>
        <w:footnoteRef/>
      </w:r>
      <w:r>
        <w:rPr>
          <w:lang w:val="fr-FR"/>
        </w:rPr>
        <w:t xml:space="preserve"> Puisque les amendements aux normes existantes devraient être faits sur la base de la durée du mandat.</w:t>
      </w:r>
    </w:p>
  </w:footnote>
  <w:footnote w:id="30">
    <w:p w:rsidR="008E0938" w:rsidRDefault="006B388A">
      <w:pPr>
        <w:pStyle w:val="FootnoteText"/>
        <w:ind w:left="198" w:hanging="198"/>
        <w:jc w:val="both"/>
        <w:rPr>
          <w:lang w:val="fr-FR"/>
        </w:rPr>
      </w:pPr>
      <w:r>
        <w:rPr>
          <w:rStyle w:val="FootnoteReference"/>
          <w:lang w:val="fr-FR"/>
        </w:rPr>
        <w:footnoteRef/>
      </w:r>
      <w:r>
        <w:rPr>
          <w:lang w:val="fr-FR"/>
        </w:rPr>
        <w:t xml:space="preserve"> Décision de la C</w:t>
      </w:r>
      <w:r>
        <w:rPr>
          <w:lang w:val="fr-FR"/>
        </w:rPr>
        <w:t xml:space="preserve">ommission du 1.6.2016 </w:t>
      </w:r>
      <w:r>
        <w:rPr>
          <w:rStyle w:val="st"/>
          <w:lang w:val="fr-FR"/>
        </w:rPr>
        <w:t>relative à l’approbation et à la signature de l’initiative commune sur la normalisation</w:t>
      </w:r>
      <w:r>
        <w:rPr>
          <w:lang w:val="fr-FR"/>
        </w:rPr>
        <w:t>, C(2016)3211.</w:t>
      </w:r>
    </w:p>
  </w:footnote>
  <w:footnote w:id="31">
    <w:p w:rsidR="008E0938" w:rsidRDefault="006B388A">
      <w:pPr>
        <w:pStyle w:val="FootnoteText"/>
        <w:ind w:left="198" w:hanging="198"/>
        <w:jc w:val="both"/>
        <w:rPr>
          <w:lang w:val="fr-FR"/>
        </w:rPr>
      </w:pPr>
      <w:r>
        <w:rPr>
          <w:rStyle w:val="FootnoteReference"/>
          <w:lang w:val="fr-FR"/>
        </w:rPr>
        <w:footnoteRef/>
      </w:r>
      <w:r>
        <w:rPr>
          <w:lang w:val="fr-FR"/>
        </w:rPr>
        <w:t xml:space="preserve"> Cf. article 19, paragraphe 1, définissant le champ d’application de ces activités. </w:t>
      </w:r>
    </w:p>
  </w:footnote>
  <w:footnote w:id="32">
    <w:p w:rsidR="008E0938" w:rsidRDefault="006B388A">
      <w:pPr>
        <w:pStyle w:val="FootnoteText"/>
        <w:ind w:left="198" w:hanging="198"/>
        <w:jc w:val="both"/>
        <w:rPr>
          <w:lang w:val="fr-FR"/>
        </w:rPr>
      </w:pPr>
      <w:r>
        <w:rPr>
          <w:rStyle w:val="FootnoteReference"/>
        </w:rPr>
        <w:footnoteRef/>
      </w:r>
      <w:r>
        <w:rPr>
          <w:lang w:val="fr-FR"/>
        </w:rPr>
        <w:t xml:space="preserve"> Cf. article 20.</w:t>
      </w:r>
    </w:p>
  </w:footnote>
  <w:footnote w:id="33">
    <w:p w:rsidR="008E0938" w:rsidRDefault="006B388A">
      <w:pPr>
        <w:pStyle w:val="FootnoteText"/>
        <w:ind w:left="198" w:hanging="198"/>
        <w:jc w:val="both"/>
        <w:rPr>
          <w:lang w:val="fr-FR"/>
        </w:rPr>
      </w:pPr>
      <w:r>
        <w:rPr>
          <w:rStyle w:val="FootnoteReference"/>
          <w:lang w:val="fr-FR"/>
        </w:rPr>
        <w:footnoteRef/>
      </w:r>
      <w:r>
        <w:rPr>
          <w:lang w:val="fr-FR"/>
        </w:rPr>
        <w:t xml:space="preserve"> Cf. article 19, paragraphe</w:t>
      </w:r>
      <w:r>
        <w:rPr>
          <w:lang w:val="fr-FR"/>
        </w:rPr>
        <w:t xml:space="preserve"> 2, et article 3, ainsi que l’annexe II du RPC; cf. aussi article 21.</w:t>
      </w:r>
    </w:p>
  </w:footnote>
  <w:footnote w:id="34">
    <w:p w:rsidR="008E0938" w:rsidRDefault="006B388A">
      <w:pPr>
        <w:pStyle w:val="FootnoteText"/>
        <w:ind w:left="198" w:hanging="198"/>
        <w:jc w:val="both"/>
        <w:rPr>
          <w:lang w:val="fr-FR"/>
        </w:rPr>
      </w:pPr>
      <w:r>
        <w:rPr>
          <w:rStyle w:val="FootnoteReference"/>
          <w:lang w:val="fr-FR"/>
        </w:rPr>
        <w:footnoteRef/>
      </w:r>
      <w:r>
        <w:rPr>
          <w:lang w:val="fr-FR"/>
        </w:rPr>
        <w:t xml:space="preserve"> Cf. articles 29 &amp; 30 et tableau 2 de l’annexe IV du RPC; les orientations de la Commission au titre de l’article 29, paragraphe 4, ont été également dûment communiquées aux </w:t>
      </w:r>
      <w:r>
        <w:rPr>
          <w:rFonts w:ascii="Times New Roman" w:hAnsi="Times New Roman"/>
          <w:lang w:val="fr-FR"/>
        </w:rPr>
        <w:t>É</w:t>
      </w:r>
      <w:r>
        <w:rPr>
          <w:lang w:val="fr-FR"/>
        </w:rPr>
        <w:t xml:space="preserve">tats membres. D’ici mai 2016, 50 OET ont été désignés dans 25 pays, y compris trois pays de l’AELE. Six </w:t>
      </w:r>
      <w:r>
        <w:rPr>
          <w:rFonts w:ascii="Times New Roman" w:hAnsi="Times New Roman"/>
          <w:lang w:val="fr-FR"/>
        </w:rPr>
        <w:t>É</w:t>
      </w:r>
      <w:r>
        <w:rPr>
          <w:lang w:val="fr-FR"/>
        </w:rPr>
        <w:t>tats membres n’ont désigné aucun OET.</w:t>
      </w:r>
    </w:p>
  </w:footnote>
  <w:footnote w:id="35">
    <w:p w:rsidR="008E0938" w:rsidRDefault="006B388A">
      <w:pPr>
        <w:pStyle w:val="FootnoteText"/>
        <w:ind w:left="198" w:hanging="198"/>
        <w:jc w:val="both"/>
        <w:rPr>
          <w:lang w:val="fr-FR"/>
        </w:rPr>
      </w:pPr>
      <w:r>
        <w:rPr>
          <w:rStyle w:val="FootnoteReference"/>
          <w:lang w:val="fr-FR"/>
        </w:rPr>
        <w:footnoteRef/>
      </w:r>
      <w:r>
        <w:rPr>
          <w:lang w:val="fr-FR"/>
        </w:rPr>
        <w:t xml:space="preserve"> Cf. article 66, paragraphe 3, du RPC.</w:t>
      </w:r>
    </w:p>
  </w:footnote>
  <w:footnote w:id="36">
    <w:p w:rsidR="008E0938" w:rsidRDefault="006B388A">
      <w:pPr>
        <w:pStyle w:val="FootnoteText"/>
        <w:ind w:left="198" w:hanging="198"/>
        <w:jc w:val="both"/>
        <w:rPr>
          <w:lang w:val="fr-FR"/>
        </w:rPr>
      </w:pPr>
      <w:r>
        <w:rPr>
          <w:rStyle w:val="FootnoteReference"/>
          <w:lang w:val="fr-FR"/>
        </w:rPr>
        <w:footnoteRef/>
      </w:r>
      <w:r>
        <w:rPr>
          <w:lang w:val="fr-FR"/>
        </w:rPr>
        <w:t xml:space="preserve"> La référence au premier document d’évaluation européen ayant fait l’objet d’une telle conversion, a été publiée dans le JOUE en mai 2016.</w:t>
      </w:r>
    </w:p>
  </w:footnote>
  <w:footnote w:id="37">
    <w:p w:rsidR="008E0938" w:rsidRDefault="006B388A">
      <w:pPr>
        <w:pStyle w:val="FootnoteText"/>
        <w:ind w:left="198" w:hanging="198"/>
        <w:jc w:val="both"/>
        <w:rPr>
          <w:lang w:val="fr-FR"/>
        </w:rPr>
      </w:pPr>
      <w:r>
        <w:rPr>
          <w:rStyle w:val="FootnoteReference"/>
          <w:lang w:val="fr-FR"/>
        </w:rPr>
        <w:footnoteRef/>
      </w:r>
      <w:r>
        <w:rPr>
          <w:lang w:val="fr-FR"/>
        </w:rPr>
        <w:t xml:space="preserve"> Cf. article 66, paragraphe 4, du RPC.</w:t>
      </w:r>
    </w:p>
  </w:footnote>
  <w:footnote w:id="38">
    <w:p w:rsidR="008E0938" w:rsidRDefault="006B388A">
      <w:pPr>
        <w:pStyle w:val="FootnoteText"/>
        <w:ind w:left="198" w:hanging="198"/>
        <w:jc w:val="both"/>
        <w:rPr>
          <w:i/>
          <w:lang w:val="fr-FR"/>
        </w:rPr>
      </w:pPr>
      <w:r>
        <w:rPr>
          <w:rStyle w:val="FootnoteReference"/>
          <w:lang w:val="fr-FR"/>
        </w:rPr>
        <w:footnoteRef/>
      </w:r>
      <w:r>
        <w:rPr>
          <w:lang w:val="fr-FR"/>
        </w:rPr>
        <w:t xml:space="preserve"> JO L 289 du 31.10.2013, p. 42-43; cet acte est fondé sur l’article 26, para</w:t>
      </w:r>
      <w:r>
        <w:rPr>
          <w:lang w:val="fr-FR"/>
        </w:rPr>
        <w:t>graphe 3, du RPC.</w:t>
      </w:r>
    </w:p>
  </w:footnote>
  <w:footnote w:id="39">
    <w:p w:rsidR="008E0938" w:rsidRDefault="006B388A">
      <w:pPr>
        <w:pStyle w:val="FootnoteText"/>
        <w:ind w:left="198" w:hanging="198"/>
        <w:jc w:val="both"/>
        <w:rPr>
          <w:lang w:val="fr-FR"/>
        </w:rPr>
      </w:pPr>
      <w:r>
        <w:rPr>
          <w:rStyle w:val="FootnoteReference"/>
          <w:lang w:val="fr-FR"/>
        </w:rPr>
        <w:footnoteRef/>
      </w:r>
      <w:r>
        <w:rPr>
          <w:lang w:val="fr-FR"/>
        </w:rPr>
        <w:t xml:space="preserve"> Cf. article 24 du RPC.</w:t>
      </w:r>
    </w:p>
  </w:footnote>
  <w:footnote w:id="40">
    <w:p w:rsidR="008E0938" w:rsidRDefault="006B388A">
      <w:pPr>
        <w:pStyle w:val="FootnoteText"/>
        <w:ind w:left="198" w:hanging="198"/>
        <w:jc w:val="both"/>
        <w:rPr>
          <w:lang w:val="fr-FR"/>
        </w:rPr>
      </w:pPr>
      <w:r>
        <w:rPr>
          <w:rStyle w:val="FootnoteReference"/>
          <w:lang w:val="fr-FR"/>
        </w:rPr>
        <w:footnoteRef/>
      </w:r>
      <w:r>
        <w:rPr>
          <w:lang w:val="fr-FR"/>
        </w:rPr>
        <w:t xml:space="preserve"> En mai 2016, 40 documents d’évaluation européens avaient été cités dans le JOUE.</w:t>
      </w:r>
    </w:p>
  </w:footnote>
  <w:footnote w:id="41">
    <w:p w:rsidR="008E0938" w:rsidRDefault="006B388A">
      <w:pPr>
        <w:pStyle w:val="FootnoteText"/>
        <w:ind w:left="198" w:hanging="198"/>
        <w:jc w:val="both"/>
        <w:rPr>
          <w:lang w:val="fr-FR"/>
        </w:rPr>
      </w:pPr>
      <w:r>
        <w:rPr>
          <w:rStyle w:val="FootnoteReference"/>
          <w:lang w:val="fr-FR"/>
        </w:rPr>
        <w:footnoteRef/>
      </w:r>
      <w:r>
        <w:rPr>
          <w:lang w:val="fr-FR"/>
        </w:rPr>
        <w:t xml:space="preserve"> Jusqu’ici, l’EOTA n’a également signalé à la Commission aucun retard dans l’élaboration des documents d’évaluation européens, co</w:t>
      </w:r>
      <w:r>
        <w:rPr>
          <w:lang w:val="fr-FR"/>
        </w:rPr>
        <w:t>nformément aux dispositions du point 6 de l’annexe II du RPC.</w:t>
      </w:r>
    </w:p>
  </w:footnote>
  <w:footnote w:id="42">
    <w:p w:rsidR="008E0938" w:rsidRDefault="006B388A">
      <w:pPr>
        <w:pStyle w:val="FootnoteText"/>
        <w:ind w:left="198" w:hanging="198"/>
        <w:jc w:val="both"/>
        <w:rPr>
          <w:lang w:val="fr-FR"/>
        </w:rPr>
      </w:pPr>
      <w:r>
        <w:rPr>
          <w:rStyle w:val="FootnoteReference"/>
          <w:lang w:val="fr-FR"/>
        </w:rPr>
        <w:footnoteRef/>
      </w:r>
      <w:r>
        <w:rPr>
          <w:lang w:val="fr-FR"/>
        </w:rPr>
        <w:t xml:space="preserve"> Les règles de procédure énoncées à l’annexe II du RPC pourraient être simplifiées au moyen d’un acte délégué (cf. article 19, paragraphe 3, et article 60, point d).</w:t>
      </w:r>
    </w:p>
  </w:footnote>
  <w:footnote w:id="43">
    <w:p w:rsidR="008E0938" w:rsidRDefault="006B388A">
      <w:pPr>
        <w:pStyle w:val="FootnoteText"/>
        <w:ind w:left="198" w:hanging="198"/>
        <w:jc w:val="both"/>
        <w:rPr>
          <w:lang w:val="fr-FR"/>
        </w:rPr>
      </w:pPr>
      <w:r>
        <w:rPr>
          <w:rStyle w:val="FootnoteReference"/>
          <w:lang w:val="fr-FR"/>
        </w:rPr>
        <w:footnoteRef/>
      </w:r>
      <w:r>
        <w:rPr>
          <w:lang w:val="fr-FR"/>
        </w:rPr>
        <w:t xml:space="preserve"> Ces organismes sont appel</w:t>
      </w:r>
      <w:r>
        <w:rPr>
          <w:lang w:val="fr-FR"/>
        </w:rPr>
        <w:t>és à exécuter, en tant que tierce partie, des tâches relevant de la procédure d’évaluation et de vérification de la constance des performances des produits de construction. En mai 2016, 623 organismes avaient ainsi été notifiés.</w:t>
      </w:r>
    </w:p>
  </w:footnote>
  <w:footnote w:id="44">
    <w:p w:rsidR="008E0938" w:rsidRDefault="006B388A">
      <w:pPr>
        <w:pStyle w:val="FootnoteText"/>
        <w:ind w:left="198" w:hanging="198"/>
        <w:jc w:val="both"/>
        <w:rPr>
          <w:lang w:val="fr-FR"/>
        </w:rPr>
      </w:pPr>
      <w:r>
        <w:rPr>
          <w:rStyle w:val="FootnoteReference"/>
          <w:lang w:val="fr-FR"/>
        </w:rPr>
        <w:footnoteRef/>
      </w:r>
      <w:r>
        <w:rPr>
          <w:lang w:val="fr-FR"/>
        </w:rPr>
        <w:t xml:space="preserve"> Les exigences applicables</w:t>
      </w:r>
      <w:r>
        <w:rPr>
          <w:lang w:val="fr-FR"/>
        </w:rPr>
        <w:t xml:space="preserve"> aux organismes notifiés sont énoncées à l’article 43 du RPC.</w:t>
      </w:r>
    </w:p>
  </w:footnote>
  <w:footnote w:id="45">
    <w:p w:rsidR="008E0938" w:rsidRDefault="006B388A">
      <w:pPr>
        <w:pStyle w:val="FootnoteText"/>
        <w:ind w:left="198" w:hanging="198"/>
        <w:jc w:val="both"/>
        <w:rPr>
          <w:lang w:val="fr-FR"/>
        </w:rPr>
      </w:pPr>
      <w:r>
        <w:rPr>
          <w:rStyle w:val="FootnoteReference"/>
          <w:lang w:val="fr-FR"/>
        </w:rPr>
        <w:footnoteRef/>
      </w:r>
      <w:r>
        <w:rPr>
          <w:lang w:val="fr-FR"/>
        </w:rPr>
        <w:t xml:space="preserve"> Cf. article 40 du RPC.</w:t>
      </w:r>
    </w:p>
  </w:footnote>
  <w:footnote w:id="46">
    <w:p w:rsidR="008E0938" w:rsidRDefault="006B388A">
      <w:pPr>
        <w:pStyle w:val="FootnoteText"/>
        <w:ind w:left="198" w:hanging="198"/>
        <w:jc w:val="both"/>
        <w:rPr>
          <w:lang w:val="fr-FR"/>
        </w:rPr>
      </w:pPr>
      <w:r>
        <w:rPr>
          <w:rStyle w:val="FootnoteReference"/>
          <w:lang w:val="fr-FR"/>
        </w:rPr>
        <w:footnoteRef/>
      </w:r>
      <w:r>
        <w:rPr>
          <w:lang w:val="fr-FR"/>
        </w:rPr>
        <w:t xml:space="preserve"> Cf. article 43, paragraphe 11, et article 55 du RPC.</w:t>
      </w:r>
    </w:p>
  </w:footnote>
  <w:footnote w:id="47">
    <w:p w:rsidR="008E0938" w:rsidRDefault="006B388A">
      <w:pPr>
        <w:pStyle w:val="FootnoteText"/>
        <w:ind w:left="198" w:hanging="198"/>
        <w:jc w:val="both"/>
        <w:rPr>
          <w:lang w:val="fr-FR"/>
        </w:rPr>
      </w:pPr>
      <w:r>
        <w:rPr>
          <w:rStyle w:val="FootnoteReference"/>
          <w:lang w:val="fr-FR"/>
        </w:rPr>
        <w:footnoteRef/>
      </w:r>
      <w:r>
        <w:rPr>
          <w:lang w:val="fr-FR"/>
        </w:rPr>
        <w:t xml:space="preserve"> JO L 157 du 27.5.2014, p. 76-79.</w:t>
      </w:r>
    </w:p>
  </w:footnote>
  <w:footnote w:id="48">
    <w:p w:rsidR="008E0938" w:rsidRDefault="006B388A">
      <w:pPr>
        <w:pStyle w:val="FootnoteText"/>
        <w:ind w:left="198" w:hanging="198"/>
        <w:jc w:val="both"/>
        <w:rPr>
          <w:lang w:val="fr-FR"/>
        </w:rPr>
      </w:pPr>
      <w:r>
        <w:rPr>
          <w:rStyle w:val="FootnoteReference"/>
          <w:lang w:val="fr-FR"/>
        </w:rPr>
        <w:footnoteRef/>
      </w:r>
      <w:r>
        <w:rPr>
          <w:lang w:val="fr-FR"/>
        </w:rPr>
        <w:t xml:space="preserve"> Contrairement à la certification des produits, le RPC et sa nouvelle annexe V</w:t>
      </w:r>
      <w:r>
        <w:rPr>
          <w:lang w:val="fr-FR"/>
        </w:rPr>
        <w:t xml:space="preserve"> en particulier mettent l’accent sur la certification de la constance des performances.</w:t>
      </w:r>
    </w:p>
  </w:footnote>
  <w:footnote w:id="49">
    <w:p w:rsidR="008E0938" w:rsidRDefault="006B388A">
      <w:pPr>
        <w:pStyle w:val="FootnoteText"/>
        <w:ind w:left="198" w:hanging="198"/>
        <w:jc w:val="both"/>
        <w:rPr>
          <w:lang w:val="fr-FR"/>
        </w:rPr>
      </w:pPr>
      <w:r>
        <w:rPr>
          <w:rStyle w:val="FootnoteReference"/>
          <w:lang w:val="fr-FR"/>
        </w:rPr>
        <w:footnoteRef/>
      </w:r>
      <w:r>
        <w:rPr>
          <w:lang w:val="fr-FR"/>
        </w:rPr>
        <w:t xml:space="preserve"> Cf. notamment articles 43, 45, 46, 52, paragraphe 2, et 55 du RPC.</w:t>
      </w:r>
    </w:p>
  </w:footnote>
  <w:footnote w:id="50">
    <w:p w:rsidR="008E0938" w:rsidRDefault="006B388A">
      <w:pPr>
        <w:autoSpaceDE w:val="0"/>
        <w:autoSpaceDN w:val="0"/>
        <w:adjustRightInd w:val="0"/>
        <w:spacing w:after="0" w:line="240" w:lineRule="auto"/>
        <w:ind w:left="198" w:hanging="198"/>
        <w:jc w:val="both"/>
        <w:rPr>
          <w:i/>
          <w:sz w:val="20"/>
          <w:szCs w:val="20"/>
          <w:lang w:val="fr-FR"/>
        </w:rPr>
      </w:pPr>
      <w:r>
        <w:rPr>
          <w:rStyle w:val="FootnoteReference"/>
          <w:lang w:val="fr-FR"/>
        </w:rPr>
        <w:footnoteRef/>
      </w:r>
      <w:r>
        <w:rPr>
          <w:lang w:val="fr-FR"/>
        </w:rPr>
        <w:t xml:space="preserve"> </w:t>
      </w:r>
      <w:r>
        <w:rPr>
          <w:sz w:val="20"/>
          <w:szCs w:val="20"/>
          <w:lang w:val="fr-FR"/>
        </w:rPr>
        <w:t>De la décision nº 768/2008/CE.</w:t>
      </w:r>
    </w:p>
  </w:footnote>
  <w:footnote w:id="51">
    <w:p w:rsidR="008E0938" w:rsidRDefault="006B388A">
      <w:pPr>
        <w:pStyle w:val="FootnoteText"/>
        <w:ind w:left="198" w:hanging="198"/>
        <w:jc w:val="both"/>
        <w:rPr>
          <w:lang w:val="fr-FR"/>
        </w:rPr>
      </w:pPr>
      <w:r>
        <w:rPr>
          <w:rStyle w:val="FootnoteReference"/>
          <w:lang w:val="fr-FR"/>
        </w:rPr>
        <w:footnoteRef/>
      </w:r>
      <w:r>
        <w:rPr>
          <w:lang w:val="fr-FR"/>
        </w:rPr>
        <w:t xml:space="preserve"> Cf. notamment articles 44, 50, paragraphe 1, 51 et 53, paragraph</w:t>
      </w:r>
      <w:r>
        <w:rPr>
          <w:lang w:val="fr-FR"/>
        </w:rPr>
        <w:t>e 2, du RPC.</w:t>
      </w:r>
    </w:p>
  </w:footnote>
  <w:footnote w:id="52">
    <w:p w:rsidR="008E0938" w:rsidRDefault="006B388A">
      <w:pPr>
        <w:pStyle w:val="FootnoteText"/>
        <w:ind w:left="198" w:hanging="198"/>
        <w:jc w:val="both"/>
        <w:rPr>
          <w:lang w:val="fr-FR"/>
        </w:rPr>
      </w:pPr>
      <w:r>
        <w:rPr>
          <w:rStyle w:val="FootnoteReference"/>
          <w:lang w:val="fr-FR"/>
        </w:rPr>
        <w:footnoteRef/>
      </w:r>
      <w:r>
        <w:rPr>
          <w:lang w:val="fr-FR"/>
        </w:rPr>
        <w:t xml:space="preserve"> Article 5.</w:t>
      </w:r>
    </w:p>
  </w:footnote>
  <w:footnote w:id="53">
    <w:p w:rsidR="008E0938" w:rsidRDefault="006B388A">
      <w:pPr>
        <w:pStyle w:val="FootnoteText"/>
        <w:ind w:left="198" w:hanging="198"/>
        <w:jc w:val="both"/>
        <w:rPr>
          <w:lang w:val="fr-FR"/>
        </w:rPr>
      </w:pPr>
      <w:r>
        <w:rPr>
          <w:rStyle w:val="FootnoteReference"/>
          <w:lang w:val="fr-FR"/>
        </w:rPr>
        <w:footnoteRef/>
      </w:r>
      <w:r>
        <w:rPr>
          <w:lang w:val="fr-FR"/>
        </w:rPr>
        <w:t xml:space="preserve"> Articles 36 à 38. Parmi ces articles, l’article 37 porte spécifiquement sur les microentreprises.</w:t>
      </w:r>
    </w:p>
  </w:footnote>
  <w:footnote w:id="54">
    <w:p w:rsidR="008E0938" w:rsidRDefault="006B388A">
      <w:pPr>
        <w:pStyle w:val="FootnoteText"/>
        <w:rPr>
          <w:lang w:val="fr-FR"/>
        </w:rPr>
      </w:pPr>
      <w:r>
        <w:rPr>
          <w:rStyle w:val="FootnoteReference"/>
          <w:lang w:val="fr-FR"/>
        </w:rPr>
        <w:footnoteRef/>
      </w:r>
      <w:r>
        <w:rPr>
          <w:lang w:val="fr-FR"/>
        </w:rPr>
        <w:t xml:space="preserve"> Article 36.</w:t>
      </w:r>
    </w:p>
  </w:footnote>
  <w:footnote w:id="55">
    <w:p w:rsidR="008E0938" w:rsidRDefault="006B388A">
      <w:pPr>
        <w:autoSpaceDE w:val="0"/>
        <w:autoSpaceDN w:val="0"/>
        <w:adjustRightInd w:val="0"/>
        <w:spacing w:after="0" w:line="240" w:lineRule="auto"/>
        <w:ind w:left="198" w:hanging="198"/>
        <w:jc w:val="both"/>
        <w:rPr>
          <w:i/>
          <w:sz w:val="20"/>
          <w:szCs w:val="20"/>
          <w:lang w:val="fr-FR"/>
        </w:rPr>
      </w:pPr>
      <w:r>
        <w:rPr>
          <w:rStyle w:val="FootnoteReference"/>
          <w:lang w:val="fr-FR"/>
        </w:rPr>
        <w:footnoteRef/>
      </w:r>
      <w:r>
        <w:rPr>
          <w:sz w:val="20"/>
          <w:szCs w:val="20"/>
          <w:lang w:val="fr-FR"/>
        </w:rPr>
        <w:t xml:space="preserve"> Règlement (CE) nº 765/2008 du Parlement européen et du Conseil du 9 juillet 2008 fixant les prescriptions relative</w:t>
      </w:r>
      <w:r>
        <w:rPr>
          <w:sz w:val="20"/>
          <w:szCs w:val="20"/>
          <w:lang w:val="fr-FR"/>
        </w:rPr>
        <w:t>s à l’accréditation et à la surveillance du marché pour la commercialisation des produits et abrogeant le règlement (CEE) nº 339/93, JO L 218 du 13.8.2008, p. 30.</w:t>
      </w:r>
    </w:p>
  </w:footnote>
  <w:footnote w:id="56">
    <w:p w:rsidR="008E0938" w:rsidRDefault="006B388A">
      <w:pPr>
        <w:pStyle w:val="FootnoteText"/>
        <w:ind w:left="198" w:hanging="198"/>
        <w:jc w:val="both"/>
        <w:rPr>
          <w:lang w:val="fr-FR"/>
        </w:rPr>
      </w:pPr>
      <w:r>
        <w:rPr>
          <w:rStyle w:val="FootnoteReference"/>
        </w:rPr>
        <w:footnoteRef/>
      </w:r>
      <w:r>
        <w:rPr>
          <w:lang w:val="fr-FR"/>
        </w:rPr>
        <w:t xml:space="preserve"> Le 13 février 2013, la Commission a adopté une série de propositions visant à améliorer la </w:t>
      </w:r>
      <w:r>
        <w:rPr>
          <w:lang w:val="fr-FR"/>
        </w:rPr>
        <w:t>sécurité des produits de consommation et la surveillance du marché des produits industriels (COM(2013) 75; COM(2013) 78; COM(2013) 76), qui attendent actuellement d’être adoptées au Parlement européen et au Conseil.</w:t>
      </w:r>
    </w:p>
  </w:footnote>
  <w:footnote w:id="57">
    <w:p w:rsidR="008E0938" w:rsidRDefault="006B388A">
      <w:pPr>
        <w:pStyle w:val="FootnoteText"/>
        <w:ind w:left="198" w:hanging="198"/>
        <w:jc w:val="both"/>
        <w:rPr>
          <w:lang w:val="fr-FR"/>
        </w:rPr>
      </w:pPr>
      <w:r>
        <w:rPr>
          <w:rStyle w:val="FootnoteReference"/>
          <w:sz w:val="22"/>
          <w:szCs w:val="22"/>
          <w:lang w:val="fr-FR"/>
        </w:rPr>
        <w:footnoteRef/>
      </w:r>
      <w:r>
        <w:rPr>
          <w:lang w:val="fr-FR"/>
        </w:rPr>
        <w:t xml:space="preserve"> Système d’appui en matière de communic</w:t>
      </w:r>
      <w:r>
        <w:rPr>
          <w:lang w:val="fr-FR"/>
        </w:rPr>
        <w:t>ation et d’information générale pour la surveillance des marchés.</w:t>
      </w:r>
    </w:p>
  </w:footnote>
  <w:footnote w:id="58">
    <w:p w:rsidR="008E0938" w:rsidRDefault="006B388A">
      <w:pPr>
        <w:pStyle w:val="FootnoteText"/>
        <w:ind w:left="198" w:hanging="198"/>
        <w:jc w:val="both"/>
        <w:rPr>
          <w:lang w:val="fr-FR"/>
        </w:rPr>
      </w:pPr>
      <w:r>
        <w:rPr>
          <w:rStyle w:val="FootnoteReference"/>
          <w:sz w:val="22"/>
          <w:szCs w:val="22"/>
          <w:lang w:val="fr-FR"/>
        </w:rPr>
        <w:footnoteRef/>
      </w:r>
      <w:r>
        <w:rPr>
          <w:lang w:val="fr-FR"/>
        </w:rPr>
        <w:t xml:space="preserve"> La Commission n’a pas été informée de quelconques procédures formelles engagées par des États membres en vertu de ces articles; conformément à l’article 56, paragraphe 2, elle aurait dû en être informée au tout début de ces procédures.</w:t>
      </w:r>
    </w:p>
  </w:footnote>
  <w:footnote w:id="59">
    <w:p w:rsidR="008E0938" w:rsidRDefault="006B388A">
      <w:pPr>
        <w:pStyle w:val="FootnoteText"/>
        <w:ind w:left="198" w:hanging="198"/>
        <w:jc w:val="both"/>
        <w:rPr>
          <w:lang w:val="fr-FR"/>
        </w:rPr>
      </w:pPr>
      <w:r>
        <w:rPr>
          <w:rStyle w:val="FootnoteReference"/>
        </w:rPr>
        <w:footnoteRef/>
      </w:r>
      <w:r>
        <w:rPr>
          <w:lang w:val="fr-FR"/>
        </w:rPr>
        <w:t xml:space="preserve"> Par exemple, le b</w:t>
      </w:r>
      <w:r>
        <w:rPr>
          <w:lang w:val="fr-FR"/>
        </w:rPr>
        <w:t>ilan de qualité du secteur de la construction mentionné ci-dessus, l’étude sur les impacts économiques du RPC, le rapport concernant le financement de l’EOTA, les initiatives sur la surveillance du marché et l’initiative d’un portail numérique unique.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38" w:rsidRDefault="008E09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38" w:rsidRDefault="008E0938">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38" w:rsidRDefault="008E0938">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38" w:rsidRDefault="008E093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38" w:rsidRDefault="008E093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38" w:rsidRDefault="008E09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EEF"/>
    <w:multiLevelType w:val="hybridMultilevel"/>
    <w:tmpl w:val="7D5CAA18"/>
    <w:lvl w:ilvl="0" w:tplc="D926326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EA19E8"/>
    <w:multiLevelType w:val="hybridMultilevel"/>
    <w:tmpl w:val="F864BF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FF3EDF"/>
    <w:multiLevelType w:val="hybridMultilevel"/>
    <w:tmpl w:val="3ED287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1CA9278E"/>
    <w:multiLevelType w:val="hybridMultilevel"/>
    <w:tmpl w:val="3F947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AA2E74"/>
    <w:multiLevelType w:val="hybridMultilevel"/>
    <w:tmpl w:val="93EC29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264B4CF1"/>
    <w:multiLevelType w:val="hybridMultilevel"/>
    <w:tmpl w:val="FE4A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B3634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C486F52"/>
    <w:multiLevelType w:val="hybridMultilevel"/>
    <w:tmpl w:val="B6848A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31E446AF"/>
    <w:multiLevelType w:val="hybridMultilevel"/>
    <w:tmpl w:val="BF607AF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nsid w:val="33004CF5"/>
    <w:multiLevelType w:val="hybridMultilevel"/>
    <w:tmpl w:val="13AC1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5E7678"/>
    <w:multiLevelType w:val="hybridMultilevel"/>
    <w:tmpl w:val="46F4737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nsid w:val="3E632BF8"/>
    <w:multiLevelType w:val="hybridMultilevel"/>
    <w:tmpl w:val="D3E0E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517461"/>
    <w:multiLevelType w:val="hybridMultilevel"/>
    <w:tmpl w:val="12A46F7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nsid w:val="4E5A228D"/>
    <w:multiLevelType w:val="hybridMultilevel"/>
    <w:tmpl w:val="64E88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226674"/>
    <w:multiLevelType w:val="hybridMultilevel"/>
    <w:tmpl w:val="32A40DE6"/>
    <w:lvl w:ilvl="0" w:tplc="08090017">
      <w:start w:val="1"/>
      <w:numFmt w:val="lowerLetter"/>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15">
    <w:nsid w:val="525F4671"/>
    <w:multiLevelType w:val="hybridMultilevel"/>
    <w:tmpl w:val="383CC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6095794"/>
    <w:multiLevelType w:val="hybridMultilevel"/>
    <w:tmpl w:val="00CC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930516B"/>
    <w:multiLevelType w:val="hybridMultilevel"/>
    <w:tmpl w:val="64C0A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9C819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CA3273D"/>
    <w:multiLevelType w:val="hybridMultilevel"/>
    <w:tmpl w:val="FD7AE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D368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64775BA"/>
    <w:multiLevelType w:val="hybridMultilevel"/>
    <w:tmpl w:val="6DAA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1808E2"/>
    <w:multiLevelType w:val="hybridMultilevel"/>
    <w:tmpl w:val="1A00D5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72E9369D"/>
    <w:multiLevelType w:val="hybridMultilevel"/>
    <w:tmpl w:val="B9CC4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86D3532"/>
    <w:multiLevelType w:val="hybridMultilevel"/>
    <w:tmpl w:val="02E0A9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7F524B39"/>
    <w:multiLevelType w:val="hybridMultilevel"/>
    <w:tmpl w:val="06DC6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6"/>
  </w:num>
  <w:num w:numId="4">
    <w:abstractNumId w:val="0"/>
  </w:num>
  <w:num w:numId="5">
    <w:abstractNumId w:val="20"/>
  </w:num>
  <w:num w:numId="6">
    <w:abstractNumId w:val="1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4"/>
  </w:num>
  <w:num w:numId="10">
    <w:abstractNumId w:val="7"/>
  </w:num>
  <w:num w:numId="11">
    <w:abstractNumId w:val="12"/>
  </w:num>
  <w:num w:numId="12">
    <w:abstractNumId w:val="8"/>
  </w:num>
  <w:num w:numId="13">
    <w:abstractNumId w:val="10"/>
  </w:num>
  <w:num w:numId="14">
    <w:abstractNumId w:val="17"/>
  </w:num>
  <w:num w:numId="15">
    <w:abstractNumId w:val="24"/>
  </w:num>
  <w:num w:numId="16">
    <w:abstractNumId w:val="14"/>
  </w:num>
  <w:num w:numId="17">
    <w:abstractNumId w:val="19"/>
  </w:num>
  <w:num w:numId="18">
    <w:abstractNumId w:val="11"/>
  </w:num>
  <w:num w:numId="19">
    <w:abstractNumId w:val="15"/>
  </w:num>
  <w:num w:numId="20">
    <w:abstractNumId w:val="16"/>
  </w:num>
  <w:num w:numId="21">
    <w:abstractNumId w:val="5"/>
  </w:num>
  <w:num w:numId="22">
    <w:abstractNumId w:val="21"/>
  </w:num>
  <w:num w:numId="23">
    <w:abstractNumId w:val="3"/>
  </w:num>
  <w:num w:numId="24">
    <w:abstractNumId w:val="25"/>
  </w:num>
  <w:num w:numId="25">
    <w:abstractNumId w:val="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hideSpellingErrors/>
  <w:hideGrammaticalErrors/>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2"/>
  </w:compat>
  <w:docVars>
    <w:docVar w:name="COVERPAGE_EXISTS" w:val="True"/>
    <w:docVar w:name="DocStatus" w:val="Green"/>
    <w:docVar w:name="LW_CONFIDENCE" w:val=" "/>
    <w:docVar w:name="LW_CONST_RESTREINT_UE" w:val="RESTREINT UE"/>
    <w:docVar w:name="LW_CORRIGENDUM" w:val="&lt;UNUSED&gt;"/>
    <w:docVar w:name="LW_COVERPAGE_GUID" w:val="59F24A600EEF4D63AB5F0158201CA403"/>
    <w:docVar w:name="LW_CROSSREFERENCE" w:val="&lt;UNUSED&gt;"/>
    <w:docVar w:name="LW_DocType" w:val="NORMAL"/>
    <w:docVar w:name="LW_EMISSION" w:val="7.7.2016"/>
    <w:docVar w:name="LW_EMISSION_ISODATE" w:val="2016-07-07"/>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445"/>
    <w:docVar w:name="LW_REF.INTERNE" w:val="&lt;UNUSED&gt;"/>
    <w:docVar w:name="LW_SOUS.TITRE.OBJ.CP" w:val="&lt;UNUSED&gt;"/>
    <w:docVar w:name="LW_SUPERTITRE" w:val="&lt;UNUSED&gt;"/>
    <w:docVar w:name="LW_TITRE.OBJ.CP" w:val="sur la mise en \u339?uvre du règlement (UE) nº 305/2011 du Parlement européen et du Conseil du 9 mars 2011 établissant des conditions harmonisées de commercialisation pour les produits de construction et abrogeant la directive 89/106/CEE du Conseil"/>
    <w:docVar w:name="LW_TYPE.DOC.CP" w:val="RAPPORT DE LA COMMISSION AU PARLEMENT EUROPÉEN ET AU CONSEIL"/>
    <w:docVar w:name="Stamp" w:val="\\dossiers.dgt.cec.eu.int\dossiers\GROW\GROW-2016-00621\GROW-2016-00621-00-00-EN-REV-00.DOCX"/>
  </w:docVars>
  <w:rsids>
    <w:rsidRoot w:val="008E0938"/>
    <w:rsid w:val="006B388A"/>
    <w:rsid w:val="008E09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CM1">
    <w:name w:val="CM1"/>
    <w:basedOn w:val="Normal"/>
    <w:next w:val="Normal"/>
    <w:uiPriority w:val="99"/>
    <w:pPr>
      <w:autoSpaceDE w:val="0"/>
      <w:autoSpaceDN w:val="0"/>
      <w:adjustRightInd w:val="0"/>
      <w:spacing w:after="0" w:line="240" w:lineRule="auto"/>
    </w:pPr>
    <w:rPr>
      <w:rFonts w:ascii="EUAlbertina" w:eastAsia="Calibri" w:hAnsi="EUAlbertina" w:cs="Times New Roman"/>
      <w:sz w:val="24"/>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character" w:customStyle="1" w:styleId="st">
    <w:name w:val="st"/>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667">
      <w:bodyDiv w:val="1"/>
      <w:marLeft w:val="0"/>
      <w:marRight w:val="0"/>
      <w:marTop w:val="0"/>
      <w:marBottom w:val="0"/>
      <w:divBdr>
        <w:top w:val="none" w:sz="0" w:space="0" w:color="auto"/>
        <w:left w:val="none" w:sz="0" w:space="0" w:color="auto"/>
        <w:bottom w:val="none" w:sz="0" w:space="0" w:color="auto"/>
        <w:right w:val="none" w:sz="0" w:space="0" w:color="auto"/>
      </w:divBdr>
      <w:divsChild>
        <w:div w:id="996491851">
          <w:marLeft w:val="0"/>
          <w:marRight w:val="0"/>
          <w:marTop w:val="0"/>
          <w:marBottom w:val="0"/>
          <w:divBdr>
            <w:top w:val="none" w:sz="0" w:space="0" w:color="auto"/>
            <w:left w:val="none" w:sz="0" w:space="0" w:color="auto"/>
            <w:bottom w:val="none" w:sz="0" w:space="0" w:color="auto"/>
            <w:right w:val="none" w:sz="0" w:space="0" w:color="auto"/>
          </w:divBdr>
        </w:div>
        <w:div w:id="1284658102">
          <w:marLeft w:val="0"/>
          <w:marRight w:val="0"/>
          <w:marTop w:val="0"/>
          <w:marBottom w:val="0"/>
          <w:divBdr>
            <w:top w:val="none" w:sz="0" w:space="0" w:color="auto"/>
            <w:left w:val="none" w:sz="0" w:space="0" w:color="auto"/>
            <w:bottom w:val="none" w:sz="0" w:space="0" w:color="auto"/>
            <w:right w:val="none" w:sz="0" w:space="0" w:color="auto"/>
          </w:divBdr>
        </w:div>
      </w:divsChild>
    </w:div>
    <w:div w:id="517547805">
      <w:bodyDiv w:val="1"/>
      <w:marLeft w:val="0"/>
      <w:marRight w:val="0"/>
      <w:marTop w:val="0"/>
      <w:marBottom w:val="0"/>
      <w:divBdr>
        <w:top w:val="none" w:sz="0" w:space="0" w:color="auto"/>
        <w:left w:val="none" w:sz="0" w:space="0" w:color="auto"/>
        <w:bottom w:val="none" w:sz="0" w:space="0" w:color="auto"/>
        <w:right w:val="none" w:sz="0" w:space="0" w:color="auto"/>
      </w:divBdr>
    </w:div>
    <w:div w:id="1117259562">
      <w:bodyDiv w:val="1"/>
      <w:marLeft w:val="0"/>
      <w:marRight w:val="0"/>
      <w:marTop w:val="0"/>
      <w:marBottom w:val="0"/>
      <w:divBdr>
        <w:top w:val="none" w:sz="0" w:space="0" w:color="auto"/>
        <w:left w:val="none" w:sz="0" w:space="0" w:color="auto"/>
        <w:bottom w:val="none" w:sz="0" w:space="0" w:color="auto"/>
        <w:right w:val="none" w:sz="0" w:space="0" w:color="auto"/>
      </w:divBdr>
      <w:divsChild>
        <w:div w:id="489097562">
          <w:marLeft w:val="0"/>
          <w:marRight w:val="0"/>
          <w:marTop w:val="0"/>
          <w:marBottom w:val="0"/>
          <w:divBdr>
            <w:top w:val="none" w:sz="0" w:space="0" w:color="auto"/>
            <w:left w:val="none" w:sz="0" w:space="0" w:color="auto"/>
            <w:bottom w:val="none" w:sz="0" w:space="0" w:color="auto"/>
            <w:right w:val="none" w:sz="0" w:space="0" w:color="auto"/>
          </w:divBdr>
        </w:div>
      </w:divsChild>
    </w:div>
    <w:div w:id="1221021845">
      <w:bodyDiv w:val="1"/>
      <w:marLeft w:val="0"/>
      <w:marRight w:val="0"/>
      <w:marTop w:val="0"/>
      <w:marBottom w:val="0"/>
      <w:divBdr>
        <w:top w:val="none" w:sz="0" w:space="0" w:color="auto"/>
        <w:left w:val="none" w:sz="0" w:space="0" w:color="auto"/>
        <w:bottom w:val="none" w:sz="0" w:space="0" w:color="auto"/>
        <w:right w:val="none" w:sz="0" w:space="0" w:color="auto"/>
      </w:divBdr>
    </w:div>
    <w:div w:id="1851407064">
      <w:bodyDiv w:val="1"/>
      <w:marLeft w:val="0"/>
      <w:marRight w:val="0"/>
      <w:marTop w:val="0"/>
      <w:marBottom w:val="0"/>
      <w:divBdr>
        <w:top w:val="none" w:sz="0" w:space="0" w:color="auto"/>
        <w:left w:val="none" w:sz="0" w:space="0" w:color="auto"/>
        <w:bottom w:val="none" w:sz="0" w:space="0" w:color="auto"/>
        <w:right w:val="none" w:sz="0" w:space="0" w:color="auto"/>
      </w:divBdr>
    </w:div>
    <w:div w:id="1959677151">
      <w:bodyDiv w:val="1"/>
      <w:marLeft w:val="0"/>
      <w:marRight w:val="0"/>
      <w:marTop w:val="0"/>
      <w:marBottom w:val="0"/>
      <w:divBdr>
        <w:top w:val="none" w:sz="0" w:space="0" w:color="auto"/>
        <w:left w:val="none" w:sz="0" w:space="0" w:color="auto"/>
        <w:bottom w:val="none" w:sz="0" w:space="0" w:color="auto"/>
        <w:right w:val="none" w:sz="0" w:space="0" w:color="auto"/>
      </w:divBdr>
      <w:divsChild>
        <w:div w:id="1926375067">
          <w:marLeft w:val="0"/>
          <w:marRight w:val="0"/>
          <w:marTop w:val="0"/>
          <w:marBottom w:val="0"/>
          <w:divBdr>
            <w:top w:val="none" w:sz="0" w:space="0" w:color="auto"/>
            <w:left w:val="none" w:sz="0" w:space="0" w:color="auto"/>
            <w:bottom w:val="none" w:sz="0" w:space="0" w:color="auto"/>
            <w:right w:val="none" w:sz="0" w:space="0" w:color="auto"/>
          </w:divBdr>
        </w:div>
        <w:div w:id="626662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7E0DA-A1BD-4DB9-884A-7778176B8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1377</TotalTime>
  <Pages>13</Pages>
  <Words>4443</Words>
  <Characters>25290</Characters>
  <Application>Microsoft Office Word</Application>
  <DocSecurity>0</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WADHWANIA Nadia (MARE-EXT)</cp:lastModifiedBy>
  <cp:revision>55</cp:revision>
  <cp:lastPrinted>2016-06-03T12:26:00Z</cp:lastPrinted>
  <dcterms:created xsi:type="dcterms:W3CDTF">2016-06-13T16:13:00Z</dcterms:created>
  <dcterms:modified xsi:type="dcterms:W3CDTF">2016-06-30T12:24:00Z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