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59AFF19F95416786C3F32B25FC647F" style="width:450.75pt;height:375.75pt">
            <v:imagedata r:id="rId9" o:title=""/>
          </v:shape>
        </w:pict>
      </w:r>
    </w:p>
    <w:bookmarkEnd w:id="0"/>
    <w:p>
      <w:pPr>
        <w:pStyle w:val="Pagedecouverture"/>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240" w:after="240"/>
        <w:rPr>
          <w:rFonts w:ascii="Times New Roman" w:eastAsia="Times New Roman" w:hAnsi="Times New Roman" w:cs="Times New Roman"/>
          <w:bCs w:val="0"/>
          <w:smallCaps/>
          <w:noProof/>
          <w:color w:val="auto"/>
          <w:sz w:val="24"/>
          <w:szCs w:val="20"/>
          <w:lang w:val="bg-BG"/>
        </w:rPr>
      </w:pPr>
      <w:bookmarkStart w:id="1" w:name="_GoBack"/>
      <w:bookmarkEnd w:id="1"/>
      <w:r>
        <w:rPr>
          <w:rFonts w:ascii="Times New Roman" w:hAnsi="Times New Roman"/>
          <w:noProof/>
          <w:color w:val="auto"/>
          <w:sz w:val="24"/>
          <w:lang w:val="bg-BG"/>
        </w:rPr>
        <w:lastRenderedPageBreak/>
        <w:t xml:space="preserve">1. </w:t>
      </w:r>
      <w:r>
        <w:rPr>
          <w:noProof/>
          <w:lang w:val="bg-BG"/>
        </w:rPr>
        <w:tab/>
      </w:r>
      <w:r>
        <w:rPr>
          <w:rFonts w:ascii="Times New Roman" w:hAnsi="Times New Roman"/>
          <w:smallCaps/>
          <w:noProof/>
          <w:color w:val="auto"/>
          <w:sz w:val="24"/>
          <w:lang w:val="bg-BG"/>
        </w:rPr>
        <w:t>Въведение</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Химичните вещества, нарушаващи функциите на ендокринната система („вещества, нарушаващи функциите на ендокринната система“), представляват вещества, които променят функциите на хормоналната система и в резултат на това имат неблагоприятен ефект. С увеличаването на познанията за веществата, нарушаващи функциите на ендокринната система, расте общественият и политическият интерес. Комисията отговаря със „Стратегия за веществата, нарушаващи функциите на ендокринната система“ през 1999 г.</w:t>
      </w:r>
      <w:r>
        <w:rPr>
          <w:rStyle w:val="FootnoteReference"/>
          <w:rFonts w:ascii="Times New Roman" w:hAnsi="Times New Roman"/>
          <w:noProof/>
          <w:sz w:val="24"/>
          <w:lang w:val="bg-BG"/>
        </w:rPr>
        <w:footnoteReference w:id="1"/>
      </w:r>
      <w:r>
        <w:rPr>
          <w:rFonts w:ascii="Times New Roman" w:hAnsi="Times New Roman"/>
          <w:noProof/>
          <w:sz w:val="24"/>
          <w:lang w:val="bg-BG"/>
        </w:rPr>
        <w:t xml:space="preserve"> Тя утвърждава няколко действия на равнище ЕС — краткосрочни (научни изследвания и международно сътрудничество), средносрочни (методи за изпитване) и дългосрочни (нормативни) стъпки, които да се предприемат с общата цел за намаляване до минимум на експозицията</w:t>
      </w:r>
      <w:r>
        <w:rPr>
          <w:rStyle w:val="FootnoteReference"/>
          <w:rFonts w:ascii="Times New Roman" w:hAnsi="Times New Roman"/>
          <w:noProof/>
          <w:sz w:val="24"/>
          <w:lang w:val="bg-BG"/>
        </w:rPr>
        <w:footnoteReference w:id="2"/>
      </w:r>
      <w:r>
        <w:rPr>
          <w:rFonts w:ascii="Times New Roman" w:hAnsi="Times New Roman"/>
          <w:noProof/>
          <w:sz w:val="24"/>
          <w:lang w:val="bg-BG"/>
        </w:rPr>
        <w:t>.</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По отношение на специфичните области, засягащи биоцидите</w:t>
      </w:r>
      <w:r>
        <w:rPr>
          <w:rStyle w:val="FootnoteReference"/>
          <w:rFonts w:ascii="Times New Roman" w:hAnsi="Times New Roman"/>
          <w:noProof/>
          <w:sz w:val="24"/>
          <w:lang w:val="bg-BG"/>
        </w:rPr>
        <w:footnoteReference w:id="3"/>
      </w:r>
      <w:r>
        <w:rPr>
          <w:rFonts w:ascii="Times New Roman" w:hAnsi="Times New Roman"/>
          <w:noProof/>
          <w:sz w:val="24"/>
          <w:lang w:val="bg-BG"/>
        </w:rPr>
        <w:t xml:space="preserve"> и продуктите за растителна защита</w:t>
      </w:r>
      <w:r>
        <w:rPr>
          <w:rStyle w:val="FootnoteReference"/>
          <w:rFonts w:ascii="Times New Roman" w:hAnsi="Times New Roman"/>
          <w:noProof/>
          <w:sz w:val="24"/>
          <w:lang w:val="bg-BG"/>
        </w:rPr>
        <w:footnoteReference w:id="4"/>
      </w:r>
      <w:r>
        <w:rPr>
          <w:rFonts w:ascii="Times New Roman" w:hAnsi="Times New Roman"/>
          <w:noProof/>
          <w:sz w:val="24"/>
          <w:lang w:val="bg-BG"/>
        </w:rPr>
        <w:t>, в законодателството се определят нормативните последици за веществата, нарушаващи функциите на ендокринната система. Също така в него се изисква Комисията да реши как трябва да бъдат определени критериите за веществата, нарушаващи функциите на ендокринната система, като тя изготви актове, „които установяват научни критерии за определянето на свойствата, нарушаващи ендокринната система“</w:t>
      </w:r>
      <w:r>
        <w:rPr>
          <w:rStyle w:val="FootnoteReference"/>
          <w:rFonts w:ascii="Times New Roman" w:hAnsi="Times New Roman"/>
          <w:noProof/>
          <w:sz w:val="24"/>
          <w:lang w:val="bg-BG"/>
        </w:rPr>
        <w:footnoteReference w:id="5"/>
      </w:r>
      <w:r>
        <w:rPr>
          <w:rFonts w:ascii="Times New Roman" w:hAnsi="Times New Roman"/>
          <w:noProof/>
          <w:sz w:val="24"/>
          <w:lang w:val="bg-BG"/>
        </w:rPr>
        <w:t>. Продуктите за растителна защита защитават растенията от вредни организми (например хербицидите или инсектицидите, използвани в земеделието). С биоцидите се ограничава действието на вредните организми и се води борба с тях (например дезинфектантите, използвани в болниците).</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Комисията отдели специално внимание на разработването на критериите за тези две области. Резултатът е отразен в две проектомерки</w:t>
      </w:r>
      <w:r>
        <w:rPr>
          <w:rStyle w:val="FootnoteReference"/>
          <w:rFonts w:ascii="Times New Roman" w:hAnsi="Times New Roman"/>
          <w:noProof/>
          <w:sz w:val="24"/>
          <w:lang w:val="bg-BG"/>
        </w:rPr>
        <w:footnoteReference w:id="6"/>
      </w:r>
      <w:r>
        <w:rPr>
          <w:rFonts w:ascii="Times New Roman" w:hAnsi="Times New Roman"/>
          <w:noProof/>
          <w:sz w:val="24"/>
          <w:lang w:val="bg-BG"/>
        </w:rPr>
        <w:t>, които сега ще бъдат предмет на установените процедури, в които участие имат (експерти от) държавите членки и други институции на ЕС, преди окончателното им приемане от Комисията. Въпреки че за двете мерки са приложими различни процедури, проучването на въпросите от страна на Комисията покрива и двете области и те ще бъдат придвижени успоредно</w:t>
      </w:r>
      <w:r>
        <w:rPr>
          <w:rStyle w:val="FootnoteReference"/>
          <w:rFonts w:ascii="Times New Roman" w:hAnsi="Times New Roman"/>
          <w:noProof/>
          <w:sz w:val="24"/>
          <w:lang w:val="bg-BG"/>
        </w:rPr>
        <w:footnoteReference w:id="7"/>
      </w:r>
      <w:r>
        <w:rPr>
          <w:rFonts w:ascii="Times New Roman" w:hAnsi="Times New Roman"/>
          <w:noProof/>
          <w:sz w:val="24"/>
          <w:lang w:val="bg-BG"/>
        </w:rPr>
        <w:t>.</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В настоящото съобщение се излагат научно обоснованите решения, които са в основата на двете проектомерки, като се придружава от оценка на въздействието, в която се представя какви са научните познания относно различните критерии за определяне на веществата, нарушаващи функциите на ендокринната система. Освен това в него се предоставя информация относно възможните последици</w:t>
      </w:r>
      <w:r>
        <w:rPr>
          <w:rStyle w:val="FootnoteReference"/>
          <w:rFonts w:ascii="Times New Roman" w:hAnsi="Times New Roman"/>
          <w:noProof/>
          <w:sz w:val="24"/>
          <w:lang w:val="bg-BG"/>
        </w:rPr>
        <w:footnoteReference w:id="8"/>
      </w:r>
      <w:r>
        <w:rPr>
          <w:rFonts w:ascii="Times New Roman" w:hAnsi="Times New Roman"/>
          <w:noProof/>
          <w:sz w:val="24"/>
          <w:lang w:val="bg-BG"/>
        </w:rPr>
        <w:t>. Оценката на въздействието се основава на предварителен скрининг на активните вещества, одобрени за продуктите за растителна защита и биоцидите, за които е налична информация на равнище ЕС. Поради това тя не представлява оценка на отделните вещества съгласно съответното законодателство (регламентите, обхващащи продуктите за растителна защита и биоцидите)</w:t>
      </w:r>
      <w:r>
        <w:rPr>
          <w:rStyle w:val="FootnoteReference"/>
          <w:rFonts w:ascii="Times New Roman" w:hAnsi="Times New Roman"/>
          <w:noProof/>
          <w:sz w:val="24"/>
          <w:lang w:val="bg-BG"/>
        </w:rPr>
        <w:footnoteReference w:id="9"/>
      </w:r>
      <w:r>
        <w:rPr>
          <w:rFonts w:ascii="Times New Roman" w:hAnsi="Times New Roman"/>
          <w:noProof/>
          <w:sz w:val="24"/>
          <w:lang w:val="bg-BG"/>
        </w:rPr>
        <w:t>.</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В настоящото съобщение се излагат въпросите, по които Комисията е стигнала до заключение, като те се поставят в по-широк контекст, като също така се подчертава, че части от дискусията не са пряко свързани с конкретната задача на Комисията за установяване на критерии за определяне на това какво е и какво не е вещество, нарушаващо функциите на ендокринната система (вж. точка 2). В съобщението са представени последиците от изготвянето на критерии в областта на продуктите за растителна защита и биоцидите (точка 3) и за другите части на нормативната уредба на ЕС (точка 4), и се припомнят други действия на Комисията относно веществата, нарушаващи функциите на ендокринната система, които се извършват в момента или предстоят (точка 5).</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Заключенията на Комисията се основават на работата с държавите членки, приноса на регулаторните агенции на ЕС, независимите научни комитети, консултиращи Комисията, щатния научен орган на Комисията (Съвместния изследователски център</w:t>
      </w:r>
      <w:r>
        <w:rPr>
          <w:rStyle w:val="FootnoteReference"/>
          <w:rFonts w:ascii="Times New Roman" w:hAnsi="Times New Roman"/>
          <w:noProof/>
          <w:sz w:val="24"/>
          <w:lang w:val="bg-BG"/>
        </w:rPr>
        <w:footnoteReference w:id="10"/>
      </w:r>
      <w:r>
        <w:rPr>
          <w:rFonts w:ascii="Times New Roman" w:hAnsi="Times New Roman"/>
          <w:noProof/>
          <w:sz w:val="24"/>
          <w:lang w:val="bg-BG"/>
        </w:rPr>
        <w:t>), многостранното и двустранното научно и регулаторно сътрудничество с трети държави, както и на обширните контакти със заинтересованите страни през последните 15 години</w:t>
      </w:r>
      <w:r>
        <w:rPr>
          <w:rStyle w:val="FootnoteReference"/>
          <w:rFonts w:ascii="Times New Roman" w:hAnsi="Times New Roman"/>
          <w:noProof/>
          <w:sz w:val="24"/>
          <w:lang w:val="bg-BG"/>
        </w:rPr>
        <w:footnoteReference w:id="11"/>
      </w:r>
      <w:r>
        <w:rPr>
          <w:rFonts w:ascii="Times New Roman" w:hAnsi="Times New Roman"/>
          <w:noProof/>
          <w:sz w:val="24"/>
          <w:lang w:val="bg-BG"/>
        </w:rPr>
        <w:t>.</w:t>
      </w:r>
    </w:p>
    <w:p>
      <w:pPr>
        <w:spacing w:after="360" w:line="240" w:lineRule="auto"/>
        <w:jc w:val="both"/>
        <w:rPr>
          <w:rFonts w:ascii="Times New Roman" w:hAnsi="Times New Roman" w:cs="Times New Roman"/>
          <w:noProof/>
          <w:sz w:val="24"/>
          <w:szCs w:val="24"/>
          <w:lang w:val="bg-BG"/>
        </w:rPr>
      </w:pPr>
      <w:r>
        <w:rPr>
          <w:rFonts w:ascii="Times New Roman" w:hAnsi="Times New Roman"/>
          <w:noProof/>
          <w:sz w:val="24"/>
          <w:lang w:val="bg-BG"/>
        </w:rPr>
        <w:t>Тези дискусии показват сложността на темата, както и факта, че до момента няма друга държава, приела правнообвързващи научни критерии, определящи какво е вещество, нарушаващо функциите на ендокринната система. На този фон Комисията проведе цялостна подготовка на мерките, която не успя да приключи навреме, за да спази законовия краен срок декември 2013 г. След решение на Съда на Европейския съюз (Общия съд) през декември 2015 г.</w:t>
      </w:r>
      <w:r>
        <w:rPr>
          <w:rStyle w:val="FootnoteReference"/>
          <w:rFonts w:ascii="Times New Roman" w:hAnsi="Times New Roman"/>
          <w:noProof/>
          <w:sz w:val="24"/>
          <w:lang w:val="bg-BG"/>
        </w:rPr>
        <w:footnoteReference w:id="12"/>
      </w:r>
      <w:r>
        <w:rPr>
          <w:rFonts w:ascii="Times New Roman" w:hAnsi="Times New Roman"/>
          <w:noProof/>
          <w:sz w:val="24"/>
          <w:lang w:val="bg-BG"/>
        </w:rPr>
        <w:t xml:space="preserve"> Комисията потвърждава още веднъж пред съзаконодателите на ЕС своя недвусмислен ангажимент да финализира текущата работа, която към онзи момент е към своя край, и да представи критериите преди лятото на 2016 г.</w:t>
      </w:r>
    </w:p>
    <w:p>
      <w:pPr>
        <w:pStyle w:val="Heading1"/>
        <w:spacing w:before="240" w:after="240"/>
        <w:ind w:left="480" w:hanging="480"/>
        <w:jc w:val="both"/>
        <w:rPr>
          <w:rFonts w:ascii="Times New Roman" w:eastAsia="Times New Roman" w:hAnsi="Times New Roman" w:cs="Times New Roman"/>
          <w:bCs w:val="0"/>
          <w:smallCaps/>
          <w:noProof/>
          <w:color w:val="auto"/>
          <w:sz w:val="24"/>
          <w:szCs w:val="20"/>
          <w:lang w:val="bg-BG"/>
        </w:rPr>
      </w:pPr>
      <w:r>
        <w:rPr>
          <w:rFonts w:ascii="Times New Roman" w:hAnsi="Times New Roman"/>
          <w:smallCaps/>
          <w:noProof/>
          <w:color w:val="auto"/>
          <w:sz w:val="24"/>
          <w:lang w:val="bg-BG"/>
        </w:rPr>
        <w:t xml:space="preserve">2. </w:t>
      </w:r>
      <w:r>
        <w:rPr>
          <w:noProof/>
          <w:lang w:val="bg-BG"/>
        </w:rPr>
        <w:tab/>
      </w:r>
      <w:r>
        <w:rPr>
          <w:rFonts w:ascii="Times New Roman" w:hAnsi="Times New Roman"/>
          <w:smallCaps/>
          <w:noProof/>
          <w:color w:val="auto"/>
          <w:sz w:val="24"/>
          <w:lang w:val="bg-BG"/>
        </w:rPr>
        <w:t>Дискусия относно критериите за определяне на веществата, нарушаващи функциите на ендокринната система, и заключенията на Комисията</w:t>
      </w:r>
    </w:p>
    <w:p>
      <w:pPr>
        <w:spacing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Съществуват няколко ключови научни въпроса, предмет на дискусия и проучване, и някои — но не всички — имат пряка връзка с проектомерките относно продуктите за растителна защита и биоцидите. Също така няколко въпроса са по-скоро част от по-обща дискусия относно токсикологията, отколкото да засягат само веществата, нарушаващи функциите на ендокринната система.</w:t>
      </w:r>
    </w:p>
    <w:p>
      <w:pPr>
        <w:spacing w:line="240" w:lineRule="auto"/>
        <w:jc w:val="both"/>
        <w:rPr>
          <w:rFonts w:ascii="Times New Roman" w:eastAsia="Times New Roman" w:hAnsi="Times New Roman" w:cs="Times New Roman"/>
          <w:b/>
          <w:i/>
          <w:noProof/>
          <w:sz w:val="24"/>
          <w:szCs w:val="20"/>
          <w:lang w:val="bg-BG"/>
        </w:rPr>
      </w:pPr>
      <w:r>
        <w:rPr>
          <w:rFonts w:ascii="Times New Roman" w:hAnsi="Times New Roman"/>
          <w:b/>
          <w:i/>
          <w:noProof/>
          <w:sz w:val="24"/>
          <w:lang w:val="bg-BG"/>
        </w:rPr>
        <w:t>Какво представлява вещество, нарушаващо функциите на ендокринната система?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През 2002 г. Международната програма за безопасност на химичните вещества, съвместна програма на различни агенции на ООН, включително Световната здравна организация, дава официално определение за вещество, нарушаващо функциите на ендокринната система, като </w:t>
      </w:r>
      <w:r>
        <w:rPr>
          <w:rFonts w:ascii="Times New Roman" w:hAnsi="Times New Roman"/>
          <w:i/>
          <w:noProof/>
          <w:sz w:val="24"/>
          <w:lang w:val="bg-BG"/>
        </w:rPr>
        <w:t>„екзогенно вещество или смес, която променя функцията(ите) на ендокринната система и в резултат от това причинява неблагоприятни за здравето ефекти в здрав организъм, неговото поколение или (под)популациите му</w:t>
      </w:r>
      <w:r>
        <w:rPr>
          <w:rFonts w:ascii="Times New Roman" w:hAnsi="Times New Roman"/>
          <w:noProof/>
          <w:sz w:val="24"/>
          <w:lang w:val="bg-BG"/>
        </w:rPr>
        <w:t>“</w:t>
      </w:r>
      <w:r>
        <w:rPr>
          <w:rFonts w:ascii="Times New Roman" w:hAnsi="Times New Roman" w:cs="Times New Roman"/>
          <w:noProof/>
          <w:sz w:val="24"/>
          <w:szCs w:val="24"/>
          <w:lang w:val="bg-BG"/>
        </w:rPr>
        <w:t xml:space="preserve"> </w:t>
      </w:r>
      <w:r>
        <w:rPr>
          <w:rStyle w:val="FootnoteReference"/>
          <w:rFonts w:ascii="Times New Roman" w:hAnsi="Times New Roman" w:cs="Times New Roman"/>
          <w:noProof/>
          <w:sz w:val="24"/>
          <w:szCs w:val="24"/>
        </w:rPr>
        <w:footnoteReference w:id="13"/>
      </w:r>
      <w:r>
        <w:rPr>
          <w:rFonts w:ascii="Times New Roman" w:hAnsi="Times New Roman"/>
          <w:noProof/>
          <w:sz w:val="24"/>
          <w:lang w:val="bg-BG"/>
        </w:rPr>
        <w:t>. Новото в това определение е въвеждането на втори елемент. Обичайният подход към определянето на токсичността на химичните вещества е свързан с т. нар. „крайни точки“ — т.е. дали има неблагоприятен ефект. Новият, допълнителен елемент е концепцията за „механизъм на действие“ — начинът, по който химичното вещество оказва въздействие (вж. фигурата).</w:t>
      </w:r>
    </w:p>
    <w:p>
      <w:pPr>
        <w:spacing w:line="240" w:lineRule="auto"/>
        <w:jc w:val="both"/>
        <w:rPr>
          <w:rFonts w:ascii="Times New Roman" w:hAnsi="Times New Roman" w:cs="Times New Roman"/>
          <w:b/>
          <w:noProof/>
          <w:sz w:val="24"/>
          <w:szCs w:val="24"/>
          <w:lang w:val="bg-BG"/>
        </w:rPr>
      </w:pPr>
      <w:r>
        <w:rPr>
          <w:rFonts w:ascii="Times New Roman" w:hAnsi="Times New Roman"/>
          <w:b/>
          <w:noProof/>
          <w:sz w:val="24"/>
          <w:lang w:val="bg-BG"/>
        </w:rPr>
        <w:t>Фигура</w:t>
      </w:r>
    </w:p>
    <w:p>
      <w:pPr>
        <w:spacing w:line="240" w:lineRule="auto"/>
        <w:jc w:val="center"/>
        <w:rPr>
          <w:rFonts w:ascii="Times New Roman" w:hAnsi="Times New Roman" w:cs="Times New Roman"/>
          <w:b/>
          <w:noProof/>
          <w:sz w:val="24"/>
          <w:szCs w:val="24"/>
          <w:lang w:val="bg-BG"/>
        </w:rPr>
      </w:pPr>
      <w:r>
        <w:rPr>
          <w:noProof/>
          <w:lang w:val="en-US"/>
        </w:rPr>
        <w:drawing>
          <wp:inline distT="0" distB="0" distL="0" distR="0">
            <wp:extent cx="3771900" cy="187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71900" cy="1871980"/>
                    </a:xfrm>
                    <a:prstGeom prst="rect">
                      <a:avLst/>
                    </a:prstGeom>
                  </pic:spPr>
                </pic:pic>
              </a:graphicData>
            </a:graphic>
          </wp:inline>
        </w:drawing>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Освен неблагоприятния ефект, проектите на научните критерии, представени в момента, имат за цел да облекат в правна форма тази концепция за „ендокринен механизъм на действие“ като един от елементите, който трябва да се вземе предвид при определянето на вещество, нарушаващо функциите на ендокринната система, за двете засегнати продуктови области.</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По-специално критериите уточняват, че механизмът на действие в ендокринната система е „</w:t>
      </w:r>
      <w:r>
        <w:rPr>
          <w:rFonts w:ascii="Times New Roman" w:hAnsi="Times New Roman"/>
          <w:i/>
          <w:noProof/>
          <w:sz w:val="24"/>
          <w:lang w:val="bg-BG"/>
        </w:rPr>
        <w:t>присъщата способност на дадено вещество да взаимодейства или да засяга работата на един или повече компонента на ендокринната система</w:t>
      </w:r>
      <w:r>
        <w:rPr>
          <w:rFonts w:ascii="Times New Roman" w:hAnsi="Times New Roman"/>
          <w:noProof/>
          <w:sz w:val="24"/>
          <w:lang w:val="bg-BG"/>
        </w:rPr>
        <w:t>“, без задължително да води до неблагоприятен ефект. Съгласно становището на Европейския орган за безопасност на храните те също така изясняват, че механизмът на действие в ендокринната система сам по себе си не представлява (еко)токсикологична опасност</w:t>
      </w:r>
      <w:r>
        <w:rPr>
          <w:rStyle w:val="FootnoteReference"/>
          <w:rFonts w:ascii="Times New Roman" w:hAnsi="Times New Roman"/>
          <w:noProof/>
          <w:sz w:val="24"/>
          <w:lang w:val="bg-BG"/>
        </w:rPr>
        <w:footnoteReference w:id="14"/>
      </w:r>
      <w:r>
        <w:rPr>
          <w:rFonts w:ascii="Times New Roman" w:hAnsi="Times New Roman"/>
          <w:noProof/>
          <w:sz w:val="24"/>
          <w:lang w:val="bg-BG"/>
        </w:rPr>
        <w:t>.</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Понастоящем дискусията относно механизма на действие върху ендокринната система се фокусира върху естрогенната, андрогенната, тиреоидната хормонална система и стероидогенезата, тъй като те са единствените области, в които съществуват стандартизирани тестове</w:t>
      </w:r>
      <w:r>
        <w:rPr>
          <w:rStyle w:val="FootnoteReference"/>
          <w:rFonts w:ascii="Times New Roman" w:hAnsi="Times New Roman"/>
          <w:noProof/>
          <w:sz w:val="24"/>
          <w:lang w:val="bg-BG"/>
        </w:rPr>
        <w:footnoteReference w:id="15"/>
      </w:r>
      <w:r>
        <w:rPr>
          <w:rFonts w:ascii="Times New Roman" w:hAnsi="Times New Roman"/>
          <w:noProof/>
          <w:sz w:val="24"/>
          <w:lang w:val="bg-BG"/>
        </w:rPr>
        <w:t>. За да бъдат готови да се приспособят към бъдещите научни открития обаче, проектомерките не се ограничават до тези хормонални системи.</w:t>
      </w:r>
    </w:p>
    <w:p>
      <w:pPr>
        <w:spacing w:line="240" w:lineRule="auto"/>
        <w:jc w:val="both"/>
        <w:rPr>
          <w:rFonts w:ascii="Times New Roman" w:hAnsi="Times New Roman" w:cs="Times New Roman"/>
          <w:b/>
          <w:i/>
          <w:noProof/>
          <w:sz w:val="24"/>
          <w:szCs w:val="24"/>
          <w:lang w:val="bg-BG"/>
        </w:rPr>
      </w:pPr>
      <w:r>
        <w:rPr>
          <w:rFonts w:ascii="Times New Roman" w:hAnsi="Times New Roman"/>
          <w:b/>
          <w:i/>
          <w:noProof/>
          <w:sz w:val="24"/>
          <w:lang w:val="bg-BG"/>
        </w:rPr>
        <w:t>Определение за „неблагоприятен ефект“</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Един от въпросите, който критериите трябва да разрешат, е определението за „неблагоприятен ефект“. Комисията използва определението, предоставено от Международната програма за безопасност на химичните вещества, тоест „</w:t>
      </w:r>
      <w:r>
        <w:rPr>
          <w:rFonts w:ascii="Times New Roman" w:hAnsi="Times New Roman"/>
          <w:i/>
          <w:noProof/>
          <w:sz w:val="24"/>
          <w:lang w:val="bg-BG"/>
        </w:rPr>
        <w:t>промяна в морфологията, физиологията, растежа, развитието, възпроизводството или продължителността на живота на организъм, система или (под)популация, която води до увреждане на функционалния капацитет, увреждане на капацитета да се компенсира допълнителния стрес или повишаване на възприемчивостта към други въздействия</w:t>
      </w:r>
      <w:r>
        <w:rPr>
          <w:rFonts w:ascii="Times New Roman" w:hAnsi="Times New Roman"/>
          <w:noProof/>
          <w:sz w:val="24"/>
          <w:lang w:val="bg-BG"/>
        </w:rPr>
        <w:t>“</w:t>
      </w:r>
      <w:r>
        <w:rPr>
          <w:rStyle w:val="FootnoteReference"/>
          <w:rFonts w:ascii="Times New Roman" w:hAnsi="Times New Roman"/>
          <w:noProof/>
          <w:sz w:val="24"/>
          <w:lang w:val="bg-BG"/>
        </w:rPr>
        <w:footnoteReference w:id="16"/>
      </w:r>
      <w:r>
        <w:rPr>
          <w:rFonts w:ascii="Times New Roman" w:hAnsi="Times New Roman"/>
          <w:noProof/>
          <w:sz w:val="24"/>
          <w:lang w:val="bg-BG"/>
        </w:rPr>
        <w:t>.</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Предизвикателството в практиката е заложено в оценката на потенциалния неблагоприятен характер на въздействието на подорганно ниво (молекулярно или клетъчно ниво). Предвид заключението на Европейски орган за безопасност на храните през 2013 г. трябваше да се направи разграничение по отношение на степента на наблюдаваната промяна: „</w:t>
      </w:r>
      <w:r>
        <w:rPr>
          <w:rFonts w:ascii="Times New Roman" w:hAnsi="Times New Roman"/>
          <w:i/>
          <w:noProof/>
          <w:sz w:val="24"/>
          <w:lang w:val="bg-BG"/>
        </w:rPr>
        <w:t>поради това се изисква експертно становище, за да се оцени токсикологичното значение на […] промените във всеки отделен случай. По принцип преходните, непоследователни и леки колебания на биохимично и молекулярно ниво може да се считат за адаптивни (т.е. не са неблагоприятни), докато устойчивите, последователни и постоянни промени на ниво клетка, орган или организъм, водещи до патологично или функционално увреждане in vivo, както и промененото време на развитие, могат да се считат за неблагоприятни</w:t>
      </w:r>
      <w:r>
        <w:rPr>
          <w:rFonts w:ascii="Times New Roman" w:hAnsi="Times New Roman"/>
          <w:noProof/>
          <w:sz w:val="24"/>
          <w:lang w:val="bg-BG"/>
        </w:rPr>
        <w:t>“</w:t>
      </w:r>
      <w:r>
        <w:rPr>
          <w:rStyle w:val="FootnoteReference"/>
          <w:rFonts w:ascii="Times New Roman" w:hAnsi="Times New Roman"/>
          <w:noProof/>
          <w:sz w:val="24"/>
          <w:lang w:val="bg-BG"/>
        </w:rPr>
        <w:footnoteReference w:id="17"/>
      </w:r>
      <w:r>
        <w:rPr>
          <w:rFonts w:ascii="Times New Roman" w:hAnsi="Times New Roman"/>
          <w:noProof/>
          <w:sz w:val="24"/>
          <w:lang w:val="bg-BG"/>
        </w:rPr>
        <w:t>. Комисията следва този подход.</w:t>
      </w:r>
    </w:p>
    <w:p>
      <w:pPr>
        <w:spacing w:line="240" w:lineRule="auto"/>
        <w:jc w:val="both"/>
        <w:rPr>
          <w:rFonts w:ascii="Times New Roman" w:hAnsi="Times New Roman" w:cs="Times New Roman"/>
          <w:i/>
          <w:noProof/>
          <w:sz w:val="24"/>
          <w:szCs w:val="24"/>
          <w:lang w:val="bg-BG"/>
        </w:rPr>
      </w:pPr>
      <w:r>
        <w:rPr>
          <w:rFonts w:ascii="Times New Roman" w:hAnsi="Times New Roman"/>
          <w:noProof/>
          <w:sz w:val="24"/>
          <w:lang w:val="bg-BG"/>
        </w:rPr>
        <w:t>Също така в критериите се подчертава, че неблагоприятните ефекти, свързани с ендокринната система, които се причиняват само непряко от токсичност, несвързана с ендокринната система, не са неблагоприятни ефекти от значение за определяне на веществото като вещество, нарушаващо функциите на ендокринната система</w:t>
      </w:r>
      <w:r>
        <w:rPr>
          <w:rStyle w:val="FootnoteReference"/>
          <w:rFonts w:ascii="Times New Roman" w:hAnsi="Times New Roman"/>
          <w:noProof/>
          <w:sz w:val="24"/>
          <w:lang w:val="bg-BG"/>
        </w:rPr>
        <w:footnoteReference w:id="18"/>
      </w:r>
      <w:r>
        <w:rPr>
          <w:rFonts w:ascii="Times New Roman" w:hAnsi="Times New Roman"/>
          <w:noProof/>
          <w:sz w:val="24"/>
          <w:lang w:val="bg-BG"/>
        </w:rPr>
        <w:t>. Това разяснение е необходимо, тъй като в резултат на генерализирана токсичност може да има реакции на ендокринната система, които са последица, а не причина за конкретното неблагоприятен ефект, което е наблюдавано.</w:t>
      </w:r>
    </w:p>
    <w:p>
      <w:pPr>
        <w:spacing w:line="240" w:lineRule="auto"/>
        <w:jc w:val="both"/>
        <w:rPr>
          <w:rFonts w:ascii="Times New Roman" w:eastAsia="Times New Roman" w:hAnsi="Times New Roman" w:cs="Times New Roman"/>
          <w:b/>
          <w:bCs/>
          <w:i/>
          <w:noProof/>
          <w:sz w:val="24"/>
          <w:szCs w:val="20"/>
          <w:lang w:val="bg-BG"/>
        </w:rPr>
      </w:pPr>
      <w:r>
        <w:rPr>
          <w:rFonts w:ascii="Times New Roman" w:hAnsi="Times New Roman"/>
          <w:b/>
          <w:i/>
          <w:noProof/>
          <w:sz w:val="24"/>
          <w:lang w:val="bg-BG"/>
        </w:rPr>
        <w:t>Как да се определи причинно-следствената връзка?</w:t>
      </w:r>
    </w:p>
    <w:p>
      <w:pPr>
        <w:spacing w:line="240" w:lineRule="auto"/>
        <w:jc w:val="both"/>
        <w:rPr>
          <w:rFonts w:ascii="Times New Roman" w:hAnsi="Times New Roman" w:cs="Times New Roman"/>
          <w:noProof/>
          <w:spacing w:val="-2"/>
          <w:sz w:val="24"/>
          <w:szCs w:val="24"/>
          <w:lang w:val="bg-BG"/>
        </w:rPr>
      </w:pPr>
      <w:r>
        <w:rPr>
          <w:rFonts w:ascii="Times New Roman" w:hAnsi="Times New Roman"/>
          <w:noProof/>
          <w:spacing w:val="-2"/>
          <w:sz w:val="24"/>
          <w:lang w:val="bg-BG"/>
        </w:rPr>
        <w:t>В основата на определението от 2002 г. е връзката между механизма на действие и неблагоприятния ефект (изразът „и следователно“ в определението). Остава въпросът за степента, до която тази връзка може ясно да бъде установена — степента, до която трябва да се изисква строга причинно-следствена връзка. През 2013 г. Европейският орган за безопасност на храните заключава, че трябва да има</w:t>
      </w:r>
      <w:r>
        <w:rPr>
          <w:rFonts w:ascii="Times New Roman" w:hAnsi="Times New Roman"/>
          <w:i/>
          <w:noProof/>
          <w:spacing w:val="-2"/>
          <w:sz w:val="24"/>
          <w:lang w:val="bg-BG"/>
        </w:rPr>
        <w:t xml:space="preserve"> „основателна доказателствена база за биологично достоверна причинно-следствена връзка между [механизма на действие в ендокринната система] и неблагоприятните ефекти, наблюдавани в проучвания при незасегнати организми</w:t>
      </w:r>
      <w:r>
        <w:rPr>
          <w:rFonts w:ascii="Times New Roman" w:hAnsi="Times New Roman"/>
          <w:noProof/>
          <w:spacing w:val="-2"/>
          <w:sz w:val="24"/>
          <w:lang w:val="bg-BG"/>
        </w:rPr>
        <w:t>“, т.е. „основателна доказателствена база“ за определяне на причинно-следствена връзка. Алтернативата е по-строг подход към причинно-следствената връзка (например изискване за „убедителни“ доказателства за връзка). Комисията счита, че на практика ще бъде много трудно да се представят „убедителни доказателства“ за причинно-следствена връзка. Поради това Комисията възнамерява да следва концепцията за основателни доказателства („биологична достоверност“) за определяне на причинно-следствената връзка.</w:t>
      </w:r>
    </w:p>
    <w:p>
      <w:pPr>
        <w:spacing w:line="240" w:lineRule="auto"/>
        <w:jc w:val="both"/>
        <w:rPr>
          <w:rFonts w:ascii="Times New Roman" w:eastAsia="Times New Roman" w:hAnsi="Times New Roman" w:cs="Times New Roman"/>
          <w:b/>
          <w:bCs/>
          <w:i/>
          <w:noProof/>
          <w:sz w:val="24"/>
          <w:szCs w:val="20"/>
          <w:lang w:val="bg-BG"/>
        </w:rPr>
      </w:pPr>
      <w:r>
        <w:rPr>
          <w:rFonts w:ascii="Times New Roman" w:hAnsi="Times New Roman"/>
          <w:b/>
          <w:i/>
          <w:noProof/>
          <w:sz w:val="24"/>
          <w:lang w:val="bg-BG"/>
        </w:rPr>
        <w:t>Значението на „категориите“</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Дискусията по въпроса относно критериите, които да определят какво е вещество, нарушаващо функциите на ендокринната система, понякога включват идеята да се изгради система от „категории“ вещества, нарушаващи функциите на ендокринната система. Тези „категории“ се отнасят за различни степени на научните доказателства за начин на действие в ендокринната система, неблагоприятния ефект и причинно-следствената връзка между двете (или дори комбинацията от тези елементи)</w:t>
      </w:r>
      <w:r>
        <w:rPr>
          <w:rStyle w:val="FootnoteReference"/>
          <w:rFonts w:ascii="Times New Roman" w:hAnsi="Times New Roman"/>
          <w:noProof/>
          <w:sz w:val="24"/>
          <w:lang w:val="bg-BG"/>
        </w:rPr>
        <w:footnoteReference w:id="19"/>
      </w:r>
      <w:r>
        <w:rPr>
          <w:rFonts w:ascii="Times New Roman" w:hAnsi="Times New Roman"/>
          <w:noProof/>
          <w:sz w:val="24"/>
          <w:lang w:val="bg-BG"/>
        </w:rPr>
        <w:t>. Предложените категории са например „вещества, за които има подозрения, че нарушават ендокринните функции“ или вещества, които само упражняват действие в ендокринната система (т.е. без научно доказателство за неблагоприятен ефект).</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Комисията счита, че установяването на различни категории за това какво </w:t>
      </w:r>
      <w:r>
        <w:rPr>
          <w:rFonts w:ascii="Times New Roman" w:hAnsi="Times New Roman"/>
          <w:i/>
          <w:noProof/>
          <w:sz w:val="24"/>
          <w:lang w:val="bg-BG"/>
        </w:rPr>
        <w:t>може да е</w:t>
      </w:r>
      <w:r>
        <w:rPr>
          <w:rFonts w:ascii="Times New Roman" w:hAnsi="Times New Roman"/>
          <w:noProof/>
          <w:sz w:val="24"/>
          <w:lang w:val="bg-BG"/>
        </w:rPr>
        <w:t xml:space="preserve"> вещество, нарушаващо функциите на ендокринната система, не помага да се определи какво всъщност </w:t>
      </w:r>
      <w:r>
        <w:rPr>
          <w:rFonts w:ascii="Times New Roman" w:hAnsi="Times New Roman"/>
          <w:i/>
          <w:noProof/>
          <w:sz w:val="24"/>
          <w:lang w:val="bg-BG"/>
        </w:rPr>
        <w:t>е</w:t>
      </w:r>
      <w:r>
        <w:rPr>
          <w:rFonts w:ascii="Times New Roman" w:hAnsi="Times New Roman"/>
          <w:noProof/>
          <w:sz w:val="24"/>
          <w:lang w:val="bg-BG"/>
        </w:rPr>
        <w:t xml:space="preserve"> вещество, нарушаващо функциите на ендокринната система, в контекста на биоцидите и пестицидите. Освен това такава категоризация за пестициди и биоциди би намалила правната сигурност за регулаторите и заинтересованите страни без установени ползи по отношение на защитата на здравето и околната среда</w:t>
      </w:r>
      <w:r>
        <w:rPr>
          <w:rStyle w:val="FootnoteReference"/>
          <w:rFonts w:ascii="Times New Roman" w:hAnsi="Times New Roman"/>
          <w:noProof/>
          <w:sz w:val="24"/>
          <w:lang w:val="bg-BG"/>
        </w:rPr>
        <w:footnoteReference w:id="20"/>
      </w:r>
      <w:r>
        <w:rPr>
          <w:rFonts w:ascii="Times New Roman" w:hAnsi="Times New Roman"/>
          <w:noProof/>
          <w:sz w:val="24"/>
          <w:lang w:val="bg-BG"/>
        </w:rPr>
        <w:t>.</w:t>
      </w:r>
    </w:p>
    <w:p>
      <w:pPr>
        <w:spacing w:line="240" w:lineRule="auto"/>
        <w:jc w:val="both"/>
        <w:rPr>
          <w:rFonts w:ascii="Times New Roman" w:eastAsia="Times New Roman" w:hAnsi="Times New Roman" w:cs="Times New Roman"/>
          <w:b/>
          <w:bCs/>
          <w:i/>
          <w:noProof/>
          <w:sz w:val="24"/>
          <w:szCs w:val="20"/>
          <w:lang w:val="bg-BG"/>
        </w:rPr>
      </w:pPr>
      <w:r>
        <w:rPr>
          <w:rFonts w:ascii="Times New Roman" w:hAnsi="Times New Roman"/>
          <w:b/>
          <w:i/>
          <w:noProof/>
          <w:sz w:val="24"/>
          <w:lang w:val="bg-BG"/>
        </w:rPr>
        <w:t>Дискусията относно „прага на безопасност“ за веществата, нарушаващи функциите на ендокринната система</w:t>
      </w:r>
    </w:p>
    <w:p>
      <w:pPr>
        <w:pStyle w:val="Heading2"/>
        <w:keepLines w:val="0"/>
        <w:tabs>
          <w:tab w:val="num" w:pos="1080"/>
        </w:tabs>
        <w:spacing w:before="0" w:after="240"/>
        <w:jc w:val="both"/>
        <w:rPr>
          <w:rFonts w:ascii="Times New Roman" w:eastAsiaTheme="minorHAnsi" w:hAnsi="Times New Roman" w:cs="Times New Roman"/>
          <w:b w:val="0"/>
          <w:bCs w:val="0"/>
          <w:i/>
          <w:noProof/>
          <w:color w:val="auto"/>
          <w:sz w:val="24"/>
          <w:szCs w:val="24"/>
          <w:highlight w:val="yellow"/>
          <w:lang w:val="bg-BG"/>
        </w:rPr>
      </w:pPr>
      <w:r>
        <w:rPr>
          <w:rFonts w:ascii="Times New Roman" w:eastAsiaTheme="minorHAnsi" w:hAnsi="Times New Roman"/>
          <w:b w:val="0"/>
          <w:noProof/>
          <w:color w:val="auto"/>
          <w:sz w:val="24"/>
          <w:lang w:val="bg-BG"/>
        </w:rPr>
        <w:t>Обичайният начин за определяне на безопасността на дадено химично вещество се основава на „прага на безопасност“. Прагът на безопасност определя дозата, под която не се очаква да възникне неблагоприятен ефект.</w:t>
      </w:r>
      <w:r>
        <w:rPr>
          <w:rStyle w:val="FootnoteReference"/>
          <w:rFonts w:ascii="Times New Roman" w:eastAsiaTheme="minorHAnsi" w:hAnsi="Times New Roman"/>
          <w:b w:val="0"/>
          <w:noProof/>
          <w:color w:val="auto"/>
          <w:sz w:val="24"/>
          <w:lang w:val="bg-BG"/>
        </w:rPr>
        <w:footnoteReference w:id="21"/>
      </w:r>
      <w:r>
        <w:rPr>
          <w:rFonts w:ascii="Times New Roman" w:eastAsiaTheme="minorHAnsi" w:hAnsi="Times New Roman"/>
          <w:b w:val="0"/>
          <w:noProof/>
          <w:color w:val="auto"/>
          <w:sz w:val="24"/>
          <w:lang w:val="bg-BG"/>
        </w:rPr>
        <w:t xml:space="preserve"> Обикновено след експериментално установяване на нивото се добавя граница на безопасност чрез намаляване на стойността до малка пропорция от нея — например 1 % от установения по-рано праг. Тази концепция се използва от регулаторите по целия свят</w:t>
      </w:r>
      <w:r>
        <w:rPr>
          <w:rStyle w:val="FootnoteReference"/>
          <w:rFonts w:ascii="Times New Roman" w:eastAsiaTheme="minorHAnsi" w:hAnsi="Times New Roman"/>
          <w:b w:val="0"/>
          <w:noProof/>
          <w:color w:val="auto"/>
          <w:sz w:val="24"/>
          <w:lang w:val="bg-BG"/>
        </w:rPr>
        <w:footnoteReference w:id="22"/>
      </w:r>
      <w:r>
        <w:rPr>
          <w:rFonts w:ascii="Times New Roman" w:eastAsiaTheme="minorHAnsi" w:hAnsi="Times New Roman"/>
          <w:b w:val="0"/>
          <w:noProof/>
          <w:color w:val="auto"/>
          <w:sz w:val="24"/>
          <w:lang w:val="bg-BG"/>
        </w:rPr>
        <w:t>, но въпреки това е предмет на спорове в областта на веществата, нарушаващи функциите на ендокринната система — където се води дискусия относно това дали някога може да бъде установен праг на безопасност, или това може да се остави на оценката на риска във всеки отделен случай. Комисията счита, че отговорът на въпроса дали съществува праг, нито е необходим, нито е подходящ при установяването на научните критерии за определяне на вещество, нарушаващо функциите на ендокринната система.</w:t>
      </w:r>
    </w:p>
    <w:p>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lang w:val="bg-BG"/>
        </w:rPr>
      </w:pPr>
      <w:r>
        <w:rPr>
          <w:rFonts w:ascii="Times New Roman" w:hAnsi="Times New Roman"/>
          <w:i/>
          <w:noProof/>
          <w:color w:val="auto"/>
          <w:sz w:val="24"/>
          <w:lang w:val="bg-BG"/>
        </w:rPr>
        <w:t>Значението на потенциала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Потенциалът на химичното вещество описва неговата способност да предизвика ефект при определено ниво на дозата</w:t>
      </w:r>
      <w:r>
        <w:rPr>
          <w:rStyle w:val="FootnoteReference"/>
          <w:rFonts w:ascii="Times New Roman" w:hAnsi="Times New Roman"/>
          <w:noProof/>
          <w:sz w:val="24"/>
          <w:lang w:val="bg-BG"/>
        </w:rPr>
        <w:footnoteReference w:id="23"/>
      </w:r>
      <w:r>
        <w:rPr>
          <w:rFonts w:ascii="Times New Roman" w:hAnsi="Times New Roman"/>
          <w:noProof/>
          <w:sz w:val="24"/>
          <w:lang w:val="bg-BG"/>
        </w:rPr>
        <w:t>. В общото право на ЕС относно химикалите, използвано за класификация на химичните вещества</w:t>
      </w:r>
      <w:r>
        <w:rPr>
          <w:rStyle w:val="FootnoteReference"/>
          <w:rFonts w:ascii="Times New Roman" w:hAnsi="Times New Roman"/>
          <w:noProof/>
          <w:sz w:val="24"/>
          <w:lang w:val="bg-BG"/>
        </w:rPr>
        <w:footnoteReference w:id="24"/>
      </w:r>
      <w:r>
        <w:rPr>
          <w:rFonts w:ascii="Times New Roman" w:hAnsi="Times New Roman"/>
          <w:noProof/>
          <w:sz w:val="24"/>
          <w:lang w:val="bg-BG"/>
        </w:rPr>
        <w:t xml:space="preserve"> — което се основава на обща хармонизирана система — потенциалът се използва за определяне на това в каква категория на опасност попада веществото</w:t>
      </w:r>
      <w:r>
        <w:rPr>
          <w:rStyle w:val="FootnoteReference"/>
          <w:rFonts w:ascii="Times New Roman" w:hAnsi="Times New Roman"/>
          <w:noProof/>
          <w:sz w:val="24"/>
          <w:lang w:val="bg-BG"/>
        </w:rPr>
        <w:footnoteReference w:id="25"/>
      </w:r>
      <w:r>
        <w:rPr>
          <w:rFonts w:ascii="Times New Roman" w:hAnsi="Times New Roman"/>
          <w:noProof/>
          <w:sz w:val="24"/>
          <w:lang w:val="bg-BG"/>
        </w:rPr>
        <w:t>. При оценка на риска е необходимо да се разгледа потенциала, като това може да е полезно и за приоритизиране и подлагане на скрининг на веществата.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Въпреки това, за да се определи какво е вещество, нарушаващо функциите на ендокринната система, значение има единствено дали химикалът изобщо е вещество, нарушаващо функциите на ендокринната система (т.е. </w:t>
      </w:r>
      <w:r>
        <w:rPr>
          <w:rFonts w:ascii="Times New Roman" w:hAnsi="Times New Roman"/>
          <w:i/>
          <w:noProof/>
          <w:sz w:val="24"/>
          <w:lang w:val="bg-BG"/>
        </w:rPr>
        <w:t>идентифицирането</w:t>
      </w:r>
      <w:r>
        <w:rPr>
          <w:rFonts w:ascii="Times New Roman" w:hAnsi="Times New Roman"/>
          <w:noProof/>
          <w:sz w:val="24"/>
          <w:lang w:val="bg-BG"/>
        </w:rPr>
        <w:t xml:space="preserve"> на опасността вместо последващото ѝ </w:t>
      </w:r>
      <w:r>
        <w:rPr>
          <w:rFonts w:ascii="Times New Roman" w:hAnsi="Times New Roman"/>
          <w:i/>
          <w:noProof/>
          <w:sz w:val="24"/>
          <w:lang w:val="bg-BG"/>
        </w:rPr>
        <w:t>характеризиране</w:t>
      </w:r>
      <w:r>
        <w:rPr>
          <w:rFonts w:ascii="Times New Roman" w:hAnsi="Times New Roman"/>
          <w:noProof/>
          <w:sz w:val="24"/>
          <w:lang w:val="bg-BG"/>
        </w:rPr>
        <w:t>). Поради това Комисията заключава, че за конкретната цел на определянето на научни критерии не е необходимо да се включват съображения какъв е потенциалът на веществото, нарушаващо функциите на ендокринната система. Потенциалът е въпрос, който трябва да се зададе едва след като се установи дали веществото изобщо нарушава функциите на ендокринната система. В доклада за оценка на въздействието, придружаващ това Съобщение, се разглеждат въпросите за потенциала и се излагат аргументи в подкрепа на разглеждането на потенциала. Въпреки това Комисията следва широкия научен консенсус, според който потенциалът не трябва да се разглежда при определяне на веществата, нарушаващи ендокринната система, а да се вземе предвид при оценката на действителния риск, свързан с веществата, нарушаващи функциите на ендокринната система.</w:t>
      </w:r>
    </w:p>
    <w:p>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lang w:val="bg-BG"/>
        </w:rPr>
      </w:pPr>
      <w:r>
        <w:rPr>
          <w:rFonts w:ascii="Times New Roman" w:hAnsi="Times New Roman"/>
          <w:i/>
          <w:noProof/>
          <w:color w:val="auto"/>
          <w:sz w:val="24"/>
          <w:lang w:val="bg-BG"/>
        </w:rPr>
        <w:t>Уреждане на въпросите според характеристиките „опасност“ или „риск“</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Към уреждането на въпросите относно химичните вещества може да се подходи по два различни начина: въз основа на опасността или въз основа на риска. Подходът, основан на опасността, урежда веществата въз основа на присъщите им свойства, без да взема предвид експозицията на веществото. Подходът, основан на риска, отчита експозицията. Често използвана аналогия е взета от животинския свят: лъвът по същество е опасен, но когато е безопасно ограничен в зоологическата градина, лъвът не представлява риск, тъй</w:t>
      </w:r>
      <w:r>
        <w:rPr>
          <w:rFonts w:ascii="Times New Roman" w:hAnsi="Times New Roman"/>
          <w:i/>
          <w:noProof/>
          <w:sz w:val="24"/>
          <w:lang w:val="bg-BG"/>
        </w:rPr>
        <w:t xml:space="preserve"> </w:t>
      </w:r>
      <w:r>
        <w:rPr>
          <w:rFonts w:ascii="Times New Roman" w:hAnsi="Times New Roman"/>
          <w:noProof/>
          <w:sz w:val="24"/>
          <w:lang w:val="bg-BG"/>
        </w:rPr>
        <w:t>като</w:t>
      </w:r>
      <w:r>
        <w:rPr>
          <w:rFonts w:ascii="Times New Roman" w:hAnsi="Times New Roman"/>
          <w:i/>
          <w:noProof/>
          <w:sz w:val="24"/>
          <w:lang w:val="bg-BG"/>
        </w:rPr>
        <w:t xml:space="preserve"> </w:t>
      </w:r>
      <w:r>
        <w:rPr>
          <w:rFonts w:ascii="Times New Roman" w:hAnsi="Times New Roman"/>
          <w:noProof/>
          <w:sz w:val="24"/>
          <w:lang w:val="bg-BG"/>
        </w:rPr>
        <w:t>няма експозиция. В областта на химическата безопасност съществуват няколко законодателни акта на ЕС, които прилагат основан на опасността подход към токсикологичната безопасност, докато други следват основан на риска подход.</w:t>
      </w:r>
      <w:r>
        <w:rPr>
          <w:rStyle w:val="FootnoteReference"/>
          <w:rFonts w:ascii="Times New Roman" w:hAnsi="Times New Roman"/>
          <w:noProof/>
          <w:sz w:val="24"/>
          <w:lang w:val="bg-BG"/>
        </w:rPr>
        <w:footnoteReference w:id="26"/>
      </w:r>
      <w:r>
        <w:rPr>
          <w:rFonts w:ascii="Times New Roman" w:hAnsi="Times New Roman"/>
          <w:noProof/>
          <w:sz w:val="24"/>
          <w:lang w:val="bg-BG"/>
        </w:rPr>
        <w:t xml:space="preserve"> </w:t>
      </w:r>
      <w:r>
        <w:rPr>
          <w:rStyle w:val="FootnoteReference"/>
          <w:rFonts w:ascii="Times New Roman" w:hAnsi="Times New Roman"/>
          <w:noProof/>
          <w:sz w:val="24"/>
          <w:lang w:val="bg-BG"/>
        </w:rPr>
        <w:footnoteReference w:id="27"/>
      </w:r>
    </w:p>
    <w:p>
      <w:pPr>
        <w:spacing w:line="240" w:lineRule="auto"/>
        <w:jc w:val="both"/>
        <w:rPr>
          <w:rFonts w:ascii="Times New Roman" w:hAnsi="Times New Roman"/>
          <w:noProof/>
          <w:sz w:val="24"/>
          <w:lang w:val="bg-BG"/>
        </w:rPr>
      </w:pPr>
      <w:r>
        <w:rPr>
          <w:rFonts w:ascii="Times New Roman" w:hAnsi="Times New Roman"/>
          <w:noProof/>
          <w:sz w:val="24"/>
          <w:lang w:val="bg-BG"/>
        </w:rPr>
        <w:t>Проблемът, пред който се изправя Комисията при тази задача, е да установи критерии за определяне на това какво представлява или не представлява вещество, нарушаващо функциите на ендокринната система, за целите на продуктите за растителна защита и биоцидите, а не да реши как да бъдат уредени въпросите относно тези вещества. Нормативните последици вече са установени от законодателя в законодателството относно продуктите за растителна защита (2009 г.) и биоцидите (2012 г.). Съгласно това законодателство, като общо правило, веществата, нарушаващи функциите на ендокринната система, са забранени въз основа на опасността</w:t>
      </w:r>
      <w:r>
        <w:rPr>
          <w:rStyle w:val="FootnoteReference"/>
          <w:rFonts w:ascii="Times New Roman" w:hAnsi="Times New Roman"/>
          <w:noProof/>
          <w:sz w:val="24"/>
          <w:lang w:val="bg-BG"/>
        </w:rPr>
        <w:footnoteReference w:id="28"/>
      </w:r>
      <w:r>
        <w:rPr>
          <w:rFonts w:ascii="Times New Roman" w:hAnsi="Times New Roman"/>
          <w:noProof/>
          <w:sz w:val="24"/>
          <w:lang w:val="bg-BG"/>
        </w:rPr>
        <w:t>, без да се подлагат на специфична оценка на риска въз основа на съображения за експозиция (въпреки че в някои отделни случаи може да са приложими дерогации — поради опасност, риск или като се вземат предвид някои социално-икономически съображения — както е постановено от законодателството).</w:t>
      </w:r>
    </w:p>
    <w:p>
      <w:pPr>
        <w:pStyle w:val="Heading1"/>
        <w:spacing w:before="240" w:after="240"/>
        <w:rPr>
          <w:rFonts w:ascii="Times New Roman" w:eastAsia="Times New Roman" w:hAnsi="Times New Roman" w:cs="Times New Roman"/>
          <w:smallCaps/>
          <w:noProof/>
          <w:color w:val="auto"/>
          <w:sz w:val="24"/>
          <w:szCs w:val="20"/>
          <w:lang w:val="bg-BG"/>
        </w:rPr>
      </w:pPr>
      <w:r>
        <w:rPr>
          <w:rFonts w:ascii="Times New Roman" w:hAnsi="Times New Roman"/>
          <w:smallCaps/>
          <w:noProof/>
          <w:color w:val="auto"/>
          <w:sz w:val="24"/>
          <w:lang w:val="bg-BG"/>
        </w:rPr>
        <w:t xml:space="preserve">3. </w:t>
      </w:r>
      <w:r>
        <w:rPr>
          <w:noProof/>
          <w:lang w:val="bg-BG"/>
        </w:rPr>
        <w:tab/>
      </w:r>
      <w:r>
        <w:rPr>
          <w:rFonts w:ascii="Times New Roman" w:hAnsi="Times New Roman"/>
          <w:smallCaps/>
          <w:noProof/>
          <w:color w:val="auto"/>
          <w:sz w:val="24"/>
          <w:lang w:val="bg-BG"/>
        </w:rPr>
        <w:t>Какво означават критериите за областите с нормативна уредба относно биоцидите и относно продуктите за растителна защита?</w:t>
      </w:r>
    </w:p>
    <w:p>
      <w:pPr>
        <w:pStyle w:val="Heading2"/>
        <w:keepLines w:val="0"/>
        <w:tabs>
          <w:tab w:val="num" w:pos="1080"/>
        </w:tabs>
        <w:spacing w:before="0" w:after="240"/>
        <w:jc w:val="both"/>
        <w:rPr>
          <w:rFonts w:ascii="Times New Roman" w:hAnsi="Times New Roman" w:cs="Times New Roman"/>
          <w:b w:val="0"/>
          <w:noProof/>
          <w:color w:val="auto"/>
          <w:sz w:val="24"/>
          <w:szCs w:val="24"/>
          <w:lang w:val="bg-BG"/>
        </w:rPr>
      </w:pPr>
      <w:r>
        <w:rPr>
          <w:rFonts w:ascii="Times New Roman" w:hAnsi="Times New Roman"/>
          <w:b w:val="0"/>
          <w:noProof/>
          <w:color w:val="auto"/>
          <w:sz w:val="24"/>
          <w:lang w:val="bg-BG"/>
        </w:rPr>
        <w:t>Законодателството на ЕС в областта на биоцидите и продуктите за растителна защита предвижда активните вещества, които нарушават функциите на ендокринната система, да не бъдат одобрявани, освен ако — по отношение на продуктите за растителна защита — експозицията е незначителна — или, по отношение на биоцидите — рискът е незначително нисък. По принцип въпросът дали активно вещество на продукт за растителна защита или биоцид представлява вещество, нарушаващо функциите на ендокринната система, се оценява всеки път, когато то е предмет на процедура по одобряване или подновяване на разрешението му. Освен това всички активни вещества, използвани в продукти за растителна защита или биоциди, се одобряват само за ограничен срок и техните одобрения се преразглеждат рутинно.</w:t>
      </w:r>
    </w:p>
    <w:p>
      <w:pPr>
        <w:pStyle w:val="Heading2"/>
        <w:keepLines w:val="0"/>
        <w:tabs>
          <w:tab w:val="num" w:pos="1080"/>
        </w:tabs>
        <w:spacing w:before="0" w:after="240"/>
        <w:jc w:val="both"/>
        <w:rPr>
          <w:rFonts w:ascii="Times New Roman" w:hAnsi="Times New Roman"/>
          <w:b w:val="0"/>
          <w:noProof/>
          <w:color w:val="auto"/>
          <w:sz w:val="24"/>
          <w:lang w:val="bg-BG"/>
        </w:rPr>
      </w:pPr>
      <w:r>
        <w:rPr>
          <w:rFonts w:ascii="Times New Roman" w:hAnsi="Times New Roman"/>
          <w:b w:val="0"/>
          <w:noProof/>
          <w:color w:val="auto"/>
          <w:sz w:val="24"/>
          <w:lang w:val="bg-BG"/>
        </w:rPr>
        <w:t>Някои от неблагоприятните ефекти, причинени от вещества, нарушаващи функциите на ендокринната система (например въздействие върху репродуктивната система), се оценяват от много години, което означава, че на практика много вещества, за които има доказателства, че нарушават функциите на ендокринната система, вече са забранени в ЕС. Новите критерии обаче ще позволят изготвянето на по-точна и актуална оценка.</w:t>
      </w:r>
    </w:p>
    <w:p>
      <w:pPr>
        <w:pStyle w:val="Heading2"/>
        <w:keepLines w:val="0"/>
        <w:tabs>
          <w:tab w:val="num" w:pos="1080"/>
        </w:tabs>
        <w:spacing w:before="0" w:after="240"/>
        <w:jc w:val="both"/>
        <w:rPr>
          <w:rFonts w:ascii="Times New Roman" w:hAnsi="Times New Roman"/>
          <w:b w:val="0"/>
          <w:noProof/>
          <w:color w:val="auto"/>
          <w:sz w:val="24"/>
          <w:lang w:val="bg-BG"/>
        </w:rPr>
      </w:pPr>
      <w:r>
        <w:rPr>
          <w:rFonts w:ascii="Times New Roman" w:hAnsi="Times New Roman"/>
          <w:b w:val="0"/>
          <w:noProof/>
          <w:color w:val="auto"/>
          <w:sz w:val="24"/>
          <w:lang w:val="bg-BG"/>
        </w:rPr>
        <w:t>За гарантиране на бързо действие и отчитане на последните научни достижения по-точните научни</w:t>
      </w:r>
      <w:r>
        <w:rPr>
          <w:rFonts w:ascii="Times New Roman" w:hAnsi="Times New Roman"/>
          <w:noProof/>
          <w:sz w:val="24"/>
          <w:lang w:val="bg-BG"/>
        </w:rPr>
        <w:t xml:space="preserve"> </w:t>
      </w:r>
      <w:r>
        <w:rPr>
          <w:rFonts w:ascii="Times New Roman" w:hAnsi="Times New Roman"/>
          <w:b w:val="0"/>
          <w:noProof/>
          <w:color w:val="auto"/>
          <w:sz w:val="24"/>
          <w:lang w:val="bg-BG"/>
        </w:rPr>
        <w:t>критерии ще бъдат приложени незабавно освен в случаите, когато проект на регламент на Комисията вече е гласуван, но не е приет. Освен това, за да се даде възможност работата по оценката да започне, днес Комисията ще отправи искане до Европейския орган за безопасност на храните и Европейската агенция по химикали да започнат да разглеждат въпроса дали отделни одобрени активни вещества, за които съществуват показания, че могат да отговарят на критериите за наличие на свойства, нарушаващи функциите на ендокринната система, представляват вещества, нарушаващи функциите на ендокринната система, съгласно критериите в проектотекстовете, представени днес. Това ще помогне да се гарантира, че тези две регулаторни агенции са готови да прилагат критериите съгласно приложимите нормативни процедури след влизането им в сила.</w:t>
      </w:r>
    </w:p>
    <w:p>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lang w:val="bg-BG"/>
        </w:rPr>
      </w:pPr>
      <w:r>
        <w:rPr>
          <w:rFonts w:ascii="Times New Roman" w:hAnsi="Times New Roman"/>
          <w:i/>
          <w:noProof/>
          <w:color w:val="auto"/>
          <w:sz w:val="24"/>
          <w:lang w:val="bg-BG"/>
        </w:rPr>
        <w:t>Актуализиране на основанията за възможна дерогация спрямо настоящите научно-технически познания</w:t>
      </w:r>
    </w:p>
    <w:p>
      <w:pPr>
        <w:spacing w:line="240" w:lineRule="auto"/>
        <w:jc w:val="both"/>
        <w:rPr>
          <w:rFonts w:ascii="Times New Roman" w:hAnsi="Times New Roman"/>
          <w:noProof/>
          <w:sz w:val="24"/>
          <w:lang w:val="bg-BG"/>
        </w:rPr>
      </w:pPr>
      <w:r>
        <w:rPr>
          <w:rFonts w:ascii="Times New Roman" w:hAnsi="Times New Roman"/>
          <w:noProof/>
          <w:sz w:val="24"/>
          <w:lang w:val="bg-BG"/>
        </w:rPr>
        <w:t>Както законодателството относно продуктите за растителна защита, така и законодателството относно биоцидите забраняват активните вещества, нарушаващи функциите на ендокринната система, въз основа на опасността. Позволени са обаче ограничен брой изключения. Законодателството относно биоцидите позволява изключения въз основа на „незначителен риск“ и някои социално-икономически съображения. Законодателството относно продуктите за растителна защита позволява изключения въз основа на „незначителна експозиция“ или, в определени ситуации и при строги условия, въз основа на сериозна заплаха за здравето на растенията. В контекста на веществата, нарушаващи функциите на ендокринната система, Европейският орган за безопасност на храните подкрепя принципа на основан на риска подход за продуктите за растителна защита</w:t>
      </w:r>
      <w:r>
        <w:rPr>
          <w:rStyle w:val="FootnoteReference"/>
          <w:rFonts w:ascii="Times New Roman" w:hAnsi="Times New Roman"/>
          <w:noProof/>
          <w:sz w:val="24"/>
          <w:lang w:val="bg-BG"/>
        </w:rPr>
        <w:footnoteReference w:id="29"/>
      </w:r>
      <w:r>
        <w:rPr>
          <w:rFonts w:ascii="Times New Roman" w:hAnsi="Times New Roman"/>
          <w:noProof/>
          <w:sz w:val="24"/>
          <w:lang w:val="bg-BG"/>
        </w:rPr>
        <w:t>. Научно-техническите познания се развиват и предполагат, че в тази област веществата, нарушаващи функциите на ендокринната система, могат да се оценяват въз основа на риска, както повечето други вещества. Поради тази причина Комисията — в съответствие с мандата, предоставен от съзаконодателите</w:t>
      </w:r>
      <w:r>
        <w:rPr>
          <w:rStyle w:val="FootnoteReference"/>
          <w:rFonts w:ascii="Times New Roman" w:hAnsi="Times New Roman"/>
          <w:noProof/>
          <w:sz w:val="24"/>
          <w:lang w:val="bg-BG"/>
        </w:rPr>
        <w:footnoteReference w:id="30"/>
      </w:r>
      <w:r>
        <w:rPr>
          <w:rFonts w:ascii="Times New Roman" w:hAnsi="Times New Roman"/>
          <w:noProof/>
          <w:sz w:val="24"/>
          <w:lang w:val="bg-BG"/>
        </w:rPr>
        <w:t>, направи заключението, че основанията за възможни дерогации за продуктите за растителна защита трябва да се актуализират, за да се направи позоваване — в съответствие със законодателството относно биоцидите — на „незначителния риск“, като същевременно изцяло се придържа към концепцията за основаната на опасността забрана на веществата, нарушаващи функциите на ендокринната система, осигурявайки по този начин еднакво високо равнище на защита на здравето и околната среда.</w:t>
      </w:r>
    </w:p>
    <w:p>
      <w:pPr>
        <w:pStyle w:val="Heading1"/>
        <w:spacing w:before="240" w:after="240"/>
        <w:ind w:left="480" w:hanging="480"/>
        <w:rPr>
          <w:rFonts w:ascii="Times New Roman" w:eastAsia="Times New Roman" w:hAnsi="Times New Roman" w:cs="Times New Roman"/>
          <w:bCs w:val="0"/>
          <w:noProof/>
          <w:color w:val="auto"/>
          <w:sz w:val="24"/>
          <w:szCs w:val="20"/>
          <w:lang w:val="bg-BG"/>
        </w:rPr>
      </w:pPr>
      <w:r>
        <w:rPr>
          <w:rFonts w:ascii="Times New Roman" w:hAnsi="Times New Roman"/>
          <w:smallCaps/>
          <w:noProof/>
          <w:color w:val="auto"/>
          <w:sz w:val="24"/>
          <w:lang w:val="bg-BG"/>
        </w:rPr>
        <w:t xml:space="preserve">4. </w:t>
      </w:r>
      <w:r>
        <w:rPr>
          <w:noProof/>
          <w:lang w:val="bg-BG"/>
        </w:rPr>
        <w:tab/>
      </w:r>
      <w:r>
        <w:rPr>
          <w:rFonts w:ascii="Times New Roman" w:hAnsi="Times New Roman"/>
          <w:smallCaps/>
          <w:noProof/>
          <w:color w:val="auto"/>
          <w:sz w:val="24"/>
          <w:lang w:val="bg-BG"/>
        </w:rPr>
        <w:t>Какво означават критериите за биоцидите и продуктите за растителна защита за другите области със съответната нормативна уредба?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Научните критерии, определящи какво е вещество, нарушаващо функциите на ендокринната система, са определени в изпълнение на законовите задължения съгласно законодателството на ЕС относно биоцидите и продуктите за растителна защита. Критериите са приложими само в тези две области с нормативна уредба и нямат пряка правна последица за други области на законодателството на ЕС. Целта е да се осигурят критерии за съответните органи на ЕС (Европейската агенция по химикали, Европейския орган за безопасност на храните, Комисията) и държавите членки.</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Както е обяснено по-горе, представените критерии са изцяло в съответствие с определението на Международната програма за безопасност на химичните вещества към Световната здравна организация, което вече е налице и предлага обща основа за всички области на политиката на ЕС относно безопасността на химическите вещества. Определението на Световната здравна организация вече се прилага за определянето на веществата, нарушаващи функциите на ендокринната система, в контекста на друго законодателство, и може да се очаква това да продължи предвид приемането от Комисията на критериите.</w:t>
      </w:r>
    </w:p>
    <w:p>
      <w:pPr>
        <w:spacing w:after="360" w:line="240" w:lineRule="auto"/>
        <w:jc w:val="both"/>
        <w:rPr>
          <w:rFonts w:ascii="Times New Roman" w:hAnsi="Times New Roman" w:cs="Times New Roman"/>
          <w:noProof/>
          <w:sz w:val="24"/>
          <w:szCs w:val="24"/>
          <w:lang w:val="bg-BG"/>
        </w:rPr>
      </w:pPr>
      <w:r>
        <w:rPr>
          <w:rFonts w:ascii="Times New Roman" w:hAnsi="Times New Roman"/>
          <w:noProof/>
          <w:sz w:val="24"/>
          <w:lang w:val="bg-BG"/>
        </w:rPr>
        <w:t>Така или иначе нормативната уредба на ЕС вече работи с понятието „вещества, нарушаващи функциите на ендокринната система“ (макар и без критерии, установени в законодателството на ЕС, които да определят какво е вещество, нарушаващо функциите на ендокринната система). Например в „Подлежащия на одобрение списък с кандидат-веществата, които пораждат сериозно безпокойство“ Европейската агенция по химикали изброява вещества само въз основа на свойствата им да нарушават функциите на ендокринната система</w:t>
      </w:r>
      <w:r>
        <w:rPr>
          <w:rStyle w:val="FootnoteReference"/>
          <w:rFonts w:ascii="Times New Roman" w:hAnsi="Times New Roman"/>
          <w:noProof/>
          <w:lang w:val="bg-BG"/>
        </w:rPr>
        <w:footnoteReference w:id="31"/>
      </w:r>
      <w:r>
        <w:rPr>
          <w:rFonts w:ascii="Times New Roman" w:hAnsi="Times New Roman"/>
          <w:noProof/>
          <w:sz w:val="24"/>
          <w:lang w:val="bg-BG"/>
        </w:rPr>
        <w:t>. Научният комитет по безопасност на потребителите оценява безопасността на редица козметични съставки във връзка със свойствата им да нарушават функциите на ендокринната система</w:t>
      </w:r>
      <w:r>
        <w:rPr>
          <w:rStyle w:val="FootnoteReference"/>
          <w:rFonts w:ascii="Times New Roman" w:hAnsi="Times New Roman"/>
          <w:noProof/>
          <w:lang w:val="bg-BG"/>
        </w:rPr>
        <w:footnoteReference w:id="32"/>
      </w:r>
      <w:r>
        <w:rPr>
          <w:rFonts w:ascii="Times New Roman" w:hAnsi="Times New Roman"/>
          <w:noProof/>
          <w:sz w:val="24"/>
          <w:lang w:val="bg-BG"/>
        </w:rPr>
        <w:t>. Комисията също изброява вещества, нарушаващи функциите на ендокринната система, в контекста на изпълнението на законодателството на ЕС относно качеството на водите</w:t>
      </w:r>
      <w:r>
        <w:rPr>
          <w:rStyle w:val="FootnoteReference"/>
          <w:rFonts w:ascii="Times New Roman" w:hAnsi="Times New Roman"/>
          <w:noProof/>
          <w:sz w:val="24"/>
          <w:lang w:val="bg-BG"/>
        </w:rPr>
        <w:footnoteReference w:id="33"/>
      </w:r>
      <w:r>
        <w:rPr>
          <w:rFonts w:ascii="Times New Roman" w:hAnsi="Times New Roman"/>
          <w:noProof/>
          <w:sz w:val="24"/>
          <w:lang w:val="bg-BG"/>
        </w:rPr>
        <w:t xml:space="preserve"> и ограничава предлагането на пазара на вещества, нарушаващи функциите на ендокринната система, в контекста на REACH</w:t>
      </w:r>
      <w:r>
        <w:rPr>
          <w:rStyle w:val="FootnoteReference"/>
          <w:rFonts w:ascii="Times New Roman" w:hAnsi="Times New Roman"/>
          <w:noProof/>
          <w:sz w:val="24"/>
          <w:lang w:val="bg-BG"/>
        </w:rPr>
        <w:footnoteReference w:id="34"/>
      </w:r>
      <w:r>
        <w:rPr>
          <w:rFonts w:ascii="Times New Roman" w:hAnsi="Times New Roman"/>
          <w:noProof/>
          <w:sz w:val="24"/>
          <w:lang w:val="bg-BG"/>
        </w:rPr>
        <w:t>. Разликата с двете политики, обхванати от проектомерките, е, че в тези две политики съществува законово задължение да се дефинират критерии, определящи какво е вещество, нарушаващо функциите на ендокринната система.</w:t>
      </w:r>
    </w:p>
    <w:p>
      <w:pPr>
        <w:pStyle w:val="Heading1"/>
        <w:spacing w:before="240" w:after="240"/>
        <w:ind w:left="480" w:hanging="480"/>
        <w:rPr>
          <w:rFonts w:ascii="Times New Roman" w:eastAsia="Times New Roman" w:hAnsi="Times New Roman" w:cs="Times New Roman"/>
          <w:bCs w:val="0"/>
          <w:smallCaps/>
          <w:noProof/>
          <w:color w:val="auto"/>
          <w:sz w:val="24"/>
          <w:szCs w:val="20"/>
          <w:lang w:val="bg-BG"/>
        </w:rPr>
      </w:pPr>
      <w:r>
        <w:rPr>
          <w:rFonts w:ascii="Times New Roman" w:hAnsi="Times New Roman"/>
          <w:smallCaps/>
          <w:noProof/>
          <w:color w:val="auto"/>
          <w:sz w:val="24"/>
          <w:lang w:val="bg-BG"/>
        </w:rPr>
        <w:t xml:space="preserve">5. </w:t>
      </w:r>
      <w:r>
        <w:rPr>
          <w:noProof/>
          <w:lang w:val="bg-BG"/>
        </w:rPr>
        <w:tab/>
      </w:r>
      <w:r>
        <w:rPr>
          <w:rFonts w:ascii="Times New Roman" w:hAnsi="Times New Roman"/>
          <w:smallCaps/>
          <w:noProof/>
          <w:color w:val="auto"/>
          <w:sz w:val="24"/>
          <w:lang w:val="bg-BG"/>
        </w:rPr>
        <w:t>Други дейности на Комисията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Извън рамките на установяването на научни критерии за определянето на веществата, нарушаващи свойствата на ендокринната система, Комисията ще увеличи усилията си в рамките на други дейности, осъществявани в трите области, очертани в стратегията на ЕС за веществата, нарушаващи функциите на ендокринната система, с цел да се продължи намаляването на експозицията на веществата, нарушаващи ендокринната система, в съответствие със Седмата програма за действия за околната среда. Тези дейности може допълнително да се подобрят чрез организирането на форуми за активизиране на обмена на информация и постигането на консенсус в научната и регулаторната общност, което е в съответствие със стратегията.</w:t>
      </w:r>
    </w:p>
    <w:p>
      <w:pPr>
        <w:pStyle w:val="Heading3"/>
        <w:keepLines w:val="0"/>
        <w:tabs>
          <w:tab w:val="num" w:pos="1920"/>
        </w:tabs>
        <w:spacing w:before="0" w:after="240"/>
        <w:ind w:left="840" w:hanging="840"/>
        <w:jc w:val="both"/>
        <w:rPr>
          <w:rFonts w:ascii="Times New Roman" w:eastAsia="Times New Roman" w:hAnsi="Times New Roman" w:cs="Times New Roman"/>
          <w:bCs w:val="0"/>
          <w:i/>
          <w:noProof/>
          <w:color w:val="auto"/>
          <w:sz w:val="24"/>
          <w:szCs w:val="20"/>
          <w:lang w:val="bg-BG"/>
        </w:rPr>
      </w:pPr>
      <w:r>
        <w:rPr>
          <w:rFonts w:ascii="Times New Roman" w:hAnsi="Times New Roman"/>
          <w:i/>
          <w:noProof/>
          <w:color w:val="auto"/>
          <w:sz w:val="24"/>
          <w:lang w:val="bg-BG"/>
        </w:rPr>
        <w:t>Научни изследвания</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От приемането през 1999 г. на стратегията на ЕС за веществата, нарушаващи функциите на ендокринната система, рамковите програми на ЕС за изследвания са подкрепили над 50 многонационални съвместни научноизследователски проекта с финансиране над 150 милиона евро. „Хоризонт 2020“ подкрепя по-нататъшните изследвания за обогатяване на знанията и осигуряване на стабилна научна основа за регулаторите и създателите на политики в областта на токсикологията. Европейската инициатива за човешки биомониторинг ще бъде ключова инициатива, която ще служи за европейска платформа на знания за измерването на експозицията на химични вещества при хора. Съвместният изследователски център също играе важна роля, например в разработването на методи и подходи за оценка и тяхното предаване за регулаторна употреба.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По отношение на бъдещите действия Комисията счита за важно да гарантира добър поток от информация, включващ съпоставими данни за опасността, биомониторингови данни и данни от наблюдение между държавите членки и агенциите. Това ще допринесе за разглеждане на въпросите, свързани с комбинираната експозиция</w:t>
      </w:r>
      <w:r>
        <w:rPr>
          <w:rStyle w:val="FootnoteReference"/>
          <w:rFonts w:ascii="Times New Roman" w:hAnsi="Times New Roman"/>
          <w:noProof/>
          <w:sz w:val="24"/>
          <w:lang w:val="bg-BG"/>
        </w:rPr>
        <w:footnoteReference w:id="35"/>
      </w:r>
      <w:r>
        <w:rPr>
          <w:rFonts w:ascii="Times New Roman" w:hAnsi="Times New Roman"/>
          <w:noProof/>
          <w:sz w:val="24"/>
          <w:lang w:val="bg-BG"/>
        </w:rPr>
        <w:t>. Комисията ще разработи уеб платформа, като за това ангажира и агенциите на ЕС и държавите членки, която да служи за укрепване на сътрудничеството и обмена на информация и сътрудничеството на всички засегнати страни.</w:t>
      </w:r>
    </w:p>
    <w:p>
      <w:pPr>
        <w:pStyle w:val="Heading3"/>
        <w:keepLines w:val="0"/>
        <w:tabs>
          <w:tab w:val="num" w:pos="1920"/>
        </w:tabs>
        <w:spacing w:before="0" w:after="240"/>
        <w:jc w:val="both"/>
        <w:rPr>
          <w:rFonts w:ascii="Times New Roman" w:eastAsia="Times New Roman" w:hAnsi="Times New Roman" w:cs="Times New Roman"/>
          <w:bCs w:val="0"/>
          <w:i/>
          <w:noProof/>
          <w:color w:val="auto"/>
          <w:sz w:val="24"/>
          <w:szCs w:val="20"/>
          <w:lang w:val="bg-BG"/>
        </w:rPr>
      </w:pPr>
      <w:r>
        <w:rPr>
          <w:rFonts w:ascii="Times New Roman" w:hAnsi="Times New Roman"/>
          <w:i/>
          <w:noProof/>
          <w:color w:val="auto"/>
          <w:sz w:val="24"/>
          <w:lang w:val="bg-BG"/>
        </w:rPr>
        <w:t>Международно сътрудничество</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Комисията е активен партньор в работата на глобално равнище, по-специално в Организацията за икономическо сътрудничество и развитие (ОИСР), при предприемане на действия, свързани с токсикологичната безопасност, и по-специално — при определяне на химичните вещества, нарушаващи функциите на ендокринната система. Към днешна дата като насоки на ОИСР за изследвания са валидирани и одобрени редица изпитвания за скрининг и изследване на действието на вещества в ендокринната система, но работата продължава. Разработено е допълнително подробно ръководство, което да помогне при тълкуването на резултатите от изпитванията.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Комисията счита, че продължаването и подпомагането на тази работа е от съществено значение, като това се базира на приоритетите, зададени до 2018 г. съвместно от държавите членки в рамката на ОИСР, за да може необходимият набор от валидирани тестове бъде наличен най-късно до 2015 г.</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Също така Комисията осъществява редовни контакти с компетентните органи в трети страни.</w:t>
      </w:r>
    </w:p>
    <w:p>
      <w:pPr>
        <w:pStyle w:val="Heading3"/>
        <w:keepLines w:val="0"/>
        <w:tabs>
          <w:tab w:val="num" w:pos="1920"/>
        </w:tabs>
        <w:spacing w:before="0" w:after="240"/>
        <w:jc w:val="both"/>
        <w:rPr>
          <w:rFonts w:ascii="Times New Roman" w:eastAsia="Times New Roman" w:hAnsi="Times New Roman" w:cs="Times New Roman"/>
          <w:bCs w:val="0"/>
          <w:i/>
          <w:noProof/>
          <w:color w:val="auto"/>
          <w:sz w:val="24"/>
          <w:szCs w:val="20"/>
          <w:lang w:val="bg-BG"/>
        </w:rPr>
      </w:pPr>
      <w:r>
        <w:rPr>
          <w:rFonts w:ascii="Times New Roman" w:hAnsi="Times New Roman"/>
          <w:i/>
          <w:noProof/>
          <w:color w:val="auto"/>
          <w:sz w:val="24"/>
          <w:lang w:val="bg-BG"/>
        </w:rPr>
        <w:t>Нормативна уредба в ЕС</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Както беше отбелязано по-горе, регулаторните агенции на ЕС, независимите научни комитети, Комисията и държавите членки вече разглеждат веществата, нарушаващи функциите на ендокринната система. Работата се регламентира чрез секторно законодателство в области, включващи здравето на човека (включително за потребители и работници), здравето на животните и околната среда. Примерите са: законодателството на ЕС относно професионалната безопасност и здраве (където законодателството относно химичните агенти на работното място</w:t>
      </w:r>
      <w:r>
        <w:rPr>
          <w:rStyle w:val="FootnoteReference"/>
          <w:rFonts w:ascii="Times New Roman" w:hAnsi="Times New Roman"/>
          <w:noProof/>
          <w:sz w:val="24"/>
          <w:lang w:val="bg-BG"/>
        </w:rPr>
        <w:footnoteReference w:id="36"/>
      </w:r>
      <w:r>
        <w:rPr>
          <w:rFonts w:ascii="Times New Roman" w:hAnsi="Times New Roman"/>
          <w:noProof/>
          <w:sz w:val="24"/>
          <w:lang w:val="bg-BG"/>
        </w:rPr>
        <w:t xml:space="preserve"> включва всички химични агенти, включително веществата, нарушаващи функциите на ендокринната система), безопасността на храните и фуражите (където токсикологичните рискове, включително онези, произтичащи от веществата, нарушаващи функциите на ендокринната система, подлежат на подробна оценка на риска) и потребителските продукти (включително например козметични продукти и играчки), както и законодателството в областта на околната среда.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Въпреки това безспорно е, че основното предизвикателство за регулаторите е наличието на надеждни научни данни. Поради това Комисията ще предприеме всички необходими стъпки, за да гарантира, че изискванията за данните по отношение на веществата, нарушаващи функциите на ендокринната система, са преразгледани — независимо дали изискванията за тези данни са включени в законодателството на ЕС, насоките на Комисията или насоките на регулаторните агенции и независимите научни комитети.</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Освен това Комисията ще действа бързо за по-нататъшно внедряване на законови задължения в достиженията на правото на ЕС, по-специално във връзка с веществата, нарушаващи функциите на ендокринната система. По-конкретно:</w:t>
      </w:r>
    </w:p>
    <w:p>
      <w:pPr>
        <w:spacing w:line="240" w:lineRule="auto"/>
        <w:jc w:val="both"/>
        <w:rPr>
          <w:rFonts w:ascii="Times New Roman" w:hAnsi="Times New Roman" w:cs="Times New Roman"/>
          <w:noProof/>
          <w:sz w:val="24"/>
          <w:szCs w:val="24"/>
          <w:lang w:val="bg-BG"/>
        </w:rPr>
      </w:pPr>
      <w:r>
        <w:rPr>
          <w:rFonts w:ascii="Times New Roman" w:hAnsi="Times New Roman"/>
          <w:noProof/>
          <w:sz w:val="24"/>
          <w:u w:val="single"/>
          <w:lang w:val="bg-BG"/>
        </w:rPr>
        <w:t>Регламент на ЕС относно козметичните продукти:</w:t>
      </w:r>
      <w:r>
        <w:rPr>
          <w:rFonts w:ascii="Times New Roman" w:hAnsi="Times New Roman"/>
          <w:noProof/>
          <w:sz w:val="24"/>
          <w:lang w:val="bg-BG"/>
        </w:rPr>
        <w:t xml:space="preserve"> Съгласно Регламента на ЕС относно козметичните продукти Комисията трябва да направи </w:t>
      </w:r>
      <w:r>
        <w:rPr>
          <w:rFonts w:ascii="Times New Roman" w:hAnsi="Times New Roman"/>
          <w:i/>
          <w:noProof/>
          <w:sz w:val="24"/>
          <w:lang w:val="bg-BG"/>
        </w:rPr>
        <w:t>„преглед на настоящия регламент по отношение на веществата със свойства, водещи до ендокринни смущения“</w:t>
      </w:r>
      <w:r>
        <w:rPr>
          <w:rStyle w:val="FootnoteReference"/>
          <w:rFonts w:ascii="Times New Roman" w:hAnsi="Times New Roman"/>
          <w:noProof/>
          <w:sz w:val="24"/>
          <w:lang w:val="bg-BG"/>
        </w:rPr>
        <w:footnoteReference w:id="37"/>
      </w:r>
      <w:r>
        <w:rPr>
          <w:rFonts w:ascii="Times New Roman" w:hAnsi="Times New Roman"/>
          <w:i/>
          <w:noProof/>
          <w:sz w:val="24"/>
          <w:lang w:val="bg-BG"/>
        </w:rPr>
        <w:t>.</w:t>
      </w:r>
      <w:r>
        <w:rPr>
          <w:rFonts w:ascii="Times New Roman" w:hAnsi="Times New Roman"/>
          <w:noProof/>
          <w:sz w:val="24"/>
          <w:lang w:val="bg-BG"/>
        </w:rPr>
        <w:t xml:space="preserve"> Този преглед още не е направен. Задачата за извършване на скрининг на определени козметични съставки, която Комисията е възложила на подизпълнители, е почти изпълнена. Комисията ще представи прегледа до края на годината.</w:t>
      </w:r>
    </w:p>
    <w:p>
      <w:pPr>
        <w:spacing w:line="240" w:lineRule="auto"/>
        <w:jc w:val="both"/>
        <w:rPr>
          <w:rFonts w:ascii="Times New Roman" w:hAnsi="Times New Roman" w:cs="Times New Roman"/>
          <w:noProof/>
          <w:sz w:val="24"/>
          <w:szCs w:val="24"/>
          <w:lang w:val="bg-BG"/>
        </w:rPr>
      </w:pPr>
      <w:r>
        <w:rPr>
          <w:rFonts w:ascii="Times New Roman" w:hAnsi="Times New Roman"/>
          <w:noProof/>
          <w:sz w:val="24"/>
          <w:u w:val="single"/>
          <w:lang w:val="bg-BG"/>
        </w:rPr>
        <w:t>REACH:</w:t>
      </w:r>
      <w:r>
        <w:rPr>
          <w:rFonts w:ascii="Times New Roman" w:hAnsi="Times New Roman"/>
          <w:noProof/>
          <w:sz w:val="24"/>
          <w:lang w:val="bg-BG"/>
        </w:rPr>
        <w:t xml:space="preserve"> Разрешаването на химични вещества съгласно регламента REACH може да следва два различни пътя: Където може да се установи праг за безопасност, разрешението се издава на базата на контролиран риск. Където не може да се установи праг на безопасност, разрешението може да се издаде само </w:t>
      </w:r>
      <w:r>
        <w:rPr>
          <w:rFonts w:ascii="Times New Roman" w:hAnsi="Times New Roman"/>
          <w:i/>
          <w:noProof/>
          <w:sz w:val="24"/>
          <w:lang w:val="bg-BG"/>
        </w:rPr>
        <w:t>„ако може да се докаже, че социално-икономическите ползи надхвърлят риска за здравето на човека или околната среда, произтичащ от употребата на веществото, и ако няма подходящи алтернативни вещества или технологии“</w:t>
      </w:r>
      <w:r>
        <w:rPr>
          <w:rStyle w:val="FootnoteReference"/>
          <w:rFonts w:ascii="Times New Roman" w:hAnsi="Times New Roman"/>
          <w:noProof/>
          <w:sz w:val="24"/>
          <w:lang w:val="bg-BG"/>
        </w:rPr>
        <w:footnoteReference w:id="38"/>
      </w:r>
      <w:r>
        <w:rPr>
          <w:rFonts w:ascii="Times New Roman" w:hAnsi="Times New Roman"/>
          <w:i/>
          <w:noProof/>
          <w:sz w:val="24"/>
          <w:lang w:val="bg-BG"/>
        </w:rPr>
        <w:t>.</w:t>
      </w:r>
      <w:r>
        <w:rPr>
          <w:rFonts w:ascii="Times New Roman" w:hAnsi="Times New Roman"/>
          <w:noProof/>
          <w:sz w:val="24"/>
          <w:lang w:val="bg-BG"/>
        </w:rPr>
        <w:t xml:space="preserve"> Комисията е натоварена със задачата да извърши</w:t>
      </w:r>
      <w:r>
        <w:rPr>
          <w:rFonts w:ascii="Times New Roman" w:hAnsi="Times New Roman"/>
          <w:i/>
          <w:noProof/>
          <w:sz w:val="24"/>
          <w:lang w:val="bg-BG"/>
        </w:rPr>
        <w:t xml:space="preserve"> преразглеждане, за да оцени, като вземе предвид най-новите разработки в областта на научните познания, дали да разшири обхвата на член 60, параграф 3 </w:t>
      </w:r>
      <w:r>
        <w:rPr>
          <w:rFonts w:ascii="Times New Roman" w:hAnsi="Times New Roman"/>
          <w:noProof/>
          <w:sz w:val="24"/>
          <w:lang w:val="bg-BG"/>
        </w:rPr>
        <w:t>[разрешаване въз основа на социално-икономическите ползи, вместо на безопасната експозиция]“ за веществата, нарушаващи функциите на ендокринната система</w:t>
      </w:r>
      <w:r>
        <w:rPr>
          <w:rStyle w:val="FootnoteReference"/>
          <w:rFonts w:ascii="Times New Roman" w:hAnsi="Times New Roman"/>
          <w:noProof/>
          <w:sz w:val="24"/>
          <w:lang w:val="bg-BG"/>
        </w:rPr>
        <w:footnoteReference w:id="39"/>
      </w:r>
      <w:r>
        <w:rPr>
          <w:rFonts w:ascii="Times New Roman" w:hAnsi="Times New Roman"/>
          <w:noProof/>
          <w:sz w:val="24"/>
          <w:lang w:val="bg-BG"/>
        </w:rPr>
        <w:t>. След днешното представяне на научните критерии това преразглеждане може да бъде финализирано и Комисията ще го представи до края на годината.</w:t>
      </w:r>
    </w:p>
    <w:p>
      <w:pPr>
        <w:spacing w:line="240" w:lineRule="auto"/>
        <w:jc w:val="both"/>
        <w:rPr>
          <w:rFonts w:ascii="Times New Roman" w:hAnsi="Times New Roman" w:cs="Times New Roman"/>
          <w:noProof/>
          <w:sz w:val="24"/>
          <w:szCs w:val="24"/>
          <w:lang w:val="bg-BG"/>
        </w:rPr>
      </w:pPr>
      <w:r>
        <w:rPr>
          <w:rFonts w:ascii="Times New Roman" w:hAnsi="Times New Roman"/>
          <w:noProof/>
          <w:sz w:val="24"/>
          <w:u w:val="single"/>
          <w:lang w:val="bg-BG"/>
        </w:rPr>
        <w:t>Законодателство относно качеството на водите:</w:t>
      </w:r>
      <w:r>
        <w:rPr>
          <w:rFonts w:ascii="Times New Roman" w:hAnsi="Times New Roman"/>
          <w:noProof/>
          <w:sz w:val="24"/>
          <w:lang w:val="bg-BG"/>
        </w:rPr>
        <w:t xml:space="preserve"> Нормативната уредба относно качеството на водите няколко пъти посочва изрично веществата, нарушаващи функциите на ендокринната система, например като вещества, на които трябва да се обърне специално внимание, тъй като могат да предизвикат замърсяване</w:t>
      </w:r>
      <w:r>
        <w:rPr>
          <w:rStyle w:val="FootnoteReference"/>
          <w:rFonts w:ascii="Times New Roman" w:hAnsi="Times New Roman"/>
          <w:noProof/>
          <w:sz w:val="24"/>
          <w:lang w:val="bg-BG"/>
        </w:rPr>
        <w:footnoteReference w:id="40"/>
      </w:r>
      <w:r>
        <w:rPr>
          <w:rFonts w:ascii="Times New Roman" w:hAnsi="Times New Roman"/>
          <w:noProof/>
          <w:sz w:val="24"/>
          <w:lang w:val="bg-BG"/>
        </w:rPr>
        <w:t>. Комисията трябва периодично да извършва преглед на списъка на приоритетните (опасни) вещества</w:t>
      </w:r>
      <w:r>
        <w:rPr>
          <w:rStyle w:val="FootnoteReference"/>
          <w:rFonts w:ascii="Times New Roman" w:hAnsi="Times New Roman"/>
          <w:noProof/>
          <w:sz w:val="24"/>
          <w:lang w:val="bg-BG"/>
        </w:rPr>
        <w:footnoteReference w:id="41"/>
      </w:r>
      <w:r>
        <w:rPr>
          <w:rFonts w:ascii="Times New Roman" w:hAnsi="Times New Roman"/>
          <w:noProof/>
          <w:sz w:val="24"/>
          <w:lang w:val="bg-BG"/>
        </w:rPr>
        <w:t xml:space="preserve"> и веществата, които да бъдат включени в „списъка за наблюдение“</w:t>
      </w:r>
      <w:r>
        <w:rPr>
          <w:rStyle w:val="FootnoteReference"/>
          <w:rFonts w:ascii="Times New Roman" w:hAnsi="Times New Roman"/>
          <w:noProof/>
          <w:sz w:val="24"/>
          <w:lang w:val="bg-BG"/>
        </w:rPr>
        <w:footnoteReference w:id="42"/>
      </w:r>
      <w:r>
        <w:rPr>
          <w:rFonts w:ascii="Times New Roman" w:hAnsi="Times New Roman"/>
          <w:noProof/>
          <w:sz w:val="24"/>
          <w:lang w:val="bg-BG"/>
        </w:rPr>
        <w:t>, както и на параметрите за качество на водите, предназначени за консумация от човека</w:t>
      </w:r>
      <w:r>
        <w:rPr>
          <w:rStyle w:val="FootnoteReference"/>
          <w:rFonts w:ascii="Times New Roman" w:hAnsi="Times New Roman"/>
          <w:noProof/>
          <w:sz w:val="24"/>
          <w:lang w:val="bg-BG"/>
        </w:rPr>
        <w:footnoteReference w:id="43"/>
      </w:r>
      <w:r>
        <w:rPr>
          <w:rFonts w:ascii="Times New Roman" w:hAnsi="Times New Roman"/>
          <w:noProof/>
          <w:sz w:val="24"/>
          <w:lang w:val="bg-BG"/>
        </w:rPr>
        <w:t>. Съгласно приложимото законодателство тези прегледи са постоянни.</w:t>
      </w:r>
    </w:p>
    <w:p>
      <w:pPr>
        <w:pStyle w:val="Heading1"/>
        <w:spacing w:before="240" w:after="240"/>
        <w:rPr>
          <w:rFonts w:ascii="Times New Roman" w:eastAsia="Times New Roman" w:hAnsi="Times New Roman" w:cs="Times New Roman"/>
          <w:bCs w:val="0"/>
          <w:smallCaps/>
          <w:noProof/>
          <w:color w:val="auto"/>
          <w:sz w:val="24"/>
          <w:szCs w:val="20"/>
          <w:lang w:val="bg-BG"/>
        </w:rPr>
      </w:pPr>
      <w:r>
        <w:rPr>
          <w:rFonts w:ascii="Times New Roman" w:hAnsi="Times New Roman"/>
          <w:smallCaps/>
          <w:noProof/>
          <w:color w:val="auto"/>
          <w:sz w:val="24"/>
          <w:lang w:val="bg-BG"/>
        </w:rPr>
        <w:t xml:space="preserve">6. </w:t>
      </w:r>
      <w:r>
        <w:rPr>
          <w:noProof/>
          <w:lang w:val="bg-BG"/>
        </w:rPr>
        <w:tab/>
      </w:r>
      <w:r>
        <w:rPr>
          <w:rFonts w:ascii="Times New Roman" w:hAnsi="Times New Roman"/>
          <w:smallCaps/>
          <w:noProof/>
          <w:color w:val="auto"/>
          <w:sz w:val="24"/>
          <w:lang w:val="bg-BG"/>
        </w:rPr>
        <w:t>Заключение</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С приемането на критерии за определяне на веществата, нарушаващи функциите на ендокринната система, ще бъдат изпълнени законовите задължения съгласно законодателството относно продуктите за растителна защита и относно биоцидите. След приемането им нормативната уредба на ЕС ще бъде първата регулаторна система по рода си, определяща в законодателството научни критерии за веществата, нарушаващи функциите на ендокринната система.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Понастоящем проектомерките следва да бъдат разгледани чрез съответните процедури и да бъдат финализирани бързо, за да се изпълнят правните изисквания за включване на критериите в законодателството: Комисията призовава държавите членки и институциите на ЕС, участващи в по-нататъшния процес на приемане, да работят в тясно сътрудничество и конструктивно, за да приемат бързо тези текстове.</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Както беше отбелязано по-горе, Комисията също така отправя искане към съответните агенции незабавно да започнат да разглеждат отделните вещества, за да ускорят процеса след влизане в сила на критериите.</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Комисията в близко сътрудничество с регулаторните агенции на ЕС и независимите научни комитети, както и с държавите членки и институциите на ЕС, се ангажира да продължи да гарантира високо равнище на защита на здравето и околната среда от токсикологични рискове и вярва, че двете мерки представляват важна стъпка по отношение на веществата, нарушаващи функциите на ендокринната система.</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789110"/>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COM(1999) 706 окончателен, 17.12.1999 г.</w:t>
      </w:r>
    </w:p>
  </w:footnote>
  <w:footnote w:id="2">
    <w:p>
      <w:pPr>
        <w:pStyle w:val="FootnoteText"/>
        <w:ind w:left="357" w:hanging="357"/>
        <w:jc w:val="both"/>
        <w:rPr>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lang w:val="bg-BG"/>
        </w:rPr>
        <w:tab/>
      </w:r>
      <w:r>
        <w:rPr>
          <w:rFonts w:ascii="Times New Roman" w:hAnsi="Times New Roman"/>
          <w:lang w:val="bg-BG"/>
        </w:rPr>
        <w:t>Това е един от аспектите, включен в Седмата програма за действие за околната среда (Решение № 1386/2013/ЕС на Европейския парламент и на Съвета от 20 ноември 2013 г. относно Общата програма на Европейския съюз за действие за околната среда до 2020 г. „Да живеем добре в пределите на нашата планета“ (ОВ L 354, 28.12.2013 г., стр. 171).</w:t>
      </w:r>
    </w:p>
  </w:footnote>
  <w:footnote w:id="3">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Style w:val="FootnoteReference"/>
          <w:rFonts w:ascii="Times New Roman" w:hAnsi="Times New Roman"/>
          <w:lang w:val="bg-BG"/>
        </w:rPr>
        <w:t xml:space="preserve"> </w:t>
      </w:r>
      <w:r>
        <w:rPr>
          <w:lang w:val="bg-BG"/>
        </w:rPr>
        <w:tab/>
      </w:r>
      <w:r>
        <w:rPr>
          <w:rFonts w:ascii="Times New Roman" w:hAnsi="Times New Roman"/>
          <w:lang w:val="bg-BG"/>
        </w:rPr>
        <w:t>Регламент (ЕС) № 528/2012 на Европейския парламент и на Съвета относно предоставянето на пазара и употребата на биоциди (ОВ L 167, 27.6.2012 г., стр. 1).</w:t>
      </w:r>
    </w:p>
  </w:footnote>
  <w:footnote w:id="4">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Style w:val="FootnoteReference"/>
          <w:rFonts w:ascii="Times New Roman" w:hAnsi="Times New Roman"/>
          <w:lang w:val="bg-BG"/>
        </w:rPr>
        <w:t xml:space="preserve"> </w:t>
      </w:r>
      <w:r>
        <w:rPr>
          <w:lang w:val="bg-BG"/>
        </w:rPr>
        <w:tab/>
      </w:r>
      <w:r>
        <w:rPr>
          <w:rFonts w:ascii="Times New Roman" w:hAnsi="Times New Roman"/>
          <w:lang w:val="bg-BG"/>
        </w:rPr>
        <w:t>Регламент (ЕС) № 1107/2009 на Европейския парламент и на Съвета относно пускането на пазара на продукти за растителна защита (ОВ L 309, 24.11.2009 г., стр. 1).</w:t>
      </w:r>
    </w:p>
  </w:footnote>
  <w:footnote w:id="5">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Член 5, параграф 3 от Регламент (EО) № 528/2012.</w:t>
      </w:r>
    </w:p>
  </w:footnote>
  <w:footnote w:id="6">
    <w:p>
      <w:pPr>
        <w:pStyle w:val="FootnoteText"/>
        <w:ind w:left="357" w:hanging="357"/>
        <w:jc w:val="both"/>
        <w:rPr>
          <w:rFonts w:ascii="Times New Roman" w:hAnsi="Times New Roman"/>
          <w:lang w:val="bg-BG"/>
        </w:rPr>
      </w:pPr>
      <w:r>
        <w:rPr>
          <w:rStyle w:val="FootnoteReference"/>
          <w:lang w:val="bg-BG"/>
        </w:rPr>
        <w:footnoteRef/>
      </w:r>
      <w:r>
        <w:rPr>
          <w:rStyle w:val="FootnoteReference"/>
          <w:lang w:val="bg-BG"/>
        </w:rPr>
        <w:t xml:space="preserve"> </w:t>
      </w:r>
      <w:r>
        <w:rPr>
          <w:lang w:val="bg-BG"/>
        </w:rPr>
        <w:tab/>
      </w:r>
      <w:r>
        <w:rPr>
          <w:rFonts w:ascii="Times New Roman" w:hAnsi="Times New Roman"/>
          <w:lang w:val="bg-BG"/>
        </w:rPr>
        <w:t>Проект на делегиран регламент на Комисията за установяване на научни критерии за определяне на свойствата, нарушаващи функциите на ендокринната система, съгласно Регламент (ЕС) № 528/2012 и проект на регламент на Комисията за установяване на специфични научни критерии за определяне на свойствата, нарушаващи функциите на ендокринната система, и за изменение на приложение II към Регламент (ЕО) 1107/2009.</w:t>
      </w:r>
    </w:p>
  </w:footnote>
  <w:footnote w:id="7">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 контекста на продуктите за растителна защита проектът на текста е гласуван в постоянния комитет (процедура по регулиране с контрол). В контекста на биоцидите проектът на делегирания акт се обсъжда в група експерти от държавите членки. Двете мерки включват Парламента и Съвета въпреки различните процедурни ситуации (проектомярка в процедура по регулиране с контрол и приет делегиран акт). За да се гарантира последователност между двата акта, Комисията ще представи едновременно двата текста на съзаконодателите, за да упражнят те своите контролни функции.</w:t>
      </w:r>
    </w:p>
  </w:footnote>
  <w:footnote w:id="8">
    <w:p>
      <w:pPr>
        <w:pStyle w:val="FootnoteText"/>
        <w:ind w:left="357" w:hanging="357"/>
        <w:jc w:val="both"/>
        <w:rPr>
          <w:lang w:val="bg-BG"/>
        </w:rPr>
      </w:pPr>
      <w:r>
        <w:rPr>
          <w:rStyle w:val="FootnoteReference"/>
          <w:lang w:val="bg-BG"/>
        </w:rPr>
        <w:footnoteRef/>
      </w:r>
      <w:r>
        <w:rPr>
          <w:lang w:val="bg-BG"/>
        </w:rPr>
        <w:t xml:space="preserve"> </w:t>
      </w:r>
      <w:r>
        <w:rPr>
          <w:lang w:val="bg-BG"/>
        </w:rPr>
        <w:tab/>
      </w:r>
      <w:r>
        <w:rPr>
          <w:rFonts w:ascii="Times New Roman" w:hAnsi="Times New Roman"/>
          <w:lang w:val="bg-BG"/>
        </w:rPr>
        <w:t>SWD(2016) 211.</w:t>
      </w:r>
    </w:p>
  </w:footnote>
  <w:footnote w:id="9">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Style w:val="FootnoteReference"/>
          <w:rFonts w:ascii="Times New Roman" w:hAnsi="Times New Roman"/>
          <w:lang w:val="bg-BG"/>
        </w:rPr>
        <w:t xml:space="preserve"> </w:t>
      </w:r>
      <w:r>
        <w:rPr>
          <w:lang w:val="bg-BG"/>
        </w:rPr>
        <w:tab/>
      </w:r>
      <w:r>
        <w:rPr>
          <w:rFonts w:ascii="Times New Roman" w:hAnsi="Times New Roman"/>
          <w:lang w:val="bg-BG"/>
        </w:rPr>
        <w:t>Анализът в оценката на въздействието използва, наред с другото, възложено проучване, в което са подложени на скрининг почти всички одобрени активни вещества за продукти за растителна защита (и активните вещества за биоциди, за които е налична информация на равнище на ЕС), за да се оценят въздействията, свързани с вариантите за критерии за определяне на вещества, нарушаващи функциите на ендокринната система, съгласно регламентите относно продуктите за растителна защита и относно биоцидите. Скринингът е базиран на наличните доказателства (без допълнително изследване) и се е наложило да се извърши в ограничен период. Методологията за скрининг е разработена за целите на тази задача. Поради това резултатите от скрининга не представляват оценки на отделните вещества, които да се извършват по съответните законодателства, и по никакъв начин не предопределят бъдещите решения относно активните вещества, които ще се вземат в съответствие с тези два регламента.</w:t>
      </w:r>
    </w:p>
  </w:footnote>
  <w:footnote w:id="10">
    <w:p>
      <w:pPr>
        <w:pStyle w:val="FootnoteText"/>
        <w:ind w:left="357" w:hanging="357"/>
        <w:jc w:val="both"/>
        <w:rPr>
          <w:lang w:val="bg-BG"/>
        </w:rPr>
      </w:pPr>
      <w:r>
        <w:rPr>
          <w:rStyle w:val="FootnoteReference"/>
          <w:lang w:val="bg-BG"/>
        </w:rPr>
        <w:footnoteRef/>
      </w:r>
      <w:r>
        <w:rPr>
          <w:lang w:val="bg-BG"/>
        </w:rPr>
        <w:tab/>
      </w:r>
      <w:r>
        <w:rPr>
          <w:rFonts w:ascii="Times New Roman" w:hAnsi="Times New Roman"/>
          <w:lang w:val="bg-BG"/>
        </w:rPr>
        <w:t>Най-важните научни доклади и доклади относно политиките на Съвместния изследователски център са докладите на експертната консултативна група относно веществата, нарушаващи функциите на ендокринната система: „Основни научни въпроси, свързани с определянето и характеризирането на веществата, нарушаващи функциите на ендокринната система“ (2013 г.) и „Прагове за веществата, нарушаващи функциите на ендокринната система и свързани несигурности“ (2013 г.) (</w:t>
      </w:r>
      <w:hyperlink r:id="rId1">
        <w:r>
          <w:rPr>
            <w:rStyle w:val="Hyperlink"/>
            <w:rFonts w:ascii="Times New Roman" w:hAnsi="Times New Roman"/>
            <w:lang w:val="bg-BG"/>
          </w:rPr>
          <w:t>https://ec.europa.eu/jrc/en/publication/eur-scientific-and-technical-research-reports/thresholds-endocrine-disrupters-and-related-uncertainties</w:t>
        </w:r>
      </w:hyperlink>
      <w:r>
        <w:rPr>
          <w:rFonts w:ascii="Times New Roman" w:hAnsi="Times New Roman"/>
          <w:lang w:val="bg-BG"/>
        </w:rPr>
        <w:t>; https://ec.europa.eu/jrc/en/publication/eur-scientific-and-technical-research-reports/key-scientific-issues-relevant-identification-and-characterisation-endocrine-disrupting).</w:t>
      </w:r>
    </w:p>
  </w:footnote>
  <w:footnote w:id="11">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Повече информация относно множеството дейности на ЕС е налична на специалния уеб портал на Комисията: </w:t>
      </w:r>
      <w:hyperlink r:id="rId2">
        <w:r>
          <w:rPr>
            <w:rStyle w:val="Hyperlink"/>
            <w:rFonts w:ascii="Times New Roman" w:hAnsi="Times New Roman"/>
            <w:lang w:val="bg-BG"/>
          </w:rPr>
          <w:t>http://ec.europa.eu/health/endocrine_disruptors/policy/index_en.htm</w:t>
        </w:r>
      </w:hyperlink>
      <w:r>
        <w:rPr>
          <w:rFonts w:ascii="Times New Roman" w:hAnsi="Times New Roman"/>
          <w:lang w:val="bg-BG"/>
        </w:rPr>
        <w:t xml:space="preserve">. </w:t>
      </w:r>
    </w:p>
  </w:footnote>
  <w:footnote w:id="12">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Решение по дело T-521/14, Швеция/Комисия.</w:t>
      </w:r>
    </w:p>
  </w:footnote>
  <w:footnote w:id="13">
    <w:p>
      <w:pPr>
        <w:pStyle w:val="FootnoteText"/>
        <w:ind w:left="357" w:hanging="357"/>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 xml:space="preserve"> </w:t>
      </w:r>
      <w:r>
        <w:rPr>
          <w:rFonts w:ascii="Times New Roman" w:hAnsi="Times New Roman" w:cs="Times New Roman"/>
          <w:lang w:val="bg-BG"/>
        </w:rPr>
        <w:tab/>
        <w:t xml:space="preserve">Международна програма за безопасност на химичните вещества към Световната здравна организация, Обща оценка на най-актуалните научни данни за веществата, нарушаващи функциите на ендокринната система, 2002, </w:t>
      </w:r>
      <w:r>
        <w:rPr>
          <w:rFonts w:ascii="Times New Roman" w:hAnsi="Times New Roman" w:cs="Times New Roman"/>
        </w:rPr>
        <w:t>WHO</w:t>
      </w:r>
      <w:r>
        <w:rPr>
          <w:rFonts w:ascii="Times New Roman" w:hAnsi="Times New Roman" w:cs="Times New Roman"/>
          <w:lang w:val="bg-BG"/>
        </w:rPr>
        <w:t>/</w:t>
      </w:r>
      <w:r>
        <w:rPr>
          <w:rFonts w:ascii="Times New Roman" w:hAnsi="Times New Roman" w:cs="Times New Roman"/>
        </w:rPr>
        <w:t>PCS</w:t>
      </w:r>
      <w:r>
        <w:rPr>
          <w:rFonts w:ascii="Times New Roman" w:hAnsi="Times New Roman" w:cs="Times New Roman"/>
          <w:lang w:val="bg-BG"/>
        </w:rPr>
        <w:t>/</w:t>
      </w:r>
      <w:r>
        <w:rPr>
          <w:rFonts w:ascii="Times New Roman" w:hAnsi="Times New Roman" w:cs="Times New Roman"/>
        </w:rPr>
        <w:t>EDC</w:t>
      </w:r>
      <w:r>
        <w:rPr>
          <w:rFonts w:ascii="Times New Roman" w:hAnsi="Times New Roman" w:cs="Times New Roman"/>
          <w:lang w:val="bg-BG"/>
        </w:rPr>
        <w:t>/02.2.</w:t>
      </w:r>
    </w:p>
  </w:footnote>
  <w:footnote w:id="14">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Европейски орган за безопасност на храните, </w:t>
      </w:r>
      <w:r>
        <w:rPr>
          <w:rFonts w:ascii="Times New Roman" w:hAnsi="Times New Roman" w:cs="Times New Roman"/>
          <w:lang w:val="bg-BG"/>
        </w:rPr>
        <w:t>Scientific criteria for identification of endocrine disruptors and appropriateness of existing test methods for assessing effects mediated by these substances on human health and the environment</w:t>
      </w:r>
      <w:r>
        <w:rPr>
          <w:rFonts w:ascii="Times New Roman" w:hAnsi="Times New Roman"/>
          <w:lang w:val="bg-BG"/>
        </w:rPr>
        <w:t xml:space="preserve"> (Научни критерии за определяне на веществата, нарушаващи функциите на ендокринната система, и пригодност на наличните методи за изпитване при оценката на ефекта, предаван от тези вещества върху здравето на човек и околната среда), 28.2.2013 г., EFSA Journal (Бюлетин на ЕОБХ) 2013;11(3):3132, стр. 17. („EFSA(2013)“).</w:t>
      </w:r>
    </w:p>
  </w:footnote>
  <w:footnote w:id="15">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Вж. EFSA(2013), стр. 29.</w:t>
      </w:r>
    </w:p>
  </w:footnote>
  <w:footnote w:id="16">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Световна здравна организация. Международна програма за безопасност на химичните вещества, Принципи и методи за оценка на риска от химичните вещества в храните. (Критерии за хигиена на околната среда), 2009 г.</w:t>
      </w:r>
    </w:p>
  </w:footnote>
  <w:footnote w:id="17">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EFSA(2013), стр. 16.</w:t>
      </w:r>
    </w:p>
  </w:footnote>
  <w:footnote w:id="18">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Понякога се нарича „специфичност на неблагоприятния ефект“.</w:t>
      </w:r>
    </w:p>
  </w:footnote>
  <w:footnote w:id="19">
    <w:p>
      <w:pPr>
        <w:pStyle w:val="FootnoteText"/>
        <w:ind w:left="357" w:hanging="357"/>
        <w:jc w:val="both"/>
        <w:rPr>
          <w:lang w:val="bg-BG"/>
        </w:rPr>
      </w:pPr>
      <w:r>
        <w:rPr>
          <w:rStyle w:val="FootnoteReference"/>
          <w:rFonts w:ascii="Times New Roman" w:hAnsi="Times New Roman"/>
          <w:lang w:val="bg-BG"/>
        </w:rPr>
        <w:footnoteRef/>
      </w:r>
      <w:r>
        <w:rPr>
          <w:rStyle w:val="FootnoteReference"/>
          <w:lang w:val="bg-BG"/>
        </w:rPr>
        <w:t xml:space="preserve"> </w:t>
      </w:r>
      <w:r>
        <w:rPr>
          <w:lang w:val="bg-BG"/>
        </w:rPr>
        <w:tab/>
      </w:r>
      <w:r>
        <w:rPr>
          <w:rFonts w:ascii="Times New Roman" w:hAnsi="Times New Roman"/>
          <w:lang w:val="bg-BG"/>
        </w:rPr>
        <w:t>Такива категории се използват в някои области на нормативната уредба относно химичните вещества. Въпросът не трябва да се бърка с категориите за потенциал (вж. по-долу).</w:t>
      </w:r>
    </w:p>
  </w:footnote>
  <w:footnote w:id="20">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Това не изключва прилагането на категориите като инструмент за приоритизиране, например за допълнително изследване.</w:t>
      </w:r>
    </w:p>
  </w:footnote>
  <w:footnote w:id="21">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 някои изключения, например определени форми на мутагенност и генотоксична канцерогенност. По отношение на тези крайни точки настоящата практика за оценка на риска прилага подход, който не включва прагове, т.е. допуска се, че при липса на експозиция риск няма.</w:t>
      </w:r>
    </w:p>
  </w:footnote>
  <w:footnote w:id="22">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ЕОБХ припомня, че „</w:t>
      </w:r>
      <w:r>
        <w:rPr>
          <w:rFonts w:ascii="Times New Roman" w:hAnsi="Times New Roman"/>
          <w:i/>
          <w:lang w:val="bg-BG"/>
        </w:rPr>
        <w:t>за повечето токсични процеси принципно се допуска, че има праг на експозиция, под който няма да се предизвика биологично значим ефект</w:t>
      </w:r>
      <w:r>
        <w:rPr>
          <w:rFonts w:ascii="Times New Roman" w:hAnsi="Times New Roman"/>
          <w:lang w:val="bg-BG"/>
        </w:rPr>
        <w:t>“ (EFSA(2013), стр. 16).</w:t>
      </w:r>
    </w:p>
  </w:footnote>
  <w:footnote w:id="23">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Като илюстрация може да служи захарта в сравнение с подсладителите. И на двете е присъщо свойството да са сладки. Въпреки това потенциалът на повечето подсладители е много по-висок от тази на захарта, така че е необходима по-ниска доза за постигане на ефект.</w:t>
      </w:r>
    </w:p>
  </w:footnote>
  <w:footnote w:id="24">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Регламент (ЕО) № 1272/2008 на Европейския парламент и на Съвета от 16 декември 2008 г. относно класифицирането, етикетирането и опаковането на вещества и смеси (OВ L353, 31.12.2008 г., стр. 1).</w:t>
      </w:r>
    </w:p>
  </w:footnote>
  <w:footnote w:id="25">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Например вреден/токсичен/смъртоносен при контакт с кожата.</w:t>
      </w:r>
    </w:p>
  </w:footnote>
  <w:footnote w:id="26">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Понастоящем Комисията извършва „проверка на пригодността“ по програмата REFIT, за да оцени по-задълбочено тези аспекти (вж. http://ec.europa.eu/smart-regulation/roadmaps/docs/2015_grow_050_refit_chemicals_outside_reach_en.pdf).</w:t>
      </w:r>
    </w:p>
  </w:footnote>
  <w:footnote w:id="27">
    <w:p>
      <w:pPr>
        <w:pStyle w:val="FootnoteText"/>
        <w:ind w:left="357" w:hanging="357"/>
        <w:jc w:val="both"/>
        <w:rPr>
          <w:lang w:val="bg-BG"/>
        </w:rPr>
      </w:pPr>
      <w:r>
        <w:rPr>
          <w:rStyle w:val="FootnoteReference"/>
          <w:lang w:val="bg-BG"/>
        </w:rPr>
        <w:footnoteRef/>
      </w:r>
      <w:r>
        <w:rPr>
          <w:lang w:val="bg-BG"/>
        </w:rPr>
        <w:t xml:space="preserve"> </w:t>
      </w:r>
      <w:r>
        <w:rPr>
          <w:lang w:val="bg-BG"/>
        </w:rPr>
        <w:tab/>
      </w:r>
      <w:r>
        <w:rPr>
          <w:rFonts w:ascii="Times New Roman" w:hAnsi="Times New Roman"/>
          <w:lang w:val="bg-BG"/>
        </w:rPr>
        <w:t>По принцип основаният на риска подход позволява пропорционалността да се вземе предвид в по-голяма степен при нормативни (т.е. за управление на риска) решения.</w:t>
      </w:r>
    </w:p>
  </w:footnote>
  <w:footnote w:id="28">
    <w:p>
      <w:pPr>
        <w:pStyle w:val="FootnoteText"/>
        <w:ind w:left="357" w:hanging="357"/>
        <w:rPr>
          <w:rFonts w:ascii="Times New Roman" w:hAnsi="Times New Roman" w:cs="Times New Roman"/>
          <w:lang w:val="bg-BG"/>
        </w:rPr>
      </w:pPr>
      <w:r>
        <w:rPr>
          <w:rStyle w:val="FootnoteReference"/>
          <w:lang w:val="bg-BG"/>
        </w:rPr>
        <w:footnoteRef/>
      </w:r>
      <w:r>
        <w:rPr>
          <w:lang w:val="bg-BG"/>
        </w:rPr>
        <w:t xml:space="preserve"> </w:t>
      </w:r>
      <w:r>
        <w:rPr>
          <w:lang w:val="bg-BG"/>
        </w:rPr>
        <w:tab/>
      </w:r>
      <w:r>
        <w:rPr>
          <w:rFonts w:ascii="Times New Roman" w:hAnsi="Times New Roman"/>
          <w:lang w:val="bg-BG"/>
        </w:rPr>
        <w:t>Веществата, нарушаващи функциите на ендокринната система, може да бъдат одобрени с мерки за ограничаване на риска, ако отговарят на строги условия.</w:t>
      </w:r>
    </w:p>
  </w:footnote>
  <w:footnote w:id="29">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EFSA(2013), стр. 47: „</w:t>
      </w:r>
      <w:r>
        <w:rPr>
          <w:rFonts w:ascii="Times New Roman" w:hAnsi="Times New Roman"/>
          <w:i/>
          <w:lang w:val="bg-BG"/>
        </w:rPr>
        <w:t xml:space="preserve">за да предостави информация относно риска и нивото на тревога за целите на решенията за управление на риска, </w:t>
      </w:r>
      <w:r>
        <w:rPr>
          <w:rFonts w:ascii="Times New Roman" w:hAnsi="Times New Roman"/>
          <w:lang w:val="bg-BG"/>
        </w:rPr>
        <w:t>[…]</w:t>
      </w:r>
      <w:r>
        <w:rPr>
          <w:rFonts w:ascii="Times New Roman" w:hAnsi="Times New Roman"/>
          <w:i/>
          <w:lang w:val="bg-BG"/>
        </w:rPr>
        <w:t xml:space="preserve"> оценката на риска (в която се взема предвид опасността и данните/прогнозите за експозицията) използва най-добре наличната информация. Поради това веществата, нарушаващи функциите на ендокринната система, могат да бъдат третирани като повечето други вещества, пораждащи опасения за човешкото здраве и околната среда, т.е. да бъдат предмет на оценка на риска, а не само на оценка на опасността</w:t>
      </w:r>
      <w:r>
        <w:rPr>
          <w:rFonts w:ascii="Times New Roman" w:hAnsi="Times New Roman"/>
          <w:lang w:val="bg-BG"/>
        </w:rPr>
        <w:t>“. Този подход е подкрепен от Научния комитет по безопасност на потребителите, независим научен комитет, който се занимава с нехранителни продукти и консултира Комисията (Меморандум относно веществата, нарушаващи функциите на ендокринната система, 16.12.2014 г. (SCCS/1544/14)).</w:t>
      </w:r>
    </w:p>
  </w:footnote>
  <w:footnote w:id="30">
    <w:p>
      <w:pPr>
        <w:pStyle w:val="FootnoteText"/>
        <w:ind w:left="357" w:hanging="357"/>
        <w:rPr>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lang w:val="bg-BG"/>
        </w:rPr>
        <w:tab/>
      </w:r>
      <w:r>
        <w:rPr>
          <w:rFonts w:ascii="Times New Roman" w:hAnsi="Times New Roman" w:cs="Times New Roman"/>
          <w:lang w:val="bg-BG"/>
        </w:rPr>
        <w:t>Член 78, параграф 1, буква a) от Регламент (ЕО) № 1107/2009.</w:t>
      </w:r>
    </w:p>
  </w:footnote>
  <w:footnote w:id="31">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hyperlink r:id="rId3">
        <w:r>
          <w:rPr>
            <w:rStyle w:val="Hyperlink"/>
            <w:rFonts w:ascii="Times New Roman" w:hAnsi="Times New Roman"/>
            <w:lang w:val="bg-BG"/>
          </w:rPr>
          <w:t>http://echa.europa.eu/candidate-list-table</w:t>
        </w:r>
      </w:hyperlink>
      <w:r>
        <w:rPr>
          <w:rFonts w:ascii="Times New Roman" w:hAnsi="Times New Roman"/>
          <w:lang w:val="bg-BG"/>
        </w:rPr>
        <w:t>.</w:t>
      </w:r>
    </w:p>
  </w:footnote>
  <w:footnote w:id="32">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Примерите са изброени в SCCS/1554/14.</w:t>
      </w:r>
    </w:p>
  </w:footnote>
  <w:footnote w:id="33">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Приложение I към Директива 2008/105/ЕО на Европейския парламент и на Съвета от 16 декември 2008 г. за определяне на стандарти за качество на околната среда в областта на политиката за водите (ОВ L 348, 24.12.2008 г., стр. 84).</w:t>
      </w:r>
    </w:p>
  </w:footnote>
  <w:footnote w:id="34">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Приложение XVII към Регламент (ЕО) № 1907/2006 на Европейския парламент и на Съвета от 18 декември 2016 г. относно регистрацията, оценката, разрешаването и ограничаването на химикали (REACH) (ОВ L 396, 30.12.2006 г., стр. 1).</w:t>
      </w:r>
    </w:p>
  </w:footnote>
  <w:footnote w:id="35">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Тоест токсичност при комбинирана експозиция, наричана понякога „ефект на коктейла“.</w:t>
      </w:r>
    </w:p>
  </w:footnote>
  <w:footnote w:id="36">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Директива 98/24/ЕО на Съвета от 7 април 1998 година за опазване на здравето и безопасността на работниците от рискове, свързани с химични агенти на работното място (ОВ L 131, 5.5.1998 г., стр.11).</w:t>
      </w:r>
    </w:p>
  </w:footnote>
  <w:footnote w:id="37">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Член 15, параграф 4 от Регламент (ЕС) № 1223/2009 на Европейския парламент и на Съвета от 30 ноември 2009 г. относно козметичните продукти (ОВ L 342, 22.12.2009 г., стр. 59).</w:t>
      </w:r>
    </w:p>
  </w:footnote>
  <w:footnote w:id="38">
    <w:p>
      <w:pPr>
        <w:pStyle w:val="FootnoteText"/>
        <w:ind w:left="357" w:hanging="357"/>
        <w:jc w:val="both"/>
        <w:rPr>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Член 60, параграф 4 от Регламент (EО) № 1907/2006 (REACH).</w:t>
      </w:r>
    </w:p>
  </w:footnote>
  <w:footnote w:id="39">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Член 138, параграф 7 от Регламент (EО) № 1907/2006 (REACH).</w:t>
      </w:r>
    </w:p>
  </w:footnote>
  <w:footnote w:id="40">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Например член 2, параграф 31 и точка 4 от приложение VIII към 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w:t>
      </w:r>
    </w:p>
  </w:footnote>
  <w:footnote w:id="41">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Style w:val="FootnoteReference"/>
          <w:rFonts w:ascii="Times New Roman" w:hAnsi="Times New Roman"/>
          <w:lang w:val="bg-BG"/>
        </w:rPr>
        <w:t xml:space="preserve"> </w:t>
      </w:r>
      <w:r>
        <w:rPr>
          <w:lang w:val="bg-BG"/>
        </w:rPr>
        <w:tab/>
      </w:r>
      <w:r>
        <w:rPr>
          <w:rFonts w:ascii="Times New Roman" w:hAnsi="Times New Roman"/>
          <w:lang w:val="bg-BG"/>
        </w:rPr>
        <w:t>Член 16, параграф 4 от Директива 2000/60/EО.</w:t>
      </w:r>
    </w:p>
  </w:footnote>
  <w:footnote w:id="42">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Член 8б, параграф 2 от Директива 2008/105/ЕО на Европейския парламент и на Съвета от 16 декември 2008 г. за определяне на стандарти за качество на околната среда в областта на политиката за водите (ОВ L 348, 24.12.2008 г., стр. 84).</w:t>
      </w:r>
    </w:p>
  </w:footnote>
  <w:footnote w:id="43">
    <w:p>
      <w:pPr>
        <w:pStyle w:val="FootnoteText"/>
        <w:ind w:left="357" w:hanging="357"/>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Член 11, параграф 1 от Директива 98/83/ЕО на Съвета от 3 ноември 1998 г. относно качеството на водите, предназначени за консумация от човека (ОВ L 330, 5.12.1998 г., стр.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EA66E2"/>
    <w:lvl w:ilvl="0">
      <w:start w:val="1"/>
      <w:numFmt w:val="bullet"/>
      <w:lvlText w:val=""/>
      <w:lvlJc w:val="left"/>
      <w:pPr>
        <w:tabs>
          <w:tab w:val="num" w:pos="360"/>
        </w:tabs>
        <w:ind w:left="360" w:hanging="360"/>
      </w:pPr>
      <w:rPr>
        <w:rFonts w:ascii="Symbol" w:hAnsi="Symbol" w:hint="default"/>
      </w:rPr>
    </w:lvl>
  </w:abstractNum>
  <w:abstractNum w:abstractNumId="1">
    <w:nsid w:val="18B7651C"/>
    <w:multiLevelType w:val="hybridMultilevel"/>
    <w:tmpl w:val="81C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0B3C29"/>
    <w:multiLevelType w:val="hybridMultilevel"/>
    <w:tmpl w:val="2F88053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49200B4B"/>
    <w:multiLevelType w:val="hybridMultilevel"/>
    <w:tmpl w:val="8174BD72"/>
    <w:lvl w:ilvl="0" w:tplc="6DBE93AA">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4">
    <w:nsid w:val="6C8E5287"/>
    <w:multiLevelType w:val="hybridMultilevel"/>
    <w:tmpl w:val="A26462C0"/>
    <w:lvl w:ilvl="0" w:tplc="1B3E5D1E">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5">
    <w:nsid w:val="716E4BFA"/>
    <w:multiLevelType w:val="hybridMultilevel"/>
    <w:tmpl w:val="22E86748"/>
    <w:lvl w:ilvl="0" w:tplc="7ADA79A4">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959AFF19F95416786C3F32B25FC647F"/>
    <w:docVar w:name="LW_CROSSREFERENCE" w:val="{SWD(2016) 211 final}_x000b_{SWD(2016) 212 final}"/>
    <w:docVar w:name="LW_DocType" w:val="NORMAL"/>
    <w:docVar w:name="LW_EMISSION" w:val="15.6.2016"/>
    <w:docVar w:name="LW_EMISSION_ISODATE" w:val="2016-06-15"/>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350"/>
    <w:docVar w:name="LW_REF.INTERNE" w:val="&lt;UNUSED&gt;"/>
    <w:docVar w:name="LW_SOUS.TITRE.OBJ" w:val="DRAFT for FAST TRACK ISC"/>
    <w:docVar w:name="LW_SOUS.TITRE.OBJ.CP" w:val="&lt;UNUSED&gt;"/>
    <w:docVar w:name="LW_SUPERTITRE" w:val="&lt;UNUSED&gt;"/>
    <w:docVar w:name="LW_TITRE.OBJ.CP" w:val="\u1086?\u1090?\u1085?\u1086?\u1089?\u1085?\u1086? \u1074?\u1077?\u1097?\u1077?\u1089?\u1090?\u1074?\u1072?\u1090?\u1072?, \u1085?\u1072?\u1088?\u1091?\u1096?\u1072?\u1074?\u1072?\u1097?\u1080? \u1092?\u1091?\u1085?\u1082?\u1094?\u1080?\u1080?\u1090?\u1077? \u1085?\u1072? \u1077?\u1085?\u1076?\u1086?\u1082?\u1088?\u1080?\u1085?\u1085?\u1072?\u1090?\u1072? \u1089?\u1080?\u1089?\u1090?\u1077?\u1084?\u1072?, \u1080? \u1087?\u1088?\u1086?\u1077?\u1082?\u1090?\u1080?\u1090?\u1077? \u1085?\u1072? \u1072?\u1082?\u1090?\u1086?\u1074?\u1077? \u1085?\u1072? \u1050?\u1086?\u1084?\u1080?\u1089?\u1080?\u1103?\u1090?\u1072?, \u1089? \u1082?\u1086?\u1080?\u1090?\u1086? \u1089?\u1077? \u1091?\u1089?\u1090?\u1072?\u1085?\u1086?\u1074?\u1103?\u1074?\u1072?\u1090? \u1085?\u1072?\u1091?\u1095?\u1085?\u1080? \u1082?\u1088?\u1080?\u1090?\u1077?\u1088?\u1080?\u1080? \u1079?\u1072? \u1090?\u1103?\u1093?\u1085?\u1086?\u1090?\u1086? \u1086?\u1087?\u1088?\u1077?\u1076?\u1077?\u1083?\u1103?\u1085?\u1077? \u1074? \u1082?\u1086?\u1085?\u1090?\u1077?\u1082?\u1089?\u1090?\u1072? \u1085?\u1072? \u1079?\u1072?\u1082?\u1086?\u1085?\u1086?\u1076?\u1072?\u1090?\u1077?\u1083?\u1089?\u1090?\u1074?\u1086?\u1090?\u1086? \u1085?\u1072? \u1045?\u1057? \u1086?\u1090?\u1085?\u1086?\u1089?\u1085?\u1086? \u1087?\u1088?\u1086?\u1076?\u1091?\u1082?\u1090?\u1080?\u1090?\u1077? \u1079?\u1072? \u1088?\u1072?\u1089?\u1090?\u1080?\u1090?\u1077?\u1083?\u1085?\u1072? \u1079?\u1072?\u1097?\u1080?\u1090?\u1072? \u1080? \u1073?\u1080?\u1086?\u1094?\u1080?\u1076?\u1080?\u1090?\u1077?"/>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ha.europa.eu/candidate-list-table" TargetMode="External"/><Relationship Id="rId2" Type="http://schemas.openxmlformats.org/officeDocument/2006/relationships/hyperlink" Target="http://ec.europa.eu/health/endocrine_disruptors/policy/index_en.htm" TargetMode="External"/><Relationship Id="rId1" Type="http://schemas.openxmlformats.org/officeDocument/2006/relationships/hyperlink" Target="https://ec.europa.eu/jrc/en/publication/eur-scientific-and-technical-research-reports/thresholds-endocrine-disrupters-and-related-uncertain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2863-19C3-47A9-B982-998CC30A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4171</Words>
  <Characters>26325</Characters>
  <Application>Microsoft Office Word</Application>
  <DocSecurity>0</DocSecurity>
  <Lines>424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2016-06-14T13:34:00Z</cp:lastPrinted>
  <dcterms:created xsi:type="dcterms:W3CDTF">2016-06-21T13:27:00Z</dcterms:created>
  <dcterms:modified xsi:type="dcterms:W3CDTF">2016-06-22T08:25:00Z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