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6B" w:rsidRDefault="000365D7">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5C14AEBAB3A41CA8ABF32B76D87A0BB" style="width:450.6pt;height:361.25pt">
            <v:imagedata r:id="rId9" o:title=""/>
          </v:shape>
        </w:pict>
      </w:r>
    </w:p>
    <w:bookmarkEnd w:id="0"/>
    <w:p w:rsidR="00482ED0" w:rsidRDefault="00482ED0">
      <w:pPr>
        <w:pStyle w:val="Pagedecouverture"/>
        <w:rPr>
          <w:noProof/>
        </w:rPr>
        <w:sectPr w:rsidR="00482ED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82ED0" w:rsidRDefault="00B9309F">
      <w:pPr>
        <w:pStyle w:val="Heading1"/>
        <w:spacing w:before="240" w:after="240"/>
        <w:rPr>
          <w:rFonts w:ascii="Times New Roman" w:eastAsia="Times New Roman" w:hAnsi="Times New Roman" w:cs="Times New Roman"/>
          <w:bCs w:val="0"/>
          <w:smallCaps/>
          <w:noProof/>
          <w:color w:val="auto"/>
          <w:sz w:val="24"/>
          <w:szCs w:val="20"/>
          <w:lang w:val="fr-FR"/>
        </w:rPr>
      </w:pPr>
      <w:r>
        <w:rPr>
          <w:rFonts w:ascii="Times New Roman" w:hAnsi="Times New Roman"/>
          <w:noProof/>
          <w:color w:val="auto"/>
          <w:sz w:val="24"/>
          <w:lang w:val="fr-FR"/>
        </w:rPr>
        <w:lastRenderedPageBreak/>
        <w:t xml:space="preserve">1. </w:t>
      </w:r>
      <w:r>
        <w:rPr>
          <w:noProof/>
          <w:lang w:val="fr-FR"/>
        </w:rPr>
        <w:tab/>
      </w:r>
      <w:r>
        <w:rPr>
          <w:rFonts w:ascii="Times New Roman" w:hAnsi="Times New Roman"/>
          <w:smallCaps/>
          <w:noProof/>
          <w:color w:val="auto"/>
          <w:sz w:val="24"/>
          <w:lang w:val="fr-FR"/>
        </w:rPr>
        <w:t>Introduction</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substances chimiques qui perturbent le système endocrinien (ci-après les </w:t>
      </w:r>
      <w:r>
        <w:rPr>
          <w:rFonts w:ascii="Times New Roman" w:hAnsi="Times New Roman"/>
          <w:noProof/>
          <w:sz w:val="24"/>
          <w:lang w:val="fr-FR"/>
        </w:rPr>
        <w:t>«perturbateurs endocriniens») sont des substances qui altèrent le fonctionnement du système hormonal et ont, par conséquent, des effets indésirables. L'intérêt du public et des responsables politiques pour les perturbateurs endocriniens a grandi à mesure q</w:t>
      </w:r>
      <w:r>
        <w:rPr>
          <w:rFonts w:ascii="Times New Roman" w:hAnsi="Times New Roman"/>
          <w:noProof/>
          <w:sz w:val="24"/>
          <w:lang w:val="fr-FR"/>
        </w:rPr>
        <w:t>u'ils ont pris conscience de leur existence. La Commission a réagi en adoptant une «stratégie concernant les perturbateurs endocriniens» en 1999</w:t>
      </w:r>
      <w:r>
        <w:rPr>
          <w:rStyle w:val="FootnoteReference"/>
          <w:rFonts w:ascii="Times New Roman" w:hAnsi="Times New Roman"/>
          <w:noProof/>
          <w:sz w:val="24"/>
        </w:rPr>
        <w:footnoteReference w:id="2"/>
      </w:r>
      <w:r>
        <w:rPr>
          <w:rFonts w:ascii="Times New Roman" w:hAnsi="Times New Roman"/>
          <w:noProof/>
          <w:sz w:val="24"/>
          <w:lang w:val="fr-FR"/>
        </w:rPr>
        <w:t>. Cette stratégie décrit un certain nombre d'actions à mener au niveau de l'UE et définit les mesures à prendre</w:t>
      </w:r>
      <w:r>
        <w:rPr>
          <w:rFonts w:ascii="Times New Roman" w:hAnsi="Times New Roman"/>
          <w:noProof/>
          <w:sz w:val="24"/>
          <w:lang w:val="fr-FR"/>
        </w:rPr>
        <w:t xml:space="preserve"> à court terme (recherche et coopération internationale), à moyen terme (méthodes d'essai) et à long terme (mesures réglementaires) dans le but général de réduire l'exposition au minimum</w:t>
      </w:r>
      <w:r>
        <w:rPr>
          <w:rStyle w:val="FootnoteReference"/>
          <w:rFonts w:ascii="Times New Roman" w:hAnsi="Times New Roman"/>
          <w:noProof/>
          <w:sz w:val="24"/>
        </w:rPr>
        <w:footnoteReference w:id="3"/>
      </w:r>
      <w:r>
        <w:rPr>
          <w:rFonts w:ascii="Times New Roman" w:hAnsi="Times New Roman"/>
          <w:noProof/>
          <w:sz w:val="24"/>
          <w:lang w:val="fr-FR"/>
        </w:rPr>
        <w:t>.</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Dans les domaines spécifiques des biocides</w:t>
      </w:r>
      <w:r>
        <w:rPr>
          <w:rStyle w:val="FootnoteReference"/>
          <w:rFonts w:ascii="Times New Roman" w:hAnsi="Times New Roman"/>
          <w:noProof/>
          <w:sz w:val="24"/>
        </w:rPr>
        <w:footnoteReference w:id="4"/>
      </w:r>
      <w:r>
        <w:rPr>
          <w:rFonts w:ascii="Times New Roman" w:hAnsi="Times New Roman"/>
          <w:noProof/>
          <w:sz w:val="24"/>
          <w:lang w:val="fr-FR"/>
        </w:rPr>
        <w:t xml:space="preserve"> et des produits phytoph</w:t>
      </w:r>
      <w:r>
        <w:rPr>
          <w:rFonts w:ascii="Times New Roman" w:hAnsi="Times New Roman"/>
          <w:noProof/>
          <w:sz w:val="24"/>
          <w:lang w:val="fr-FR"/>
        </w:rPr>
        <w:t>armaceutiques</w:t>
      </w:r>
      <w:r>
        <w:rPr>
          <w:rStyle w:val="FootnoteReference"/>
          <w:rFonts w:ascii="Times New Roman" w:hAnsi="Times New Roman"/>
          <w:noProof/>
          <w:sz w:val="24"/>
        </w:rPr>
        <w:footnoteReference w:id="5"/>
      </w:r>
      <w:r>
        <w:rPr>
          <w:rFonts w:ascii="Times New Roman" w:hAnsi="Times New Roman"/>
          <w:noProof/>
          <w:sz w:val="24"/>
          <w:lang w:val="fr-FR"/>
        </w:rPr>
        <w:t xml:space="preserve">, la législation définit les conséquences réglementaires pour les perturbateurs endocriniens. Elle impose également à la Commission de déterminer comment les critères applicables aux perturbateurs endocriniens devraient être définis au moyen </w:t>
      </w:r>
      <w:r>
        <w:rPr>
          <w:rFonts w:ascii="Times New Roman" w:hAnsi="Times New Roman"/>
          <w:noProof/>
          <w:sz w:val="24"/>
          <w:lang w:val="fr-FR"/>
        </w:rPr>
        <w:t>d'actes «spécifiant les critères scientifiques pour la détermination des propriétés perturbant le système endocrinien»</w:t>
      </w:r>
      <w:r>
        <w:rPr>
          <w:rStyle w:val="FootnoteReference"/>
          <w:rFonts w:ascii="Times New Roman" w:hAnsi="Times New Roman"/>
          <w:noProof/>
          <w:sz w:val="24"/>
        </w:rPr>
        <w:footnoteReference w:id="6"/>
      </w:r>
      <w:r>
        <w:rPr>
          <w:rFonts w:ascii="Times New Roman" w:hAnsi="Times New Roman"/>
          <w:noProof/>
          <w:sz w:val="24"/>
          <w:lang w:val="fr-FR"/>
        </w:rPr>
        <w:t>. Les produits phytopharmaceutiques protègent les végétaux contre des organismes nuisibles (herbicides ou insecticides utilisés en agricu</w:t>
      </w:r>
      <w:r>
        <w:rPr>
          <w:rFonts w:ascii="Times New Roman" w:hAnsi="Times New Roman"/>
          <w:noProof/>
          <w:sz w:val="24"/>
          <w:lang w:val="fr-FR"/>
        </w:rPr>
        <w:t>lture, par exemple). Les biocides sont utilisés pour contenir et combattre les organismes nuisibles (désinfectants utilisés dans les hôpitaux, par exemple).</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a prêté une attention particulière à la définition de critères pour ces deux groupes </w:t>
      </w:r>
      <w:r>
        <w:rPr>
          <w:rFonts w:ascii="Times New Roman" w:hAnsi="Times New Roman"/>
          <w:noProof/>
          <w:sz w:val="24"/>
          <w:lang w:val="fr-FR"/>
        </w:rPr>
        <w:t>de produits. Il en est résulté deux projets de mesures</w:t>
      </w:r>
      <w:r>
        <w:rPr>
          <w:rStyle w:val="FootnoteReference"/>
          <w:rFonts w:ascii="Times New Roman" w:hAnsi="Times New Roman"/>
          <w:noProof/>
          <w:sz w:val="24"/>
        </w:rPr>
        <w:footnoteReference w:id="7"/>
      </w:r>
      <w:r>
        <w:rPr>
          <w:rFonts w:ascii="Times New Roman" w:hAnsi="Times New Roman"/>
          <w:noProof/>
          <w:sz w:val="24"/>
          <w:lang w:val="fr-FR"/>
        </w:rPr>
        <w:t xml:space="preserve"> qui vont maintenant faire l'objet des procédures établies avec les États membres (experts) et les autres institutions de l'UE avant leur adoption finale par la Commission. Bien que les deux mesures so</w:t>
      </w:r>
      <w:r>
        <w:rPr>
          <w:rFonts w:ascii="Times New Roman" w:hAnsi="Times New Roman"/>
          <w:noProof/>
          <w:sz w:val="24"/>
          <w:lang w:val="fr-FR"/>
        </w:rPr>
        <w:t>ient soumises à des procédures différentes, l'examen de la Commission a porté sur les deux groupes de produits et les deux dossiers progresseront en parallèle</w:t>
      </w:r>
      <w:r>
        <w:rPr>
          <w:rStyle w:val="FootnoteReference"/>
          <w:rFonts w:ascii="Times New Roman" w:hAnsi="Times New Roman"/>
          <w:noProof/>
          <w:sz w:val="24"/>
        </w:rPr>
        <w:footnoteReference w:id="8"/>
      </w:r>
      <w:r>
        <w:rPr>
          <w:rFonts w:ascii="Times New Roman" w:hAnsi="Times New Roman"/>
          <w:noProof/>
          <w:sz w:val="24"/>
          <w:lang w:val="fr-FR"/>
        </w:rPr>
        <w:t>.</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présente communication présente les décisions, fondées sur des données scientifiques, sur lesquelles reposent les deux projets de mesures et s'accompagne d'une analyse d'impact, qui expose l'état actuel de la science en ce qui concerne les différents cr</w:t>
      </w:r>
      <w:r>
        <w:rPr>
          <w:rFonts w:ascii="Times New Roman" w:hAnsi="Times New Roman"/>
          <w:noProof/>
          <w:sz w:val="24"/>
          <w:lang w:val="fr-FR"/>
        </w:rPr>
        <w:t xml:space="preserve">itères permettant </w:t>
      </w:r>
      <w:r>
        <w:rPr>
          <w:rFonts w:ascii="Times New Roman" w:hAnsi="Times New Roman"/>
          <w:noProof/>
          <w:sz w:val="24"/>
          <w:lang w:val="fr-FR"/>
        </w:rPr>
        <w:lastRenderedPageBreak/>
        <w:t>d'identifier les perturbateurs endocriniens et fournit des informations sur les conséquences possibles</w:t>
      </w:r>
      <w:r>
        <w:rPr>
          <w:rStyle w:val="FootnoteReference"/>
          <w:rFonts w:ascii="Times New Roman" w:hAnsi="Times New Roman"/>
          <w:noProof/>
          <w:sz w:val="24"/>
        </w:rPr>
        <w:footnoteReference w:id="9"/>
      </w:r>
      <w:r>
        <w:rPr>
          <w:rFonts w:ascii="Times New Roman" w:hAnsi="Times New Roman"/>
          <w:noProof/>
          <w:sz w:val="24"/>
          <w:lang w:val="fr-FR"/>
        </w:rPr>
        <w:t xml:space="preserve">. Cette analyse d’impact repose sur un examen préliminaire des substances actives approuvées pour les produits phytopharmaceutiques et </w:t>
      </w:r>
      <w:r>
        <w:rPr>
          <w:rFonts w:ascii="Times New Roman" w:hAnsi="Times New Roman"/>
          <w:noProof/>
          <w:sz w:val="24"/>
          <w:lang w:val="fr-FR"/>
        </w:rPr>
        <w:t xml:space="preserve">des biocides pour lesquels des informations sont disponibles au niveau de l’UE. Elle ne constitue donc pas une évaluation des différentes substances au regard de la législation qui s'y applique (les règlements couvrant les produits phytopharmaceutiques et </w:t>
      </w:r>
      <w:r>
        <w:rPr>
          <w:rFonts w:ascii="Times New Roman" w:hAnsi="Times New Roman"/>
          <w:noProof/>
          <w:sz w:val="24"/>
          <w:lang w:val="fr-FR"/>
        </w:rPr>
        <w:t>les produits biocides)</w:t>
      </w:r>
      <w:r>
        <w:rPr>
          <w:rStyle w:val="FootnoteReference"/>
          <w:rFonts w:ascii="Times New Roman" w:hAnsi="Times New Roman"/>
          <w:noProof/>
          <w:sz w:val="24"/>
        </w:rPr>
        <w:footnoteReference w:id="10"/>
      </w:r>
      <w:r>
        <w:rPr>
          <w:rFonts w:ascii="Times New Roman" w:hAnsi="Times New Roman"/>
          <w:noProof/>
          <w:sz w:val="24"/>
          <w:lang w:val="fr-FR"/>
        </w:rPr>
        <w:t>.</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Dans la présente communication, la Commission présente les points pour lesquels elle est parvenue à une conclusion et les replace dans un contexte plus large, tout en soulignant que certains aspects du débat ne relèvent pas directe</w:t>
      </w:r>
      <w:r>
        <w:rPr>
          <w:rFonts w:ascii="Times New Roman" w:hAnsi="Times New Roman"/>
          <w:noProof/>
          <w:sz w:val="24"/>
          <w:lang w:val="fr-FR"/>
        </w:rPr>
        <w:t>ment de la tâche spécifique qui lui incombe, à savoir la définition de critères permettant d'établir ce qu'est et ce que n'est pas un perturbateur endocrinien (voir la section 2). Elle expose ce qu'implique la définition de critères pour les produits phyto</w:t>
      </w:r>
      <w:r>
        <w:rPr>
          <w:rFonts w:ascii="Times New Roman" w:hAnsi="Times New Roman"/>
          <w:noProof/>
          <w:sz w:val="24"/>
          <w:lang w:val="fr-FR"/>
        </w:rPr>
        <w:t>pharmaceutiques et les biocides (section 3) et d'autres parties du cadre réglementaires de l'UE (section 4) et rappelle ses autres actions, en cours ou en attente, dans le domaine des perturbateurs endocriniens (section 5).</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conclusions de la Commission</w:t>
      </w:r>
      <w:r>
        <w:rPr>
          <w:rFonts w:ascii="Times New Roman" w:hAnsi="Times New Roman"/>
          <w:noProof/>
          <w:sz w:val="24"/>
          <w:lang w:val="fr-FR"/>
        </w:rPr>
        <w:t xml:space="preserve"> reposent sur les travaux menés avec les États membres, sur les contributions des agences de réglementation de l'UE, des comités scientifiques indépendants chargés de la conseiller et de son organisme scientifique interne (le Centre commun de recherche</w:t>
      </w:r>
      <w:r>
        <w:rPr>
          <w:rStyle w:val="FootnoteReference"/>
          <w:rFonts w:ascii="Times New Roman" w:hAnsi="Times New Roman"/>
          <w:noProof/>
          <w:sz w:val="24"/>
        </w:rPr>
        <w:footnoteReference w:id="11"/>
      </w:r>
      <w:r>
        <w:rPr>
          <w:rFonts w:ascii="Times New Roman" w:hAnsi="Times New Roman"/>
          <w:noProof/>
          <w:sz w:val="24"/>
          <w:lang w:val="fr-FR"/>
        </w:rPr>
        <w:t xml:space="preserve">), </w:t>
      </w:r>
      <w:r>
        <w:rPr>
          <w:rFonts w:ascii="Times New Roman" w:hAnsi="Times New Roman"/>
          <w:noProof/>
          <w:sz w:val="24"/>
          <w:lang w:val="fr-FR"/>
        </w:rPr>
        <w:t>ainsi que sur les résultats de la coopération multilatérale et bilatérale en matière scientifique et réglementaire avec les pays tiers et des nombreux contacts qu'elle entretient avec les parties intéressées depuis une quinzaine d'années</w:t>
      </w:r>
      <w:r>
        <w:rPr>
          <w:rStyle w:val="FootnoteReference"/>
          <w:rFonts w:ascii="Times New Roman" w:hAnsi="Times New Roman"/>
          <w:noProof/>
          <w:sz w:val="24"/>
        </w:rPr>
        <w:footnoteReference w:id="12"/>
      </w:r>
      <w:r>
        <w:rPr>
          <w:rFonts w:ascii="Times New Roman" w:hAnsi="Times New Roman"/>
          <w:noProof/>
          <w:sz w:val="24"/>
          <w:lang w:val="fr-FR"/>
        </w:rPr>
        <w:t>.</w:t>
      </w:r>
    </w:p>
    <w:p w:rsidR="00482ED0" w:rsidRDefault="00B9309F">
      <w:pPr>
        <w:spacing w:after="3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Ces discussions </w:t>
      </w:r>
      <w:r>
        <w:rPr>
          <w:rFonts w:ascii="Times New Roman" w:hAnsi="Times New Roman"/>
          <w:noProof/>
          <w:sz w:val="24"/>
          <w:lang w:val="fr-FR"/>
        </w:rPr>
        <w:t>ont révélé la complexité de la question, complexité dont témoigne également le fait qu'aucun pays n'a jusqu'ici adopté de critères scientifiques juridiquement contraignants pour déterminer ce qu’est un perturbateur endocrinien. Dans ce contexte, la Commiss</w:t>
      </w:r>
      <w:r>
        <w:rPr>
          <w:rFonts w:ascii="Times New Roman" w:hAnsi="Times New Roman"/>
          <w:noProof/>
          <w:sz w:val="24"/>
          <w:lang w:val="fr-FR"/>
        </w:rPr>
        <w:t>ion a minutieusement préparé les mesures, mais n'a pas réussi à terminer ses travaux préparatoires à temps pour respecter le délai légal de décembre 2013. À la suite d'un arrêt rendu par le Tribunal de l'Union européenne en décembre 2015</w:t>
      </w:r>
      <w:r>
        <w:rPr>
          <w:rStyle w:val="FootnoteReference"/>
          <w:rFonts w:ascii="Times New Roman" w:hAnsi="Times New Roman"/>
          <w:noProof/>
          <w:sz w:val="24"/>
        </w:rPr>
        <w:footnoteReference w:id="13"/>
      </w:r>
      <w:r>
        <w:rPr>
          <w:rFonts w:ascii="Times New Roman" w:hAnsi="Times New Roman"/>
          <w:noProof/>
          <w:sz w:val="24"/>
          <w:lang w:val="fr-FR"/>
        </w:rPr>
        <w:t xml:space="preserve">, la Commission a </w:t>
      </w:r>
      <w:r>
        <w:rPr>
          <w:rFonts w:ascii="Times New Roman" w:hAnsi="Times New Roman"/>
          <w:noProof/>
          <w:sz w:val="24"/>
          <w:lang w:val="fr-FR"/>
        </w:rPr>
        <w:t>réaffirmé la volonté sans équivoque des colégislateurs de l'UE de finaliser les travaux en cours, qui étaient alors près de s'achever, et de présenter les critères avant l'été 2016.</w:t>
      </w:r>
    </w:p>
    <w:p w:rsidR="00482ED0" w:rsidRDefault="00B9309F">
      <w:pPr>
        <w:pStyle w:val="Heading1"/>
        <w:spacing w:before="240" w:after="240"/>
        <w:ind w:left="480" w:hanging="480"/>
        <w:rPr>
          <w:rFonts w:ascii="Times New Roman" w:eastAsia="Times New Roman" w:hAnsi="Times New Roman" w:cs="Times New Roman"/>
          <w:bCs w:val="0"/>
          <w:smallCaps/>
          <w:noProof/>
          <w:color w:val="auto"/>
          <w:sz w:val="24"/>
          <w:szCs w:val="20"/>
          <w:lang w:val="fr-FR"/>
        </w:rPr>
      </w:pPr>
      <w:r>
        <w:rPr>
          <w:rFonts w:ascii="Times New Roman" w:hAnsi="Times New Roman"/>
          <w:smallCaps/>
          <w:noProof/>
          <w:color w:val="auto"/>
          <w:sz w:val="24"/>
          <w:lang w:val="fr-FR"/>
        </w:rPr>
        <w:lastRenderedPageBreak/>
        <w:t xml:space="preserve">2. </w:t>
      </w:r>
      <w:r>
        <w:rPr>
          <w:noProof/>
          <w:lang w:val="fr-FR"/>
        </w:rPr>
        <w:tab/>
      </w:r>
      <w:r>
        <w:rPr>
          <w:rFonts w:ascii="Times New Roman" w:hAnsi="Times New Roman"/>
          <w:smallCaps/>
          <w:noProof/>
          <w:color w:val="auto"/>
          <w:sz w:val="24"/>
          <w:lang w:val="fr-FR"/>
        </w:rPr>
        <w:t xml:space="preserve">Débat sur les critères permettant de déterminer ce qu'est un </w:t>
      </w:r>
      <w:r>
        <w:rPr>
          <w:rFonts w:ascii="Times New Roman" w:hAnsi="Times New Roman"/>
          <w:smallCaps/>
          <w:noProof/>
          <w:color w:val="auto"/>
          <w:sz w:val="24"/>
          <w:lang w:val="fr-FR"/>
        </w:rPr>
        <w:t>perturbateur endocrinien et conclusions de la Commission</w:t>
      </w:r>
    </w:p>
    <w:p w:rsidR="00482ED0" w:rsidRDefault="00B9309F">
      <w:pPr>
        <w:spacing w:line="24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Un certain nombre de questions scientifiques essentielles ont été examinées et débattues et certaines - pas toutes - ont une incidence directe sur les projets de mesures concernant les produits phyto</w:t>
      </w:r>
      <w:r>
        <w:rPr>
          <w:rFonts w:ascii="Times New Roman" w:hAnsi="Times New Roman"/>
          <w:noProof/>
          <w:sz w:val="24"/>
          <w:lang w:val="fr-FR"/>
        </w:rPr>
        <w:t>pharmaceutiques et les produits biocides. Plusieurs n'ont pas uniquement trait aux perturbateurs endocriniens et relèvent d'un débat plus général sur la toxicologie.</w:t>
      </w:r>
    </w:p>
    <w:p w:rsidR="00482ED0" w:rsidRDefault="00B9309F">
      <w:pPr>
        <w:spacing w:line="240" w:lineRule="auto"/>
        <w:jc w:val="both"/>
        <w:rPr>
          <w:rFonts w:ascii="Times New Roman" w:eastAsia="Times New Roman" w:hAnsi="Times New Roman" w:cs="Times New Roman"/>
          <w:b/>
          <w:i/>
          <w:noProof/>
          <w:sz w:val="24"/>
          <w:szCs w:val="20"/>
          <w:lang w:val="fr-FR"/>
        </w:rPr>
      </w:pPr>
      <w:r>
        <w:rPr>
          <w:rFonts w:ascii="Times New Roman" w:hAnsi="Times New Roman"/>
          <w:b/>
          <w:i/>
          <w:noProof/>
          <w:sz w:val="24"/>
          <w:lang w:val="fr-FR"/>
        </w:rPr>
        <w:t>Qu'est-ce qu'un perturbateur endocrinien?</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En 2002, le Programme international sur la sécur</w:t>
      </w:r>
      <w:r>
        <w:rPr>
          <w:rFonts w:ascii="Times New Roman" w:hAnsi="Times New Roman"/>
          <w:noProof/>
          <w:sz w:val="24"/>
          <w:lang w:val="fr-FR"/>
        </w:rPr>
        <w:t xml:space="preserve">ité des substances chimiques, programme mené conjointement par diverses agences des Nations unies, notamment par l’Organisation mondiale de la santé, a donné une définition du perturbateur endocrinien qui fait autorité, à savoir </w:t>
      </w:r>
      <w:r>
        <w:rPr>
          <w:rFonts w:ascii="Times New Roman" w:hAnsi="Times New Roman"/>
          <w:i/>
          <w:noProof/>
          <w:sz w:val="24"/>
          <w:lang w:val="fr-FR"/>
        </w:rPr>
        <w:t>une substance ou un mélange</w:t>
      </w:r>
      <w:r>
        <w:rPr>
          <w:rFonts w:ascii="Times New Roman" w:hAnsi="Times New Roman"/>
          <w:i/>
          <w:noProof/>
          <w:sz w:val="24"/>
          <w:lang w:val="fr-FR"/>
        </w:rPr>
        <w:t xml:space="preserve"> exogène altérant les fonctions du système endocrinien et induisant de ce fait des effets indésirables sur la santé d'un organisme intact, de ses descendants ou au niveau des (sous-)populations</w:t>
      </w:r>
      <w:r>
        <w:rPr>
          <w:rStyle w:val="FootnoteReference"/>
          <w:rFonts w:ascii="Times New Roman" w:hAnsi="Times New Roman"/>
          <w:noProof/>
          <w:sz w:val="24"/>
        </w:rPr>
        <w:footnoteReference w:id="14"/>
      </w:r>
      <w:r>
        <w:rPr>
          <w:rFonts w:ascii="Times New Roman" w:hAnsi="Times New Roman"/>
          <w:noProof/>
          <w:sz w:val="24"/>
          <w:lang w:val="fr-FR"/>
        </w:rPr>
        <w:t xml:space="preserve">. Cette définition avait ceci de nouveau qu'elle introduisait </w:t>
      </w:r>
      <w:r>
        <w:rPr>
          <w:rFonts w:ascii="Times New Roman" w:hAnsi="Times New Roman"/>
          <w:noProof/>
          <w:sz w:val="24"/>
          <w:lang w:val="fr-FR"/>
        </w:rPr>
        <w:t>un deuxième élément. L’approche généralement adoptée pour définir la toxicité des substances chimiques repose sur les «effets», c'est-à-dire sur la question de savoir si ces substances ont un effet indésirable. Le nouvel élément supplémentaire est la notio</w:t>
      </w:r>
      <w:r>
        <w:rPr>
          <w:rFonts w:ascii="Times New Roman" w:hAnsi="Times New Roman"/>
          <w:noProof/>
          <w:sz w:val="24"/>
          <w:lang w:val="fr-FR"/>
        </w:rPr>
        <w:t>n de «mode d’action», c'est-à-dire la manière dont une substance chimique exerce ses effets (voir le graphique).</w:t>
      </w:r>
    </w:p>
    <w:p w:rsidR="00482ED0" w:rsidRDefault="00B9309F">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Graphique</w:t>
      </w:r>
    </w:p>
    <w:p w:rsidR="00482ED0" w:rsidRDefault="00B9309F">
      <w:pPr>
        <w:spacing w:line="240" w:lineRule="auto"/>
        <w:jc w:val="center"/>
        <w:rPr>
          <w:rFonts w:ascii="Times New Roman" w:hAnsi="Times New Roman" w:cs="Times New Roman"/>
          <w:b/>
          <w:noProof/>
          <w:sz w:val="24"/>
          <w:szCs w:val="24"/>
          <w:lang w:val="fr-FR"/>
        </w:rPr>
      </w:pPr>
      <w:r>
        <w:rPr>
          <w:noProof/>
          <w:lang w:eastAsia="en-GB"/>
        </w:rPr>
        <w:drawing>
          <wp:inline distT="0" distB="0" distL="0" distR="0" wp14:anchorId="114C22DC" wp14:editId="30E214E9">
            <wp:extent cx="3432401" cy="1656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2401" cy="1656000"/>
                    </a:xfrm>
                    <a:prstGeom prst="rect">
                      <a:avLst/>
                    </a:prstGeom>
                    <a:noFill/>
                    <a:ln>
                      <a:noFill/>
                    </a:ln>
                  </pic:spPr>
                </pic:pic>
              </a:graphicData>
            </a:graphic>
          </wp:inline>
        </w:drawing>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projet de critères scientifiques présenté maintenant vise à introduire sous une forme juridique, outre les effets indésirables, </w:t>
      </w:r>
      <w:r>
        <w:rPr>
          <w:rFonts w:ascii="Times New Roman" w:hAnsi="Times New Roman"/>
          <w:noProof/>
          <w:sz w:val="24"/>
          <w:lang w:val="fr-FR"/>
        </w:rPr>
        <w:t>cette notion de «mode d'action endocrinien» comme l'un des éléments à prendre en compte pour déterminer ce qu'est un perturbateur endocrinien dans les deux groupes de produits concernés.</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Plus spécifiquement, selon les critères, un mode d'action endocrinien</w:t>
      </w:r>
      <w:r>
        <w:rPr>
          <w:rFonts w:ascii="Times New Roman" w:hAnsi="Times New Roman"/>
          <w:noProof/>
          <w:sz w:val="24"/>
          <w:lang w:val="fr-FR"/>
        </w:rPr>
        <w:t xml:space="preserve"> est </w:t>
      </w:r>
      <w:r>
        <w:rPr>
          <w:rFonts w:ascii="Times New Roman" w:hAnsi="Times New Roman"/>
          <w:i/>
          <w:noProof/>
          <w:sz w:val="24"/>
          <w:lang w:val="fr-FR"/>
        </w:rPr>
        <w:t>la capacité inhérente d'une substance à interagir ou à interférer avec un ou plusieurs composants du système endocrinien</w:t>
      </w:r>
      <w:r>
        <w:rPr>
          <w:rFonts w:ascii="Times New Roman" w:hAnsi="Times New Roman"/>
          <w:noProof/>
          <w:sz w:val="24"/>
          <w:lang w:val="fr-FR"/>
        </w:rPr>
        <w:t xml:space="preserve">, sans nécessairement générer d'effet indésirable. Conformément à l'avis de l'Autorité européenne de sécurité des aliments (EFSA), </w:t>
      </w:r>
      <w:r>
        <w:rPr>
          <w:rFonts w:ascii="Times New Roman" w:hAnsi="Times New Roman"/>
          <w:noProof/>
          <w:sz w:val="24"/>
          <w:lang w:val="fr-FR"/>
        </w:rPr>
        <w:t>les critères précisent aussi qu'un mode d'action endocrinien ne représente pas en soi un danger (éco)toxicologique</w:t>
      </w:r>
      <w:r>
        <w:rPr>
          <w:rStyle w:val="FootnoteReference"/>
          <w:rFonts w:ascii="Times New Roman" w:hAnsi="Times New Roman"/>
          <w:noProof/>
          <w:sz w:val="24"/>
        </w:rPr>
        <w:footnoteReference w:id="15"/>
      </w:r>
      <w:r>
        <w:rPr>
          <w:rFonts w:ascii="Times New Roman" w:hAnsi="Times New Roman"/>
          <w:noProof/>
          <w:sz w:val="24"/>
          <w:lang w:val="fr-FR"/>
        </w:rPr>
        <w:t>.</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À l’heure actuelle, les discussions sur le mode d'action endocrinien se concentrent sur les systèmes hormonaux œstrogénique, androgénique e</w:t>
      </w:r>
      <w:r>
        <w:rPr>
          <w:rFonts w:ascii="Times New Roman" w:hAnsi="Times New Roman"/>
          <w:noProof/>
          <w:sz w:val="24"/>
          <w:lang w:val="fr-FR"/>
        </w:rPr>
        <w:t>t thyroïdien et sur la stéroïdogenèse, car ce sont les seuls domaines pour lesquels il existe des essais standardisés</w:t>
      </w:r>
      <w:r>
        <w:rPr>
          <w:rStyle w:val="FootnoteReference"/>
          <w:rFonts w:ascii="Times New Roman" w:hAnsi="Times New Roman"/>
          <w:noProof/>
          <w:sz w:val="24"/>
        </w:rPr>
        <w:footnoteReference w:id="16"/>
      </w:r>
      <w:r>
        <w:rPr>
          <w:rFonts w:ascii="Times New Roman" w:hAnsi="Times New Roman"/>
          <w:noProof/>
          <w:sz w:val="24"/>
          <w:lang w:val="fr-FR"/>
        </w:rPr>
        <w:t>. Toutefois, pour pouvoir s’adapter aux développements scientifiques futurs, les projets de mesures ne se limitent pas à ces systèmes horm</w:t>
      </w:r>
      <w:r>
        <w:rPr>
          <w:rFonts w:ascii="Times New Roman" w:hAnsi="Times New Roman"/>
          <w:noProof/>
          <w:sz w:val="24"/>
          <w:lang w:val="fr-FR"/>
        </w:rPr>
        <w:t>onaux.</w:t>
      </w:r>
    </w:p>
    <w:p w:rsidR="00482ED0" w:rsidRDefault="00B9309F">
      <w:pPr>
        <w:spacing w:line="240" w:lineRule="auto"/>
        <w:jc w:val="both"/>
        <w:rPr>
          <w:rFonts w:ascii="Times New Roman" w:hAnsi="Times New Roman" w:cs="Times New Roman"/>
          <w:b/>
          <w:i/>
          <w:noProof/>
          <w:sz w:val="24"/>
          <w:szCs w:val="24"/>
          <w:lang w:val="fr-FR"/>
        </w:rPr>
      </w:pPr>
      <w:r>
        <w:rPr>
          <w:rFonts w:ascii="Times New Roman" w:hAnsi="Times New Roman"/>
          <w:b/>
          <w:i/>
          <w:noProof/>
          <w:sz w:val="24"/>
          <w:lang w:val="fr-FR"/>
        </w:rPr>
        <w:t xml:space="preserve">Définition d'«effet indésirable» </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L'une des questions que les critères devaient aborder était la définition d'«effet indésirable». La Commission utilisera la définition donnée par le Programme international sur la sécurité des substances chimiques, </w:t>
      </w:r>
      <w:r>
        <w:rPr>
          <w:rFonts w:ascii="Times New Roman" w:hAnsi="Times New Roman"/>
          <w:noProof/>
          <w:sz w:val="24"/>
          <w:lang w:val="fr-FR"/>
        </w:rPr>
        <w:t xml:space="preserve">à savoir un </w:t>
      </w:r>
      <w:r>
        <w:rPr>
          <w:rFonts w:ascii="Times New Roman" w:hAnsi="Times New Roman"/>
          <w:i/>
          <w:noProof/>
          <w:sz w:val="24"/>
          <w:lang w:val="fr-FR"/>
        </w:rPr>
        <w:t>changement dans la morphologie, la physiologie, la croissance, l'évolution, la reproduction ou la durée de vie d'un organisme, d'un système ou d'une (sous-)population qui se traduit par une altération d'une capacité fonctionnelle ou d'une capac</w:t>
      </w:r>
      <w:r>
        <w:rPr>
          <w:rFonts w:ascii="Times New Roman" w:hAnsi="Times New Roman"/>
          <w:i/>
          <w:noProof/>
          <w:sz w:val="24"/>
          <w:lang w:val="fr-FR"/>
        </w:rPr>
        <w:t>ité à compenser un stress supplémentaire ou par une augmentation de la sensibilité aux effets indésirables d'autres influences</w:t>
      </w:r>
      <w:r>
        <w:rPr>
          <w:rStyle w:val="FootnoteReference"/>
          <w:rFonts w:ascii="Times New Roman" w:hAnsi="Times New Roman"/>
          <w:noProof/>
          <w:sz w:val="24"/>
        </w:rPr>
        <w:footnoteReference w:id="17"/>
      </w:r>
      <w:r>
        <w:rPr>
          <w:rFonts w:ascii="Times New Roman" w:hAnsi="Times New Roman"/>
          <w:noProof/>
          <w:sz w:val="24"/>
          <w:lang w:val="fr-FR"/>
        </w:rPr>
        <w:t>.</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Dans la pratique, la difficulté consiste à évaluer le caractère potentiellement indésirable d'un effet au niveau infra-organiqu</w:t>
      </w:r>
      <w:r>
        <w:rPr>
          <w:rFonts w:ascii="Times New Roman" w:hAnsi="Times New Roman"/>
          <w:noProof/>
          <w:sz w:val="24"/>
          <w:lang w:val="fr-FR"/>
        </w:rPr>
        <w:t xml:space="preserve">e (c'est-à-dire au niveau moléculaire ou cellulaire). En 2013, l'EFSA était parvenue à la conclusion qu'il fallait opérer une distinction en fonction de l'importance du changement observé: </w:t>
      </w:r>
      <w:r>
        <w:rPr>
          <w:rFonts w:ascii="Times New Roman" w:hAnsi="Times New Roman"/>
          <w:i/>
          <w:noProof/>
          <w:sz w:val="24"/>
          <w:lang w:val="fr-FR"/>
        </w:rPr>
        <w:t>un jugement d'expert sera donc nécessaire pour évaluer au cas par c</w:t>
      </w:r>
      <w:r>
        <w:rPr>
          <w:rFonts w:ascii="Times New Roman" w:hAnsi="Times New Roman"/>
          <w:i/>
          <w:noProof/>
          <w:sz w:val="24"/>
          <w:lang w:val="fr-FR"/>
        </w:rPr>
        <w:t>as la pertinence toxicologique des changements [...]. En général, des fluctuations passagères, contradictoires et mineures au niveau biochimique et moléculaire peuvent être considérées comme adaptatives (c'est-à-dire sans effet indésirable), tandis que des</w:t>
      </w:r>
      <w:r>
        <w:rPr>
          <w:rFonts w:ascii="Times New Roman" w:hAnsi="Times New Roman"/>
          <w:i/>
          <w:noProof/>
          <w:sz w:val="24"/>
          <w:lang w:val="fr-FR"/>
        </w:rPr>
        <w:t xml:space="preserve"> changements profonds, cohérents et permanents au niveau cellulaire ou au niveau d'un organisme entraînant une pathologie ou une insuffisance fonctionnelle in vivo, ainsi qu'une altération du rythme de développement, peuvent être considérés comme indésirab</w:t>
      </w:r>
      <w:r>
        <w:rPr>
          <w:rFonts w:ascii="Times New Roman" w:hAnsi="Times New Roman"/>
          <w:i/>
          <w:noProof/>
          <w:sz w:val="24"/>
          <w:lang w:val="fr-FR"/>
        </w:rPr>
        <w:t>les</w:t>
      </w:r>
      <w:r>
        <w:rPr>
          <w:rStyle w:val="FootnoteReference"/>
          <w:rFonts w:ascii="Times New Roman" w:hAnsi="Times New Roman"/>
          <w:noProof/>
          <w:sz w:val="24"/>
        </w:rPr>
        <w:footnoteReference w:id="18"/>
      </w:r>
      <w:r>
        <w:rPr>
          <w:rFonts w:ascii="Times New Roman" w:hAnsi="Times New Roman"/>
          <w:noProof/>
          <w:sz w:val="24"/>
          <w:lang w:val="fr-FR"/>
        </w:rPr>
        <w:t>. La Commission suit cette approche.</w:t>
      </w:r>
    </w:p>
    <w:p w:rsidR="00482ED0" w:rsidRDefault="00B9309F">
      <w:pPr>
        <w:spacing w:line="240" w:lineRule="auto"/>
        <w:jc w:val="both"/>
        <w:rPr>
          <w:rFonts w:ascii="Times New Roman" w:hAnsi="Times New Roman" w:cs="Times New Roman"/>
          <w:i/>
          <w:noProof/>
          <w:sz w:val="24"/>
          <w:szCs w:val="24"/>
          <w:lang w:val="fr-FR"/>
        </w:rPr>
      </w:pPr>
      <w:r>
        <w:rPr>
          <w:rFonts w:ascii="Times New Roman" w:hAnsi="Times New Roman"/>
          <w:noProof/>
          <w:sz w:val="24"/>
          <w:lang w:val="fr-FR"/>
        </w:rPr>
        <w:t>Les critères soulignent également que les effets indésirables endocriniens qui résultent uniquement et indirectement d'une toxicité non endocrinienne ne sont pas des effets indésirables pertinents pour pouvoir quali</w:t>
      </w:r>
      <w:r>
        <w:rPr>
          <w:rFonts w:ascii="Times New Roman" w:hAnsi="Times New Roman"/>
          <w:noProof/>
          <w:sz w:val="24"/>
          <w:lang w:val="fr-FR"/>
        </w:rPr>
        <w:t>fier une substance de perturbateur endocrinien</w:t>
      </w:r>
      <w:r>
        <w:rPr>
          <w:rStyle w:val="FootnoteReference"/>
          <w:rFonts w:ascii="Times New Roman" w:hAnsi="Times New Roman"/>
          <w:noProof/>
          <w:sz w:val="24"/>
        </w:rPr>
        <w:footnoteReference w:id="19"/>
      </w:r>
      <w:r>
        <w:rPr>
          <w:rFonts w:ascii="Times New Roman" w:hAnsi="Times New Roman"/>
          <w:noProof/>
          <w:sz w:val="24"/>
          <w:lang w:val="fr-FR"/>
        </w:rPr>
        <w:t>. Cette précision est nécessaire puisque toute toxicité générale peut entraîner des réactions du système endocrinien, qui seraient la conséquence plutôt que la cause de l'effet indésirable spécifique observé.</w:t>
      </w:r>
    </w:p>
    <w:p w:rsidR="00482ED0" w:rsidRDefault="00B9309F">
      <w:pPr>
        <w:spacing w:line="240" w:lineRule="auto"/>
        <w:jc w:val="both"/>
        <w:rPr>
          <w:rFonts w:ascii="Times New Roman" w:eastAsia="Times New Roman" w:hAnsi="Times New Roman" w:cs="Times New Roman"/>
          <w:b/>
          <w:bCs/>
          <w:i/>
          <w:noProof/>
          <w:sz w:val="24"/>
          <w:szCs w:val="20"/>
          <w:lang w:val="fr-FR"/>
        </w:rPr>
      </w:pPr>
      <w:r>
        <w:rPr>
          <w:rFonts w:ascii="Times New Roman" w:hAnsi="Times New Roman"/>
          <w:b/>
          <w:i/>
          <w:noProof/>
          <w:sz w:val="24"/>
          <w:lang w:val="fr-FR"/>
        </w:rPr>
        <w:t>Comment déterminer le lien de causalité</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L'élément essentiel de la définition de 2002 est le lien entre le mode d'action et l'effet indésirable (les termes «et» et «de ce fait» de la définition). Reste la question de savoir dans quelle mesure ce lien devrai</w:t>
      </w:r>
      <w:r>
        <w:rPr>
          <w:rFonts w:ascii="Times New Roman" w:hAnsi="Times New Roman"/>
          <w:noProof/>
          <w:sz w:val="24"/>
          <w:lang w:val="fr-FR"/>
        </w:rPr>
        <w:t xml:space="preserve">t être clairement établi, c'est-à-dire dans quelle mesure une causalité stricte est requise. En 2013, l’EFSA a conclu qu’il fallait </w:t>
      </w:r>
      <w:r>
        <w:rPr>
          <w:rFonts w:ascii="Times New Roman" w:hAnsi="Times New Roman"/>
          <w:i/>
          <w:noProof/>
          <w:sz w:val="24"/>
          <w:lang w:val="fr-FR"/>
        </w:rPr>
        <w:t>une base raisonnable d'éléments probants indiquant une relation de cause à effet plausible d'un point de vue biologique entr</w:t>
      </w:r>
      <w:r>
        <w:rPr>
          <w:rFonts w:ascii="Times New Roman" w:hAnsi="Times New Roman"/>
          <w:i/>
          <w:noProof/>
          <w:sz w:val="24"/>
          <w:lang w:val="fr-FR"/>
        </w:rPr>
        <w:t>e [le mode d’action endocrinien] et les effets indésirables observés lors des études menées sur des organismes intacts</w:t>
      </w:r>
      <w:r>
        <w:rPr>
          <w:rFonts w:ascii="Times New Roman" w:hAnsi="Times New Roman"/>
          <w:noProof/>
          <w:sz w:val="24"/>
          <w:lang w:val="fr-FR"/>
        </w:rPr>
        <w:t>, c'est-à-dire «une base raisonnable d'éléments probants» pour déterminer la causalité. L’autre solution aurait été d'adopter une approche</w:t>
      </w:r>
      <w:r>
        <w:rPr>
          <w:rFonts w:ascii="Times New Roman" w:hAnsi="Times New Roman"/>
          <w:noProof/>
          <w:sz w:val="24"/>
          <w:lang w:val="fr-FR"/>
        </w:rPr>
        <w:t xml:space="preserve"> plus rigide de la causalité (consistant à demander, par exemple, des preuves «concluantes» de la corrélation). La Commission estime que, dans la pratique, il sera très difficile de démontrer de manière «concluante» l'existence d'une telle relation. En con</w:t>
      </w:r>
      <w:r>
        <w:rPr>
          <w:rFonts w:ascii="Times New Roman" w:hAnsi="Times New Roman"/>
          <w:noProof/>
          <w:sz w:val="24"/>
          <w:lang w:val="fr-FR"/>
        </w:rPr>
        <w:t>séquence, elle entend appliquer la notion de preuves raisonnables («plausibilité biologique») pour déterminer le lien de causalité.</w:t>
      </w:r>
    </w:p>
    <w:p w:rsidR="00482ED0" w:rsidRDefault="00B9309F">
      <w:pPr>
        <w:spacing w:line="240" w:lineRule="auto"/>
        <w:jc w:val="both"/>
        <w:rPr>
          <w:rFonts w:ascii="Times New Roman" w:eastAsia="Times New Roman" w:hAnsi="Times New Roman" w:cs="Times New Roman"/>
          <w:b/>
          <w:bCs/>
          <w:i/>
          <w:noProof/>
          <w:sz w:val="24"/>
          <w:szCs w:val="20"/>
          <w:lang w:val="fr-FR"/>
        </w:rPr>
      </w:pPr>
      <w:r>
        <w:rPr>
          <w:rFonts w:ascii="Times New Roman" w:hAnsi="Times New Roman"/>
          <w:b/>
          <w:i/>
          <w:noProof/>
          <w:sz w:val="24"/>
          <w:lang w:val="fr-FR"/>
        </w:rPr>
        <w:t xml:space="preserve">La pertinence des «catégories» </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débat sur les critères permettant de déterminer ce qu’est un perturbateur endocrinien a p</w:t>
      </w:r>
      <w:r>
        <w:rPr>
          <w:rFonts w:ascii="Times New Roman" w:hAnsi="Times New Roman"/>
          <w:noProof/>
          <w:sz w:val="24"/>
          <w:lang w:val="fr-FR"/>
        </w:rPr>
        <w:t>arfois porté sur l'établissement d'un système de «catégories» de perturbateurs endocriniens, définies en fonction du niveau de preuves scientifiques du mode d'action endocrinien, de l'effet indésirable et du lien de causalité entre les deux (voire une comb</w:t>
      </w:r>
      <w:r>
        <w:rPr>
          <w:rFonts w:ascii="Times New Roman" w:hAnsi="Times New Roman"/>
          <w:noProof/>
          <w:sz w:val="24"/>
          <w:lang w:val="fr-FR"/>
        </w:rPr>
        <w:t>inaison de ces éléments)</w:t>
      </w:r>
      <w:r>
        <w:rPr>
          <w:rStyle w:val="FootnoteReference"/>
          <w:rFonts w:ascii="Times New Roman" w:hAnsi="Times New Roman"/>
          <w:noProof/>
          <w:sz w:val="24"/>
        </w:rPr>
        <w:footnoteReference w:id="20"/>
      </w:r>
      <w:r>
        <w:rPr>
          <w:rFonts w:ascii="Times New Roman" w:hAnsi="Times New Roman"/>
          <w:noProof/>
          <w:sz w:val="24"/>
          <w:lang w:val="fr-FR"/>
        </w:rPr>
        <w:t>. Les catégories proposées sont, par exemple, les «perturbateurs endocriniens suspectés», ou les substances qui sont simplement endocrinologiquement actives (c'est-à-dire sans preuve scientifique de l'existence d'effets indésirable</w:t>
      </w:r>
      <w:r>
        <w:rPr>
          <w:rFonts w:ascii="Times New Roman" w:hAnsi="Times New Roman"/>
          <w:noProof/>
          <w:sz w:val="24"/>
          <w:lang w:val="fr-FR"/>
        </w:rPr>
        <w:t>s).</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considère que définir différentes catégories de ce que </w:t>
      </w:r>
      <w:r>
        <w:rPr>
          <w:rFonts w:ascii="Times New Roman" w:hAnsi="Times New Roman"/>
          <w:i/>
          <w:noProof/>
          <w:sz w:val="24"/>
          <w:lang w:val="fr-FR"/>
        </w:rPr>
        <w:t>peut être</w:t>
      </w:r>
      <w:r>
        <w:rPr>
          <w:rFonts w:ascii="Times New Roman" w:hAnsi="Times New Roman"/>
          <w:noProof/>
          <w:sz w:val="24"/>
          <w:lang w:val="fr-FR"/>
        </w:rPr>
        <w:t xml:space="preserve"> un perturbateur endocrinien n'aide pas à définir ce qu'</w:t>
      </w:r>
      <w:r>
        <w:rPr>
          <w:rFonts w:ascii="Times New Roman" w:hAnsi="Times New Roman"/>
          <w:i/>
          <w:noProof/>
          <w:sz w:val="24"/>
          <w:lang w:val="fr-FR"/>
        </w:rPr>
        <w:t>est</w:t>
      </w:r>
      <w:r>
        <w:rPr>
          <w:rFonts w:ascii="Times New Roman" w:hAnsi="Times New Roman"/>
          <w:noProof/>
          <w:sz w:val="24"/>
          <w:lang w:val="fr-FR"/>
        </w:rPr>
        <w:t xml:space="preserve"> un perturbateur endocrinien dans le contexte des biocides et des pesticides. En outre, l'introduction d'une telle </w:t>
      </w:r>
      <w:r>
        <w:rPr>
          <w:rFonts w:ascii="Times New Roman" w:hAnsi="Times New Roman"/>
          <w:noProof/>
          <w:sz w:val="24"/>
          <w:lang w:val="fr-FR"/>
        </w:rPr>
        <w:t>catégorisation pour les pesticides et les biocides réduirait la sécurité juridique pour les autorités de réglementation et les parties concernées, sans pour autant apporter d'avantages certains en termes de protection de la santé et de l'environnement</w:t>
      </w:r>
      <w:r>
        <w:rPr>
          <w:rStyle w:val="FootnoteReference"/>
          <w:rFonts w:ascii="Times New Roman" w:hAnsi="Times New Roman"/>
          <w:noProof/>
          <w:sz w:val="24"/>
        </w:rPr>
        <w:footnoteReference w:id="21"/>
      </w:r>
      <w:r>
        <w:rPr>
          <w:rFonts w:ascii="Times New Roman" w:hAnsi="Times New Roman"/>
          <w:noProof/>
          <w:sz w:val="24"/>
          <w:lang w:val="fr-FR"/>
        </w:rPr>
        <w:t>.</w:t>
      </w:r>
    </w:p>
    <w:p w:rsidR="00482ED0" w:rsidRDefault="00B9309F">
      <w:pPr>
        <w:spacing w:line="240" w:lineRule="auto"/>
        <w:jc w:val="both"/>
        <w:rPr>
          <w:rFonts w:ascii="Times New Roman" w:eastAsia="Times New Roman" w:hAnsi="Times New Roman" w:cs="Times New Roman"/>
          <w:b/>
          <w:bCs/>
          <w:i/>
          <w:noProof/>
          <w:sz w:val="24"/>
          <w:szCs w:val="20"/>
          <w:lang w:val="fr-FR"/>
        </w:rPr>
      </w:pPr>
      <w:r>
        <w:rPr>
          <w:rFonts w:ascii="Times New Roman" w:hAnsi="Times New Roman"/>
          <w:b/>
          <w:i/>
          <w:noProof/>
          <w:sz w:val="24"/>
          <w:lang w:val="fr-FR"/>
        </w:rPr>
        <w:t>Le</w:t>
      </w:r>
      <w:r>
        <w:rPr>
          <w:rFonts w:ascii="Times New Roman" w:hAnsi="Times New Roman"/>
          <w:b/>
          <w:i/>
          <w:noProof/>
          <w:sz w:val="24"/>
          <w:lang w:val="fr-FR"/>
        </w:rPr>
        <w:t xml:space="preserve"> débat sur un «seuil sans risque» pour les perturbateurs endocriniens</w:t>
      </w:r>
    </w:p>
    <w:p w:rsidR="00482ED0" w:rsidRDefault="00B9309F">
      <w:pPr>
        <w:pStyle w:val="Heading2"/>
        <w:keepNext w:val="0"/>
        <w:keepLines w:val="0"/>
        <w:tabs>
          <w:tab w:val="num" w:pos="1080"/>
        </w:tabs>
        <w:spacing w:before="0" w:after="240"/>
        <w:jc w:val="both"/>
        <w:rPr>
          <w:rFonts w:ascii="Times New Roman" w:eastAsiaTheme="minorHAnsi" w:hAnsi="Times New Roman" w:cs="Times New Roman"/>
          <w:b w:val="0"/>
          <w:bCs w:val="0"/>
          <w:i/>
          <w:noProof/>
          <w:color w:val="auto"/>
          <w:sz w:val="24"/>
          <w:szCs w:val="24"/>
          <w:highlight w:val="yellow"/>
          <w:lang w:val="fr-FR"/>
        </w:rPr>
      </w:pPr>
      <w:r>
        <w:rPr>
          <w:rFonts w:ascii="Times New Roman" w:eastAsiaTheme="minorHAnsi" w:hAnsi="Times New Roman"/>
          <w:b w:val="0"/>
          <w:noProof/>
          <w:color w:val="auto"/>
          <w:sz w:val="24"/>
          <w:lang w:val="fr-FR"/>
        </w:rPr>
        <w:t>La méthode généralement utilisée pour déterminer la sécurité des substances chimiques repose sur l'établissement d'un «seuil sans risque». Le seuil sans risque correspond à la dose en de</w:t>
      </w:r>
      <w:r>
        <w:rPr>
          <w:rFonts w:ascii="Times New Roman" w:eastAsiaTheme="minorHAnsi" w:hAnsi="Times New Roman"/>
          <w:b w:val="0"/>
          <w:noProof/>
          <w:color w:val="auto"/>
          <w:sz w:val="24"/>
          <w:lang w:val="fr-FR"/>
        </w:rPr>
        <w:t>çà de laquelle on ne s'attend à aucun effet indésirable</w:t>
      </w:r>
      <w:r>
        <w:rPr>
          <w:rStyle w:val="FootnoteReference"/>
          <w:rFonts w:ascii="Times New Roman" w:eastAsiaTheme="minorHAnsi" w:hAnsi="Times New Roman"/>
          <w:b w:val="0"/>
          <w:noProof/>
          <w:color w:val="auto"/>
          <w:sz w:val="24"/>
        </w:rPr>
        <w:footnoteReference w:id="22"/>
      </w:r>
      <w:r>
        <w:rPr>
          <w:rFonts w:ascii="Times New Roman" w:eastAsiaTheme="minorHAnsi" w:hAnsi="Times New Roman"/>
          <w:b w:val="0"/>
          <w:noProof/>
          <w:color w:val="auto"/>
          <w:sz w:val="24"/>
          <w:lang w:val="fr-FR"/>
        </w:rPr>
        <w:t>. Généralement, une fois ce seuil sans risque établi de manière expérimentale, il est réduit à une faible proportion de sa valeur, par exemple à 1 %, pour ajouter une marge de sécurité suffisante. Cet</w:t>
      </w:r>
      <w:r>
        <w:rPr>
          <w:rFonts w:ascii="Times New Roman" w:eastAsiaTheme="minorHAnsi" w:hAnsi="Times New Roman"/>
          <w:b w:val="0"/>
          <w:noProof/>
          <w:color w:val="auto"/>
          <w:sz w:val="24"/>
          <w:lang w:val="fr-FR"/>
        </w:rPr>
        <w:t>te notion est utilisée par les autorités de réglementation du monde entier</w:t>
      </w:r>
      <w:r>
        <w:rPr>
          <w:rStyle w:val="FootnoteReference"/>
          <w:rFonts w:ascii="Times New Roman" w:eastAsiaTheme="minorHAnsi" w:hAnsi="Times New Roman"/>
          <w:b w:val="0"/>
          <w:noProof/>
          <w:color w:val="auto"/>
          <w:sz w:val="24"/>
        </w:rPr>
        <w:footnoteReference w:id="23"/>
      </w:r>
      <w:r>
        <w:rPr>
          <w:rFonts w:ascii="Times New Roman" w:eastAsiaTheme="minorHAnsi" w:hAnsi="Times New Roman"/>
          <w:b w:val="0"/>
          <w:noProof/>
          <w:color w:val="auto"/>
          <w:sz w:val="24"/>
          <w:lang w:val="fr-FR"/>
        </w:rPr>
        <w:t>, mais est toutefois sujette à controverse dans le domaine des perturbateurs endocriniens - où la question de savoir s'il sera un jour possible d'établir un seuil sans risque ou s'i</w:t>
      </w:r>
      <w:r>
        <w:rPr>
          <w:rFonts w:ascii="Times New Roman" w:eastAsiaTheme="minorHAnsi" w:hAnsi="Times New Roman"/>
          <w:b w:val="0"/>
          <w:noProof/>
          <w:color w:val="auto"/>
          <w:sz w:val="24"/>
          <w:lang w:val="fr-FR"/>
        </w:rPr>
        <w:t>l vaut mieux procéder à une évaluation des risques au cas par cas fait débat. La Commission estime qu'il n'est ni nécessaire ni utile de se prononcer sur l'existence d'un seuil sans risque pour définir les critères scientifiques permettant de déterminer ce</w:t>
      </w:r>
      <w:r>
        <w:rPr>
          <w:rFonts w:ascii="Times New Roman" w:eastAsiaTheme="minorHAnsi" w:hAnsi="Times New Roman"/>
          <w:b w:val="0"/>
          <w:noProof/>
          <w:color w:val="auto"/>
          <w:sz w:val="24"/>
          <w:lang w:val="fr-FR"/>
        </w:rPr>
        <w:t xml:space="preserve"> qu'est un perturbateur endocrinien.</w:t>
      </w:r>
    </w:p>
    <w:p w:rsidR="00482ED0" w:rsidRDefault="00B9309F">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lang w:val="fr-FR"/>
        </w:rPr>
      </w:pPr>
      <w:r>
        <w:rPr>
          <w:rFonts w:ascii="Times New Roman" w:hAnsi="Times New Roman"/>
          <w:i/>
          <w:noProof/>
          <w:color w:val="auto"/>
          <w:sz w:val="24"/>
          <w:lang w:val="fr-FR"/>
        </w:rPr>
        <w:t>Pertinence de la puissance</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puissance d’une substance chimique décrit sa capacité à produire un effet à une dose donnée</w:t>
      </w:r>
      <w:r>
        <w:rPr>
          <w:rStyle w:val="FootnoteReference"/>
          <w:rFonts w:ascii="Times New Roman" w:hAnsi="Times New Roman"/>
          <w:noProof/>
          <w:sz w:val="24"/>
        </w:rPr>
        <w:footnoteReference w:id="24"/>
      </w:r>
      <w:r>
        <w:rPr>
          <w:rFonts w:ascii="Times New Roman" w:hAnsi="Times New Roman"/>
          <w:noProof/>
          <w:sz w:val="24"/>
          <w:lang w:val="fr-FR"/>
        </w:rPr>
        <w:t xml:space="preserve">. Dans la législation générale de l'UE sur les produits chimiques utilisée pour classer les </w:t>
      </w:r>
      <w:r>
        <w:rPr>
          <w:rFonts w:ascii="Times New Roman" w:hAnsi="Times New Roman"/>
          <w:noProof/>
          <w:sz w:val="24"/>
          <w:lang w:val="fr-FR"/>
        </w:rPr>
        <w:t>substances chimiques</w:t>
      </w:r>
      <w:r>
        <w:rPr>
          <w:rStyle w:val="FootnoteReference"/>
          <w:rFonts w:ascii="Times New Roman" w:hAnsi="Times New Roman"/>
          <w:noProof/>
          <w:sz w:val="24"/>
        </w:rPr>
        <w:footnoteReference w:id="25"/>
      </w:r>
      <w:r>
        <w:rPr>
          <w:rFonts w:ascii="Times New Roman" w:hAnsi="Times New Roman"/>
          <w:noProof/>
          <w:sz w:val="24"/>
          <w:lang w:val="fr-FR"/>
        </w:rPr>
        <w:t>, qui s'appuie sur un système général harmonisé, la puissance est utilisée pour déterminer la catégorie de danger dont une substance devrait relever</w:t>
      </w:r>
      <w:r>
        <w:rPr>
          <w:rStyle w:val="FootnoteReference"/>
          <w:rFonts w:ascii="Times New Roman" w:hAnsi="Times New Roman"/>
          <w:noProof/>
          <w:sz w:val="24"/>
        </w:rPr>
        <w:footnoteReference w:id="26"/>
      </w:r>
      <w:r>
        <w:rPr>
          <w:rFonts w:ascii="Times New Roman" w:hAnsi="Times New Roman"/>
          <w:noProof/>
          <w:sz w:val="24"/>
          <w:lang w:val="fr-FR"/>
        </w:rPr>
        <w:t>. La puissance doit être prise en compte dans l'évaluation des risques et peut égaleme</w:t>
      </w:r>
      <w:r>
        <w:rPr>
          <w:rFonts w:ascii="Times New Roman" w:hAnsi="Times New Roman"/>
          <w:noProof/>
          <w:sz w:val="24"/>
          <w:lang w:val="fr-FR"/>
        </w:rPr>
        <w:t>nt être utile pour hiérarchiser et analyser les différentes substances.</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Toutefois, pour déterminer ce qu’est un perturbateur endocrinien, il importe juste de savoir si une substance chimique perturbe ou non le système endocrinien (il s'agit d'</w:t>
      </w:r>
      <w:r>
        <w:rPr>
          <w:rFonts w:ascii="Times New Roman" w:hAnsi="Times New Roman"/>
          <w:i/>
          <w:noProof/>
          <w:sz w:val="24"/>
          <w:lang w:val="fr-FR"/>
        </w:rPr>
        <w:t>identifier</w:t>
      </w:r>
      <w:r>
        <w:rPr>
          <w:rFonts w:ascii="Times New Roman" w:hAnsi="Times New Roman"/>
          <w:noProof/>
          <w:sz w:val="24"/>
          <w:lang w:val="fr-FR"/>
        </w:rPr>
        <w:t xml:space="preserve"> le danger par opposition à sa </w:t>
      </w:r>
      <w:r>
        <w:rPr>
          <w:rFonts w:ascii="Times New Roman" w:hAnsi="Times New Roman"/>
          <w:i/>
          <w:noProof/>
          <w:sz w:val="24"/>
          <w:lang w:val="fr-FR"/>
        </w:rPr>
        <w:t xml:space="preserve">caractérisation </w:t>
      </w:r>
      <w:r>
        <w:rPr>
          <w:rFonts w:ascii="Times New Roman" w:hAnsi="Times New Roman"/>
          <w:noProof/>
          <w:sz w:val="24"/>
          <w:lang w:val="fr-FR"/>
        </w:rPr>
        <w:t>ultérieure). La Commission est donc parvenue à la conclusion que, dans l'optique spécifique de définir des critères scientifiques, il n'est pas nécessaire de tenir compte de la puissance d'un perturbateur endo</w:t>
      </w:r>
      <w:r>
        <w:rPr>
          <w:rFonts w:ascii="Times New Roman" w:hAnsi="Times New Roman"/>
          <w:noProof/>
          <w:sz w:val="24"/>
          <w:lang w:val="fr-FR"/>
        </w:rPr>
        <w:t>crinien. Il ne faut se poser la question de la puissance qu'une fois qu'il a été établi qu'une substance donnée est bel et bien un perturbateur endocrinien. Le rapport d’analyse d’impact qui accompagne la présente communication aborde les questions liées à</w:t>
      </w:r>
      <w:r>
        <w:rPr>
          <w:rFonts w:ascii="Times New Roman" w:hAnsi="Times New Roman"/>
          <w:noProof/>
          <w:sz w:val="24"/>
          <w:lang w:val="fr-FR"/>
        </w:rPr>
        <w:t xml:space="preserve"> la puissance et recense les arguments à l'appui de la prise en compte de ce facteur. Néanmoins, la Commission suit le large consensus scientifique selon lequel la puissance ne devrait pas être prise en compte lors de l'identification des perturbateurs end</w:t>
      </w:r>
      <w:r>
        <w:rPr>
          <w:rFonts w:ascii="Times New Roman" w:hAnsi="Times New Roman"/>
          <w:noProof/>
          <w:sz w:val="24"/>
          <w:lang w:val="fr-FR"/>
        </w:rPr>
        <w:t>ocriniens, mais qu'elle devrait l'être lors de l'évaluation du risque réel que les perturbateurs endocriniens pourraient représenter.</w:t>
      </w:r>
    </w:p>
    <w:p w:rsidR="00482ED0" w:rsidRDefault="00B9309F">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lang w:val="fr-FR"/>
        </w:rPr>
      </w:pPr>
      <w:r>
        <w:rPr>
          <w:rFonts w:ascii="Times New Roman" w:hAnsi="Times New Roman"/>
          <w:i/>
          <w:noProof/>
          <w:color w:val="auto"/>
          <w:sz w:val="24"/>
          <w:lang w:val="fr-FR"/>
        </w:rPr>
        <w:t xml:space="preserve">Une réglementation fondée sur les «dangers» ou les «risques» </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réglementation des substances chimiques peut être envisag</w:t>
      </w:r>
      <w:r>
        <w:rPr>
          <w:rFonts w:ascii="Times New Roman" w:hAnsi="Times New Roman"/>
          <w:noProof/>
          <w:sz w:val="24"/>
          <w:lang w:val="fr-FR"/>
        </w:rPr>
        <w:t xml:space="preserve">ée de deux manières différentes: sur la base des dangers ou sur la base des risques. Une approche fondée sur les dangers réglemente les substances sur la base de leurs propriétés intrinsèques, sans tenir compte de l’exposition à la substance. Une approche </w:t>
      </w:r>
      <w:r>
        <w:rPr>
          <w:rFonts w:ascii="Times New Roman" w:hAnsi="Times New Roman"/>
          <w:noProof/>
          <w:sz w:val="24"/>
          <w:lang w:val="fr-FR"/>
        </w:rPr>
        <w:t>fondée sur les risques prend en compte cette exposition. Une analogie du règne animal est couramment utilisée: un lion représente intrinsèquement un danger, mais un lion enfermé dans un zoo n’est pas un risque, puisqu’il n’y a pas d’exposition. Dans le dom</w:t>
      </w:r>
      <w:r>
        <w:rPr>
          <w:rFonts w:ascii="Times New Roman" w:hAnsi="Times New Roman"/>
          <w:noProof/>
          <w:sz w:val="24"/>
          <w:lang w:val="fr-FR"/>
        </w:rPr>
        <w:t>aine de la sécurité chimique, plusieurs actes législatifs de l’UE appliquent une approche fondée sur les dangers en matière de sécurité toxicologique, tandis que d’autres suivent une approche fondée sur les risques</w:t>
      </w:r>
      <w:r>
        <w:rPr>
          <w:rStyle w:val="FootnoteReference"/>
          <w:rFonts w:ascii="Times New Roman" w:hAnsi="Times New Roman"/>
          <w:noProof/>
          <w:sz w:val="24"/>
        </w:rPr>
        <w:footnoteReference w:id="27"/>
      </w:r>
      <w:r>
        <w:rPr>
          <w:noProof/>
          <w:lang w:val="fr-FR"/>
        </w:rPr>
        <w:t xml:space="preserve"> </w:t>
      </w:r>
      <w:r>
        <w:rPr>
          <w:rStyle w:val="FootnoteReference"/>
          <w:rFonts w:ascii="Times New Roman" w:hAnsi="Times New Roman"/>
          <w:noProof/>
          <w:sz w:val="24"/>
        </w:rPr>
        <w:footnoteReference w:id="28"/>
      </w:r>
      <w:r>
        <w:rPr>
          <w:noProof/>
          <w:lang w:val="fr-FR"/>
        </w:rPr>
        <w:t>.</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question à laquelle est confrontée</w:t>
      </w:r>
      <w:r>
        <w:rPr>
          <w:rFonts w:ascii="Times New Roman" w:hAnsi="Times New Roman"/>
          <w:noProof/>
          <w:sz w:val="24"/>
          <w:lang w:val="fr-FR"/>
        </w:rPr>
        <w:t xml:space="preserve"> la Commission dans cet exercice est le fait d’établir des critères pour déterminer ce qui constitue ou non un perturbateur endocrinien en ce qui concerne les produits phytopharmaceutiques et les produits biocides – et non de décider de quelle manière ces </w:t>
      </w:r>
      <w:r>
        <w:rPr>
          <w:rFonts w:ascii="Times New Roman" w:hAnsi="Times New Roman"/>
          <w:noProof/>
          <w:sz w:val="24"/>
          <w:lang w:val="fr-FR"/>
        </w:rPr>
        <w:t>substances doivent être réglementées. Les conséquences réglementaires ont déjà été établies par le législateur dans la législation relative aux produits phytopharmaceutiques (2009) et aux produits biocides (2012). En vertu de cette législation, en règle gé</w:t>
      </w:r>
      <w:r>
        <w:rPr>
          <w:rFonts w:ascii="Times New Roman" w:hAnsi="Times New Roman"/>
          <w:noProof/>
          <w:sz w:val="24"/>
          <w:lang w:val="fr-FR"/>
        </w:rPr>
        <w:t>nérale, les perturbateurs endocriniens sont interdits sur la base des dangers</w:t>
      </w:r>
      <w:r>
        <w:rPr>
          <w:rStyle w:val="FootnoteReference"/>
          <w:rFonts w:ascii="Times New Roman" w:hAnsi="Times New Roman"/>
          <w:noProof/>
          <w:sz w:val="24"/>
        </w:rPr>
        <w:footnoteReference w:id="29"/>
      </w:r>
      <w:r>
        <w:rPr>
          <w:rFonts w:ascii="Times New Roman" w:hAnsi="Times New Roman"/>
          <w:noProof/>
          <w:sz w:val="24"/>
          <w:lang w:val="fr-FR"/>
        </w:rPr>
        <w:t>, sans que l’on procède à une évaluation des risques spécifique sur la base de considérations liées à l’exposition (bien que, dans certains cas, des dérogations – en raison des d</w:t>
      </w:r>
      <w:r>
        <w:rPr>
          <w:rFonts w:ascii="Times New Roman" w:hAnsi="Times New Roman"/>
          <w:noProof/>
          <w:sz w:val="24"/>
          <w:lang w:val="fr-FR"/>
        </w:rPr>
        <w:t xml:space="preserve">angers, des risques ou de questions socio-économiques – puissent s’appliquer au cas par cas, comme le prévoit la législation). </w:t>
      </w:r>
    </w:p>
    <w:p w:rsidR="00482ED0" w:rsidRDefault="00B9309F">
      <w:pPr>
        <w:spacing w:line="240" w:lineRule="auto"/>
        <w:jc w:val="both"/>
        <w:rPr>
          <w:rFonts w:ascii="Times New Roman" w:eastAsia="Times New Roman" w:hAnsi="Times New Roman" w:cs="Times New Roman"/>
          <w:b/>
          <w:smallCaps/>
          <w:noProof/>
          <w:sz w:val="24"/>
          <w:szCs w:val="20"/>
          <w:lang w:val="fr-FR"/>
        </w:rPr>
      </w:pPr>
      <w:r>
        <w:rPr>
          <w:rFonts w:ascii="Times New Roman" w:hAnsi="Times New Roman"/>
          <w:b/>
          <w:smallCaps/>
          <w:noProof/>
          <w:sz w:val="24"/>
          <w:lang w:val="fr-FR"/>
        </w:rPr>
        <w:t xml:space="preserve">3. </w:t>
      </w:r>
      <w:r>
        <w:rPr>
          <w:noProof/>
          <w:lang w:val="fr-FR"/>
        </w:rPr>
        <w:tab/>
      </w:r>
      <w:r>
        <w:rPr>
          <w:rFonts w:ascii="Times New Roman" w:hAnsi="Times New Roman"/>
          <w:b/>
          <w:smallCaps/>
          <w:noProof/>
          <w:sz w:val="24"/>
          <w:lang w:val="fr-FR"/>
        </w:rPr>
        <w:t>Que recouvrent les critères pour les domaines réglementaires liés aux biocides et aux produits phytopharmaceutiques?</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légi</w:t>
      </w:r>
      <w:r>
        <w:rPr>
          <w:rFonts w:ascii="Times New Roman" w:hAnsi="Times New Roman"/>
          <w:noProof/>
          <w:sz w:val="24"/>
          <w:lang w:val="fr-FR"/>
        </w:rPr>
        <w:t>slation de l’UE relative aux produits biocides et aux produits phytopharmaceutiques prévoit que les substances actives qui sont des perturbateurs endocriniens ne sont pas approuvées, sauf en cas d’exposition négligeable (dans le cas des produits phytopharm</w:t>
      </w:r>
      <w:r>
        <w:rPr>
          <w:rFonts w:ascii="Times New Roman" w:hAnsi="Times New Roman"/>
          <w:noProof/>
          <w:sz w:val="24"/>
          <w:lang w:val="fr-FR"/>
        </w:rPr>
        <w:t>aceutiques) ou en cas de risque négligeable (dans le cas des biocides). En principe, la question de savoir si une substance active d’un produit phytopharmaceutique ou d’un biocide est un perturbateur endocrinien serait évaluée chaque fois que cette substan</w:t>
      </w:r>
      <w:r>
        <w:rPr>
          <w:rFonts w:ascii="Times New Roman" w:hAnsi="Times New Roman"/>
          <w:noProof/>
          <w:sz w:val="24"/>
          <w:lang w:val="fr-FR"/>
        </w:rPr>
        <w:t>ce fait l’objet d’une procédure d’agrément ou de renouvellement. En outre, toutes les substances actives utilisées dans les produits phytopharmaceutiques et dans les produits biocides ne sont approuvées que pour une durée limitée et leur approbation est ré</w:t>
      </w:r>
      <w:r>
        <w:rPr>
          <w:rFonts w:ascii="Times New Roman" w:hAnsi="Times New Roman"/>
          <w:noProof/>
          <w:sz w:val="24"/>
          <w:lang w:val="fr-FR"/>
        </w:rPr>
        <w:t>gulièrement réexaminée.</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Certains des effets indésirables causés par les perturbateurs endocriniens (par exemple, les effets sur la reproduction) sont évalués depuis de nombreuses années, ce qui signifie que, dans la pratique, un grand nombre de substances </w:t>
      </w:r>
      <w:r>
        <w:rPr>
          <w:rFonts w:ascii="Times New Roman" w:hAnsi="Times New Roman"/>
          <w:noProof/>
          <w:sz w:val="24"/>
          <w:lang w:val="fr-FR"/>
        </w:rPr>
        <w:t xml:space="preserve">établies comme étant des perturbateurs endocriniens ont déjà été interdites dans l’UE. Les nouveaux critères permettront cependant d’effectuer une évaluation plus précise et plus actualisée. </w:t>
      </w:r>
    </w:p>
    <w:p w:rsidR="00482ED0" w:rsidRDefault="00B9309F">
      <w:pPr>
        <w:spacing w:line="240" w:lineRule="auto"/>
        <w:jc w:val="both"/>
        <w:rPr>
          <w:rFonts w:ascii="Times New Roman" w:eastAsia="Times New Roman" w:hAnsi="Times New Roman" w:cs="Times New Roman"/>
          <w:bCs/>
          <w:smallCaps/>
          <w:noProof/>
          <w:sz w:val="24"/>
          <w:szCs w:val="20"/>
          <w:lang w:val="fr-FR"/>
        </w:rPr>
      </w:pPr>
      <w:r>
        <w:rPr>
          <w:rFonts w:ascii="Times New Roman" w:hAnsi="Times New Roman"/>
          <w:noProof/>
          <w:sz w:val="24"/>
          <w:lang w:val="fr-FR"/>
        </w:rPr>
        <w:t>Afin de garantir une action rapide et la prise en compte des évolutions scientifiques récentes, les critères scientifiques les plus précis seront appliqués immédiatement, sauf dans les cas où un projet de règlement de la Commission a déjà été voté, mais n’</w:t>
      </w:r>
      <w:r>
        <w:rPr>
          <w:rFonts w:ascii="Times New Roman" w:hAnsi="Times New Roman"/>
          <w:noProof/>
          <w:sz w:val="24"/>
          <w:lang w:val="fr-FR"/>
        </w:rPr>
        <w:t>a pas encore été adopté. Par ailleurs, pour permettre aux travaux d’évaluation de démarrer, la Commission demandera ce jour à l’Autorité européenne de sécurité des aliments et à l’Agence européenne des produits chimiques de commencer à examiner si les subs</w:t>
      </w:r>
      <w:r>
        <w:rPr>
          <w:rFonts w:ascii="Times New Roman" w:hAnsi="Times New Roman"/>
          <w:noProof/>
          <w:sz w:val="24"/>
          <w:lang w:val="fr-FR"/>
        </w:rPr>
        <w:t>tances actives approuvées pour lesquelles des éléments indiquent qu’elles pourraient remplir les critères à réunir pour être considérées comme ayant des propriétés perturbant le système endocrinien, sont des perturbateurs endocriniens selon les critères dé</w:t>
      </w:r>
      <w:r>
        <w:rPr>
          <w:rFonts w:ascii="Times New Roman" w:hAnsi="Times New Roman"/>
          <w:noProof/>
          <w:sz w:val="24"/>
          <w:lang w:val="fr-FR"/>
        </w:rPr>
        <w:t xml:space="preserve">finis dans les projets de textes présentés aujourd’hui. Cela permettrait de garantir que ces deux agences de régulation seraient prêtes à appliquer ces critères, conformément aux procédures réglementaires applicables, dès leur entrée en vigueur. </w:t>
      </w:r>
    </w:p>
    <w:p w:rsidR="00482ED0" w:rsidRDefault="00B9309F">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lang w:val="fr-FR"/>
        </w:rPr>
      </w:pPr>
      <w:r>
        <w:rPr>
          <w:rFonts w:ascii="Times New Roman" w:hAnsi="Times New Roman"/>
          <w:i/>
          <w:noProof/>
          <w:color w:val="auto"/>
          <w:sz w:val="24"/>
          <w:lang w:val="fr-FR"/>
        </w:rPr>
        <w:t>Mise à jo</w:t>
      </w:r>
      <w:r>
        <w:rPr>
          <w:rFonts w:ascii="Times New Roman" w:hAnsi="Times New Roman"/>
          <w:i/>
          <w:noProof/>
          <w:color w:val="auto"/>
          <w:sz w:val="24"/>
          <w:lang w:val="fr-FR"/>
        </w:rPr>
        <w:t xml:space="preserve">ur des motifs de dérogation éventuelle en fonction des connaissances scientifiques et techniques actuelles </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Tant la législation relative aux produits phytopharmaceutiques que la législation relative aux biocides interdisent les substances actives ayant des</w:t>
      </w:r>
      <w:r>
        <w:rPr>
          <w:rFonts w:ascii="Times New Roman" w:hAnsi="Times New Roman"/>
          <w:noProof/>
          <w:sz w:val="24"/>
          <w:lang w:val="fr-FR"/>
        </w:rPr>
        <w:t xml:space="preserve"> propriétés perturbant le système endocrinien sur la base des dangers.</w:t>
      </w:r>
      <w:r>
        <w:rPr>
          <w:rFonts w:ascii="Times New Roman" w:hAnsi="Times New Roman"/>
          <w:b/>
          <w:noProof/>
          <w:sz w:val="24"/>
          <w:lang w:val="fr-FR"/>
        </w:rPr>
        <w:t xml:space="preserve"> </w:t>
      </w:r>
      <w:r>
        <w:rPr>
          <w:rFonts w:ascii="Times New Roman" w:hAnsi="Times New Roman"/>
          <w:noProof/>
          <w:sz w:val="24"/>
          <w:lang w:val="fr-FR"/>
        </w:rPr>
        <w:t>Toutefois, quelques rares exceptions sont autorisées. La législation relative aux biocides prévoit des exceptions fondées sur les «risques négligeables» et des considérations socio-écon</w:t>
      </w:r>
      <w:r>
        <w:rPr>
          <w:rFonts w:ascii="Times New Roman" w:hAnsi="Times New Roman"/>
          <w:noProof/>
          <w:sz w:val="24"/>
          <w:lang w:val="fr-FR"/>
        </w:rPr>
        <w:t>omiques. La législation relative aux produits phytopharmaceutiques prévoit des exceptions en cas d'«exposition négligeable» ou, dans certaines situations et dans des conditions strictes, en cas de menace grave pour la santé des végétaux. En ce qui concerne</w:t>
      </w:r>
      <w:r>
        <w:rPr>
          <w:rFonts w:ascii="Times New Roman" w:hAnsi="Times New Roman"/>
          <w:noProof/>
          <w:sz w:val="24"/>
          <w:lang w:val="fr-FR"/>
        </w:rPr>
        <w:t xml:space="preserve"> les perturbateurs endocriniens, l’Autorité européenne de sécurité des aliments a soutenu le principe d’une approche fondée sur les risques pour les produits phytopharmaceutiques</w:t>
      </w:r>
      <w:r>
        <w:rPr>
          <w:rStyle w:val="FootnoteReference"/>
          <w:rFonts w:ascii="Times New Roman" w:hAnsi="Times New Roman"/>
          <w:noProof/>
          <w:sz w:val="24"/>
        </w:rPr>
        <w:footnoteReference w:id="30"/>
      </w:r>
      <w:r>
        <w:rPr>
          <w:noProof/>
          <w:lang w:val="fr-FR"/>
        </w:rPr>
        <w:t>.</w:t>
      </w:r>
      <w:r>
        <w:rPr>
          <w:rFonts w:ascii="Times New Roman" w:hAnsi="Times New Roman"/>
          <w:noProof/>
          <w:sz w:val="24"/>
          <w:lang w:val="fr-FR"/>
        </w:rPr>
        <w:t xml:space="preserve"> Les connaissances scientifiques et techniques ont évolué et laissent à pens</w:t>
      </w:r>
      <w:r>
        <w:rPr>
          <w:rFonts w:ascii="Times New Roman" w:hAnsi="Times New Roman"/>
          <w:noProof/>
          <w:sz w:val="24"/>
          <w:lang w:val="fr-FR"/>
        </w:rPr>
        <w:t>er que les perturbateurs endocriniens pourraient être évalués sur la base des risques, à l’instar de la plupart des autres substances. C’est la raison pour laquelle la Commission, conformément au mandat donné par les colégislateurs</w:t>
      </w:r>
      <w:r>
        <w:rPr>
          <w:rStyle w:val="FootnoteReference"/>
          <w:rFonts w:ascii="Times New Roman" w:hAnsi="Times New Roman"/>
          <w:noProof/>
          <w:sz w:val="24"/>
        </w:rPr>
        <w:footnoteReference w:id="31"/>
      </w:r>
      <w:r>
        <w:rPr>
          <w:rFonts w:ascii="Times New Roman" w:hAnsi="Times New Roman"/>
          <w:noProof/>
          <w:sz w:val="24"/>
          <w:lang w:val="fr-FR"/>
        </w:rPr>
        <w:t>, a conclu que les motif</w:t>
      </w:r>
      <w:r>
        <w:rPr>
          <w:rFonts w:ascii="Times New Roman" w:hAnsi="Times New Roman"/>
          <w:noProof/>
          <w:sz w:val="24"/>
          <w:lang w:val="fr-FR"/>
        </w:rPr>
        <w:t>s de dérogation éventuelle pour les produits phytopharmaceutiques devraient être mis à jour de sorte qu’ils soient fondés sur les «risques négligeables» (conformément à la législation relative aux biocides), tout en maintenant pleinement la notion d’interd</w:t>
      </w:r>
      <w:r>
        <w:rPr>
          <w:rFonts w:ascii="Times New Roman" w:hAnsi="Times New Roman"/>
          <w:noProof/>
          <w:sz w:val="24"/>
          <w:lang w:val="fr-FR"/>
        </w:rPr>
        <w:t>iction des perturbateurs endocriniens sur la base des dangers, ce qui permettrait de garantir le même niveau élevé de protection de la santé et de l’environnement.</w:t>
      </w:r>
    </w:p>
    <w:p w:rsidR="00482ED0" w:rsidRDefault="00B9309F">
      <w:pPr>
        <w:pStyle w:val="Heading1"/>
        <w:spacing w:before="240" w:after="240"/>
        <w:ind w:left="480" w:hanging="480"/>
        <w:rPr>
          <w:rFonts w:ascii="Times New Roman" w:eastAsia="Times New Roman" w:hAnsi="Times New Roman" w:cs="Times New Roman"/>
          <w:bCs w:val="0"/>
          <w:noProof/>
          <w:color w:val="auto"/>
          <w:sz w:val="24"/>
          <w:szCs w:val="20"/>
          <w:lang w:val="fr-FR"/>
        </w:rPr>
      </w:pPr>
      <w:r>
        <w:rPr>
          <w:rFonts w:ascii="Times New Roman" w:hAnsi="Times New Roman"/>
          <w:smallCaps/>
          <w:noProof/>
          <w:color w:val="auto"/>
          <w:sz w:val="24"/>
          <w:lang w:val="fr-FR"/>
        </w:rPr>
        <w:t xml:space="preserve">4. </w:t>
      </w:r>
      <w:r>
        <w:rPr>
          <w:noProof/>
          <w:lang w:val="fr-FR"/>
        </w:rPr>
        <w:tab/>
      </w:r>
      <w:r>
        <w:rPr>
          <w:rFonts w:ascii="Times New Roman" w:hAnsi="Times New Roman"/>
          <w:smallCaps/>
          <w:noProof/>
          <w:color w:val="auto"/>
          <w:sz w:val="24"/>
          <w:lang w:val="fr-FR"/>
        </w:rPr>
        <w:t>Que recouvrent les critères fixés pour les biocides et les produits phytopharmaceutiques</w:t>
      </w:r>
      <w:r>
        <w:rPr>
          <w:rFonts w:ascii="Times New Roman" w:hAnsi="Times New Roman"/>
          <w:smallCaps/>
          <w:noProof/>
          <w:color w:val="auto"/>
          <w:sz w:val="24"/>
          <w:lang w:val="fr-FR"/>
        </w:rPr>
        <w:t xml:space="preserve"> pour les autres domaines réglementaires?</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critères scientifiques permettant de déterminer ce qu’est un perturbateur endocrinien sont établis pour remplir les obligations légales au titre de la législation de l’UE relative aux produits biocides et aux p</w:t>
      </w:r>
      <w:r>
        <w:rPr>
          <w:rFonts w:ascii="Times New Roman" w:hAnsi="Times New Roman"/>
          <w:noProof/>
          <w:sz w:val="24"/>
          <w:lang w:val="fr-FR"/>
        </w:rPr>
        <w:t>roduits phytopharmaceutiques. Ils ne s’appliquent que dans ces deux domaines réglementaires et n’ont pas de conséquences juridiques directes dans d’autres domaines du droit de l’Union. L’objectif est d’établir des critères pour les organes de l’UE concerné</w:t>
      </w:r>
      <w:r>
        <w:rPr>
          <w:rFonts w:ascii="Times New Roman" w:hAnsi="Times New Roman"/>
          <w:noProof/>
          <w:sz w:val="24"/>
          <w:lang w:val="fr-FR"/>
        </w:rPr>
        <w:t>s (Agence européenne des produits chimiques, Autorité européenne de sécurité des aliments, Commission) ainsi que pour les États membres.</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Comme expliqué précédemment, les critères avancés sont pleinement conformes à la définition du programme international </w:t>
      </w:r>
      <w:r>
        <w:rPr>
          <w:rFonts w:ascii="Times New Roman" w:hAnsi="Times New Roman"/>
          <w:noProof/>
          <w:sz w:val="24"/>
          <w:lang w:val="fr-FR"/>
        </w:rPr>
        <w:t xml:space="preserve">sur la sécurité des substances chimiques de l’Organisation mondiale de la santé, qui existe déjà et prévoit une base commune pour tous les domaines de la politique de l’UE en matière de sécurité chimique. </w:t>
      </w:r>
      <w:r>
        <w:rPr>
          <w:rFonts w:ascii="Times New Roman" w:hAnsi="Times New Roman"/>
          <w:noProof/>
          <w:lang w:val="fr-FR"/>
        </w:rPr>
        <w:t>La définition de l’Organisation mondiale de la sant</w:t>
      </w:r>
      <w:r>
        <w:rPr>
          <w:rFonts w:ascii="Times New Roman" w:hAnsi="Times New Roman"/>
          <w:noProof/>
          <w:lang w:val="fr-FR"/>
        </w:rPr>
        <w:t>é est déjà utilisée pour identifier les perturbateurs endocriniens dans le cadre d’autres actes législatifs et cela devrait continuer à être le cas à la lumière de l’adoption des critères par la Commission.</w:t>
      </w:r>
    </w:p>
    <w:p w:rsidR="00482ED0" w:rsidRDefault="00B9309F">
      <w:pPr>
        <w:spacing w:after="36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tout état de cause, le cadre réglementaire de </w:t>
      </w:r>
      <w:r>
        <w:rPr>
          <w:rFonts w:ascii="Times New Roman" w:hAnsi="Times New Roman"/>
          <w:noProof/>
          <w:sz w:val="24"/>
          <w:lang w:val="fr-FR"/>
        </w:rPr>
        <w:t>l’UE contient déjà la notion de «perturbateurs endocriniens» (bien qu’aucun critère ne soit établi dans la législation de l’UE pour définir ce qu’est un perturbateur endocrinien). Par exemple, l’Agence européenne des produits chimiques a, dans la «Liste de</w:t>
      </w:r>
      <w:r>
        <w:rPr>
          <w:rFonts w:ascii="Times New Roman" w:hAnsi="Times New Roman"/>
          <w:noProof/>
          <w:sz w:val="24"/>
          <w:lang w:val="fr-FR"/>
        </w:rPr>
        <w:t>s substances extrêmement préoccupantes candidates en vue d’une autorisation», répertorié des substances sur la seule base de leurs propriétés perturbant le système endocrinien</w:t>
      </w:r>
      <w:r>
        <w:rPr>
          <w:rStyle w:val="FootnoteReference"/>
          <w:rFonts w:ascii="Times New Roman" w:hAnsi="Times New Roman"/>
          <w:noProof/>
        </w:rPr>
        <w:footnoteReference w:id="32"/>
      </w:r>
      <w:r>
        <w:rPr>
          <w:noProof/>
          <w:lang w:val="fr-FR"/>
        </w:rPr>
        <w:t>.</w:t>
      </w:r>
      <w:r>
        <w:rPr>
          <w:rFonts w:ascii="Times New Roman" w:hAnsi="Times New Roman"/>
          <w:noProof/>
          <w:sz w:val="24"/>
          <w:lang w:val="fr-FR"/>
        </w:rPr>
        <w:t xml:space="preserve"> Le comité scientifique pour la sécurité des consommateurs a évalué la sécurité en ce qui concerne les propriétés perturbant le système endocrinien de plusieurs ingrédients entrant dans la composition de produits cosmétiques</w:t>
      </w:r>
      <w:r>
        <w:rPr>
          <w:rStyle w:val="FootnoteReference"/>
          <w:rFonts w:ascii="Times New Roman" w:hAnsi="Times New Roman"/>
          <w:noProof/>
        </w:rPr>
        <w:footnoteReference w:id="33"/>
      </w:r>
      <w:r>
        <w:rPr>
          <w:noProof/>
          <w:lang w:val="fr-FR"/>
        </w:rPr>
        <w:t>.</w:t>
      </w:r>
      <w:r>
        <w:rPr>
          <w:rStyle w:val="FootnoteReference"/>
          <w:noProof/>
          <w:lang w:val="fr-FR"/>
        </w:rPr>
        <w:t xml:space="preserve"> </w:t>
      </w:r>
      <w:r>
        <w:rPr>
          <w:rFonts w:ascii="Times New Roman" w:hAnsi="Times New Roman"/>
          <w:noProof/>
          <w:sz w:val="24"/>
          <w:lang w:val="fr-FR"/>
        </w:rPr>
        <w:t>La Commission a également dre</w:t>
      </w:r>
      <w:r>
        <w:rPr>
          <w:rFonts w:ascii="Times New Roman" w:hAnsi="Times New Roman"/>
          <w:noProof/>
          <w:sz w:val="24"/>
          <w:lang w:val="fr-FR"/>
        </w:rPr>
        <w:t>ssé la liste des perturbateurs endocriniens dans le cadre de la mise en œuvre de la législation de l’UE en matière de qualité de l’eau</w:t>
      </w:r>
      <w:r>
        <w:rPr>
          <w:rStyle w:val="FootnoteReference"/>
          <w:rFonts w:ascii="Times New Roman" w:hAnsi="Times New Roman"/>
          <w:noProof/>
          <w:sz w:val="24"/>
        </w:rPr>
        <w:footnoteReference w:id="34"/>
      </w:r>
      <w:r>
        <w:rPr>
          <w:rFonts w:ascii="Times New Roman" w:hAnsi="Times New Roman"/>
          <w:noProof/>
          <w:sz w:val="24"/>
          <w:lang w:val="fr-FR"/>
        </w:rPr>
        <w:t xml:space="preserve"> et a limité la mise sur le marché de perturbateurs endocriniens dans le cadre du règlement REACH</w:t>
      </w:r>
      <w:r>
        <w:rPr>
          <w:rStyle w:val="FootnoteReference"/>
          <w:rFonts w:ascii="Times New Roman" w:hAnsi="Times New Roman"/>
          <w:noProof/>
          <w:sz w:val="24"/>
        </w:rPr>
        <w:footnoteReference w:id="35"/>
      </w:r>
      <w:r>
        <w:rPr>
          <w:noProof/>
          <w:lang w:val="fr-FR"/>
        </w:rPr>
        <w:t>.</w:t>
      </w:r>
      <w:r>
        <w:rPr>
          <w:rFonts w:ascii="Times New Roman" w:hAnsi="Times New Roman"/>
          <w:noProof/>
          <w:sz w:val="24"/>
          <w:lang w:val="fr-FR"/>
        </w:rPr>
        <w:t xml:space="preserve"> La différence avec le</w:t>
      </w:r>
      <w:r>
        <w:rPr>
          <w:rFonts w:ascii="Times New Roman" w:hAnsi="Times New Roman"/>
          <w:noProof/>
          <w:sz w:val="24"/>
          <w:lang w:val="fr-FR"/>
        </w:rPr>
        <w:t>s deux domaines d’action couverts par les projets de mesures est que, dans ces domaines, il existe une obligation légale de définir les critères permettant de déterminer ce qu’est un perturbateur endocrinien.</w:t>
      </w:r>
    </w:p>
    <w:p w:rsidR="00482ED0" w:rsidRDefault="00B9309F">
      <w:pPr>
        <w:pStyle w:val="Heading1"/>
        <w:spacing w:before="240" w:after="240"/>
        <w:ind w:left="480" w:hanging="480"/>
        <w:rPr>
          <w:rFonts w:ascii="Times New Roman" w:eastAsia="Times New Roman" w:hAnsi="Times New Roman" w:cs="Times New Roman"/>
          <w:bCs w:val="0"/>
          <w:smallCaps/>
          <w:noProof/>
          <w:color w:val="auto"/>
          <w:sz w:val="24"/>
          <w:szCs w:val="20"/>
          <w:lang w:val="fr-FR"/>
        </w:rPr>
      </w:pPr>
      <w:r>
        <w:rPr>
          <w:rFonts w:ascii="Times New Roman" w:hAnsi="Times New Roman"/>
          <w:smallCaps/>
          <w:noProof/>
          <w:color w:val="auto"/>
          <w:sz w:val="24"/>
          <w:lang w:val="fr-FR"/>
        </w:rPr>
        <w:t xml:space="preserve">5. </w:t>
      </w:r>
      <w:r>
        <w:rPr>
          <w:noProof/>
          <w:lang w:val="fr-FR"/>
        </w:rPr>
        <w:tab/>
      </w:r>
      <w:r>
        <w:rPr>
          <w:rFonts w:ascii="Times New Roman" w:hAnsi="Times New Roman"/>
          <w:smallCaps/>
          <w:noProof/>
          <w:color w:val="auto"/>
          <w:sz w:val="24"/>
          <w:lang w:val="fr-FR"/>
        </w:rPr>
        <w:t>Autres activités de la Commission</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Outre l’é</w:t>
      </w:r>
      <w:r>
        <w:rPr>
          <w:rFonts w:ascii="Times New Roman" w:hAnsi="Times New Roman"/>
          <w:noProof/>
          <w:sz w:val="24"/>
          <w:lang w:val="fr-FR"/>
        </w:rPr>
        <w:t>tablissement de critères scientifiques d’identification des perturbateurs endocriniens, la Commission redoublera d’efforts dans toute une série d’autres activités en cours dans les trois domaines recensés dans le cadre de la stratégie de l’UE concernant le</w:t>
      </w:r>
      <w:r>
        <w:rPr>
          <w:rFonts w:ascii="Times New Roman" w:hAnsi="Times New Roman"/>
          <w:noProof/>
          <w:sz w:val="24"/>
          <w:lang w:val="fr-FR"/>
        </w:rPr>
        <w:t>s perturbateurs endocriniens, afin de continuer à réduire autant que possible l’exposition à ces derniers conformément au 7</w:t>
      </w:r>
      <w:r>
        <w:rPr>
          <w:rFonts w:ascii="Times New Roman" w:hAnsi="Times New Roman"/>
          <w:noProof/>
          <w:sz w:val="24"/>
          <w:vertAlign w:val="superscript"/>
          <w:lang w:val="fr-FR"/>
        </w:rPr>
        <w:t>e</w:t>
      </w:r>
      <w:r>
        <w:rPr>
          <w:rFonts w:ascii="Times New Roman" w:hAnsi="Times New Roman"/>
          <w:noProof/>
          <w:sz w:val="24"/>
          <w:lang w:val="fr-FR"/>
        </w:rPr>
        <w:t> programme d’action pour l’environnement. Ces activités pourraient être renforcées en mettant sur pied des enceintes permettant d’am</w:t>
      </w:r>
      <w:r>
        <w:rPr>
          <w:rFonts w:ascii="Times New Roman" w:hAnsi="Times New Roman"/>
          <w:noProof/>
          <w:sz w:val="24"/>
          <w:lang w:val="fr-FR"/>
        </w:rPr>
        <w:t>éliorer l’échange d’informations et d’obtenir des consensus au niveau tant de la communauté scientifique que des autorités de régulation, conformément à la stratégie.</w:t>
      </w:r>
    </w:p>
    <w:p w:rsidR="00482ED0" w:rsidRDefault="00B9309F">
      <w:pPr>
        <w:pStyle w:val="Heading3"/>
        <w:keepLines w:val="0"/>
        <w:tabs>
          <w:tab w:val="num" w:pos="1920"/>
        </w:tabs>
        <w:spacing w:before="0" w:after="240"/>
        <w:ind w:left="840" w:hanging="840"/>
        <w:jc w:val="both"/>
        <w:rPr>
          <w:rFonts w:ascii="Times New Roman" w:eastAsia="Times New Roman" w:hAnsi="Times New Roman" w:cs="Times New Roman"/>
          <w:bCs w:val="0"/>
          <w:i/>
          <w:noProof/>
          <w:color w:val="auto"/>
          <w:sz w:val="24"/>
          <w:szCs w:val="20"/>
          <w:lang w:val="fr-FR"/>
        </w:rPr>
      </w:pPr>
      <w:r>
        <w:rPr>
          <w:rFonts w:ascii="Times New Roman" w:hAnsi="Times New Roman"/>
          <w:i/>
          <w:noProof/>
          <w:color w:val="auto"/>
          <w:sz w:val="24"/>
          <w:lang w:val="fr-FR"/>
        </w:rPr>
        <w:t>Recherche</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Depuis l’adoption de la stratégie de l’UE concernant les perturbateurs endocrin</w:t>
      </w:r>
      <w:r>
        <w:rPr>
          <w:rFonts w:ascii="Times New Roman" w:hAnsi="Times New Roman"/>
          <w:noProof/>
          <w:sz w:val="24"/>
          <w:lang w:val="fr-FR"/>
        </w:rPr>
        <w:t>iens en 1999, les programmes-cadres de l’UE pour la recherche ont financé plus de 50 projets de recherche collaborative multinationaux, pour un montant de plus de 150 000 000 EUR. Le programme Horizon 2020 soutient la poursuite des recherches en vue de fai</w:t>
      </w:r>
      <w:r>
        <w:rPr>
          <w:rFonts w:ascii="Times New Roman" w:hAnsi="Times New Roman"/>
          <w:noProof/>
          <w:sz w:val="24"/>
          <w:lang w:val="fr-FR"/>
        </w:rPr>
        <w:t>re progresser les connaissances et de fournir des preuves scientifiques solides aux instances réglementaires et aux décideurs politiques dans le domaine de la toxicologie. L’initiative européenne relative à la biosurveillance humaine (European Human Biomon</w:t>
      </w:r>
      <w:r>
        <w:rPr>
          <w:rFonts w:ascii="Times New Roman" w:hAnsi="Times New Roman"/>
          <w:noProof/>
          <w:sz w:val="24"/>
          <w:lang w:val="fr-FR"/>
        </w:rPr>
        <w:t>itoring Initiative), qui constituera un pôle de connaissances unique au niveau européen pour la mesure de l’exposition humaine à des substances chimiques, sera une initiative clé. Le Centre commun de recherche a également un rôle important à jouer, par exe</w:t>
      </w:r>
      <w:r>
        <w:rPr>
          <w:rFonts w:ascii="Times New Roman" w:hAnsi="Times New Roman"/>
          <w:noProof/>
          <w:sz w:val="24"/>
          <w:lang w:val="fr-FR"/>
        </w:rPr>
        <w:t xml:space="preserve">mple en ce qui concerne l’élaboration de méthodes et d’approches en matière d’évaluation ainsi que leur concrétisation sur le plan réglementaire. </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Dans une perspective d’avenir, la Commission estime qu’il importe de garantir une bonne circulation des infor</w:t>
      </w:r>
      <w:r>
        <w:rPr>
          <w:rFonts w:ascii="Times New Roman" w:hAnsi="Times New Roman"/>
          <w:noProof/>
          <w:sz w:val="24"/>
          <w:lang w:val="fr-FR"/>
        </w:rPr>
        <w:t>mations relatives aux données comparables sur les dangers ainsi qu’aux données en matière de biosurveillance et de surveillance entre les États membres et les agences, ce qui contribuerait également à faire face aux problèmes liés à l’exposition combinée</w:t>
      </w:r>
      <w:r>
        <w:rPr>
          <w:rStyle w:val="FootnoteReference"/>
          <w:rFonts w:ascii="Times New Roman" w:hAnsi="Times New Roman"/>
          <w:noProof/>
          <w:sz w:val="24"/>
        </w:rPr>
        <w:footnoteReference w:id="36"/>
      </w:r>
      <w:r>
        <w:rPr>
          <w:rFonts w:ascii="Times New Roman" w:hAnsi="Times New Roman"/>
          <w:noProof/>
          <w:sz w:val="24"/>
          <w:lang w:val="fr-FR"/>
        </w:rPr>
        <w:t>.</w:t>
      </w:r>
      <w:r>
        <w:rPr>
          <w:rFonts w:ascii="Times New Roman" w:hAnsi="Times New Roman"/>
          <w:noProof/>
          <w:sz w:val="24"/>
          <w:lang w:val="fr-FR"/>
        </w:rPr>
        <w:t xml:space="preserve"> Une plateforme en ligne sera développée par la Commission, en collaboration avec les agences de l’UE et les États membres, et utilisée pour renforcer la coopération et l’échange d’informations.</w:t>
      </w:r>
    </w:p>
    <w:p w:rsidR="00482ED0" w:rsidRDefault="00B9309F">
      <w:pPr>
        <w:pStyle w:val="Heading3"/>
        <w:keepLines w:val="0"/>
        <w:tabs>
          <w:tab w:val="num" w:pos="1920"/>
        </w:tabs>
        <w:spacing w:before="0" w:after="240"/>
        <w:jc w:val="both"/>
        <w:rPr>
          <w:rFonts w:ascii="Times New Roman" w:eastAsia="Times New Roman" w:hAnsi="Times New Roman" w:cs="Times New Roman"/>
          <w:bCs w:val="0"/>
          <w:i/>
          <w:noProof/>
          <w:color w:val="auto"/>
          <w:sz w:val="24"/>
          <w:szCs w:val="20"/>
          <w:lang w:val="fr-FR"/>
        </w:rPr>
      </w:pPr>
      <w:r>
        <w:rPr>
          <w:rFonts w:ascii="Times New Roman" w:hAnsi="Times New Roman"/>
          <w:i/>
          <w:noProof/>
          <w:color w:val="auto"/>
          <w:sz w:val="24"/>
          <w:lang w:val="fr-FR"/>
        </w:rPr>
        <w:t>Coopération internationale</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participe activement aux travaux menés au niveau mondial, notamment à ceux de l’Organisation de coopération et de développement économiques (OCDE), en vue de résoudre les problèmes liés à la sécurité toxicologique et, en particulier, d’identi</w:t>
      </w:r>
      <w:r>
        <w:rPr>
          <w:rFonts w:ascii="Times New Roman" w:hAnsi="Times New Roman"/>
          <w:noProof/>
          <w:sz w:val="24"/>
          <w:lang w:val="fr-FR"/>
        </w:rPr>
        <w:t>fier les substances chimiques qui perturbent le système endocrinien. Aujourd’hui, un certain nombre d’essais concernant le dépistage de l’activité endocrinienne des substances ont été validés et approuvés en tant que lignes directrices de l’OCDE pour les e</w:t>
      </w:r>
      <w:r>
        <w:rPr>
          <w:rFonts w:ascii="Times New Roman" w:hAnsi="Times New Roman"/>
          <w:noProof/>
          <w:sz w:val="24"/>
          <w:lang w:val="fr-FR"/>
        </w:rPr>
        <w:t xml:space="preserve">ssais, mais les travaux se poursuivent. Des orientations détaillées supplémentaires ont été élaborées pour faciliter l’interprétation des résultats des essais. </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estime qu’il est essentiel de poursuivre et de renforcer ces travaux, sur la base</w:t>
      </w:r>
      <w:r>
        <w:rPr>
          <w:rFonts w:ascii="Times New Roman" w:hAnsi="Times New Roman"/>
          <w:noProof/>
          <w:sz w:val="24"/>
          <w:lang w:val="fr-FR"/>
        </w:rPr>
        <w:t xml:space="preserve"> des priorités fixées conjointement avec les États membres dans le cadre de l’OCDE d’ici 2018, afin de disposer de l’éventail nécessaire d’essais validés, au plus tard d’ici 2025.</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entretient également des contacts réguliers avec les autorités</w:t>
      </w:r>
      <w:r>
        <w:rPr>
          <w:rFonts w:ascii="Times New Roman" w:hAnsi="Times New Roman"/>
          <w:noProof/>
          <w:sz w:val="24"/>
          <w:lang w:val="fr-FR"/>
        </w:rPr>
        <w:t xml:space="preserve"> compétentes des pays tiers.</w:t>
      </w:r>
    </w:p>
    <w:p w:rsidR="00482ED0" w:rsidRDefault="00B9309F">
      <w:pPr>
        <w:pStyle w:val="Heading3"/>
        <w:keepLines w:val="0"/>
        <w:tabs>
          <w:tab w:val="num" w:pos="1920"/>
        </w:tabs>
        <w:spacing w:before="0" w:after="240"/>
        <w:jc w:val="both"/>
        <w:rPr>
          <w:rFonts w:ascii="Times New Roman" w:eastAsia="Times New Roman" w:hAnsi="Times New Roman" w:cs="Times New Roman"/>
          <w:bCs w:val="0"/>
          <w:i/>
          <w:noProof/>
          <w:color w:val="auto"/>
          <w:sz w:val="24"/>
          <w:szCs w:val="20"/>
          <w:lang w:val="fr-FR"/>
        </w:rPr>
      </w:pPr>
      <w:r>
        <w:rPr>
          <w:rFonts w:ascii="Times New Roman" w:hAnsi="Times New Roman"/>
          <w:i/>
          <w:noProof/>
          <w:color w:val="auto"/>
          <w:sz w:val="24"/>
          <w:lang w:val="fr-FR"/>
        </w:rPr>
        <w:t>Réglementation de l’UE</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Comme indiqué plus haut, les agences de régulation de l’UE, les comités scientifiques indépendants, la Commission et les États membres effectuent déjà des travaux sur les perturbateurs endocriniens. Ces t</w:t>
      </w:r>
      <w:r>
        <w:rPr>
          <w:rFonts w:ascii="Times New Roman" w:hAnsi="Times New Roman"/>
          <w:noProof/>
          <w:sz w:val="24"/>
          <w:lang w:val="fr-FR"/>
        </w:rPr>
        <w:t xml:space="preserve">ravaux sont régis par une législation sectorielle dans des domaines tels que la santé humaine (y compris pour les consommateurs et les travailleurs), la santé animale et l’environnement. Il s’agit notamment de la législation de l’UE concernant la sécurité </w:t>
      </w:r>
      <w:r>
        <w:rPr>
          <w:rFonts w:ascii="Times New Roman" w:hAnsi="Times New Roman"/>
          <w:noProof/>
          <w:sz w:val="24"/>
          <w:lang w:val="fr-FR"/>
        </w:rPr>
        <w:t>et la santé sur le lieu de travail (dont la législation relative aux agents chimiques sur le lieu de travail</w:t>
      </w:r>
      <w:r>
        <w:rPr>
          <w:rStyle w:val="FootnoteReference"/>
          <w:rFonts w:ascii="Times New Roman" w:hAnsi="Times New Roman"/>
          <w:noProof/>
          <w:sz w:val="24"/>
        </w:rPr>
        <w:footnoteReference w:id="37"/>
      </w:r>
      <w:r>
        <w:rPr>
          <w:rFonts w:ascii="Times New Roman" w:hAnsi="Times New Roman"/>
          <w:noProof/>
          <w:sz w:val="24"/>
          <w:lang w:val="fr-FR"/>
        </w:rPr>
        <w:t>, qui inclut tous les agents chimiques, y compris les perturbateurs endocriniens), la sécurité des denrées alimentaires et des aliments pour animau</w:t>
      </w:r>
      <w:r>
        <w:rPr>
          <w:rFonts w:ascii="Times New Roman" w:hAnsi="Times New Roman"/>
          <w:noProof/>
          <w:sz w:val="24"/>
          <w:lang w:val="fr-FR"/>
        </w:rPr>
        <w:t>x (les risques toxicologiques, y compris ceux découlant des perturbateurs endocriniens, y font l’objet d’une évaluation globale des risques) et les produits de consommation (notamment les cosmétiques et les jouets), ainsi que de la législation environnemen</w:t>
      </w:r>
      <w:r>
        <w:rPr>
          <w:rFonts w:ascii="Times New Roman" w:hAnsi="Times New Roman"/>
          <w:noProof/>
          <w:sz w:val="24"/>
          <w:lang w:val="fr-FR"/>
        </w:rPr>
        <w:t>tale.</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Toutefois, il apparaît clairement que la disponibilité de données scientifiques de qualité constitue un véritable défi pour les instances réglementaires. La Commission prendra par conséquent toutes les mesures nécessaires pour garantir que les exigen</w:t>
      </w:r>
      <w:r>
        <w:rPr>
          <w:rFonts w:ascii="Times New Roman" w:hAnsi="Times New Roman"/>
          <w:noProof/>
          <w:sz w:val="24"/>
          <w:lang w:val="fr-FR"/>
        </w:rPr>
        <w:t>ces en matière de données relatives aux perturbateurs endocriniens feront l’objet d’un réexamen – que ces exigences soient inscrites dans la législation de l’UE, dans les lignes directrices de la Commission ou dans celles des agences de régulation et des c</w:t>
      </w:r>
      <w:r>
        <w:rPr>
          <w:rFonts w:ascii="Times New Roman" w:hAnsi="Times New Roman"/>
          <w:noProof/>
          <w:sz w:val="24"/>
          <w:lang w:val="fr-FR"/>
        </w:rPr>
        <w:t>omités scientifiques indépendants.</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Par ailleurs, la Commission agira rapidement pour continuer à mettre en œuvre les obligations légales prévues par l’acquis de l’UE en ce qui concerne spécifiquement les perturbateurs endocriniens, notamment:</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 xml:space="preserve">Règlement de </w:t>
      </w:r>
      <w:r>
        <w:rPr>
          <w:rFonts w:ascii="Times New Roman" w:hAnsi="Times New Roman"/>
          <w:noProof/>
          <w:sz w:val="24"/>
          <w:u w:val="single"/>
          <w:lang w:val="fr-FR"/>
        </w:rPr>
        <w:t>l’UE relatif aux produits cosmétiques:</w:t>
      </w:r>
      <w:r>
        <w:rPr>
          <w:rFonts w:ascii="Times New Roman" w:hAnsi="Times New Roman"/>
          <w:noProof/>
          <w:sz w:val="24"/>
          <w:lang w:val="fr-FR"/>
        </w:rPr>
        <w:t xml:space="preserve"> selon le règlement de l’UE relatif aux produits cosmétiques, la Commission doit «</w:t>
      </w:r>
      <w:r>
        <w:rPr>
          <w:rFonts w:ascii="Times New Roman" w:hAnsi="Times New Roman"/>
          <w:i/>
          <w:noProof/>
          <w:sz w:val="24"/>
          <w:lang w:val="fr-FR"/>
        </w:rPr>
        <w:t>réviser le présent règlement en ce qui concerne les substances présentant des propriétés perturbant le système endocrinien</w:t>
      </w:r>
      <w:r>
        <w:rPr>
          <w:rFonts w:ascii="Times New Roman" w:hAnsi="Times New Roman"/>
          <w:noProof/>
          <w:sz w:val="24"/>
          <w:lang w:val="fr-FR"/>
        </w:rPr>
        <w:t>»</w:t>
      </w:r>
      <w:r>
        <w:rPr>
          <w:rStyle w:val="FootnoteReference"/>
          <w:rFonts w:ascii="Times New Roman" w:hAnsi="Times New Roman"/>
          <w:noProof/>
          <w:sz w:val="24"/>
        </w:rPr>
        <w:footnoteReference w:id="38"/>
      </w:r>
      <w:r>
        <w:rPr>
          <w:noProof/>
          <w:lang w:val="fr-FR"/>
        </w:rPr>
        <w:t>.</w:t>
      </w:r>
      <w:r>
        <w:rPr>
          <w:rFonts w:ascii="Times New Roman" w:hAnsi="Times New Roman"/>
          <w:noProof/>
          <w:sz w:val="24"/>
          <w:lang w:val="fr-FR"/>
        </w:rPr>
        <w:t xml:space="preserve"> Ce réexame</w:t>
      </w:r>
      <w:r>
        <w:rPr>
          <w:rFonts w:ascii="Times New Roman" w:hAnsi="Times New Roman"/>
          <w:noProof/>
          <w:sz w:val="24"/>
          <w:lang w:val="fr-FR"/>
        </w:rPr>
        <w:t>n est en retard. Un examen analytique de certains ingrédients entrant dans la composition de produits cosmétiques, mandaté par la Commission, est sur le point d’être achevé. La Commission présentera son réexamen d’ici la fin de l’année.</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REACH:</w:t>
      </w:r>
      <w:r>
        <w:rPr>
          <w:rFonts w:ascii="Times New Roman" w:hAnsi="Times New Roman"/>
          <w:noProof/>
          <w:sz w:val="24"/>
          <w:lang w:val="fr-FR"/>
        </w:rPr>
        <w:t xml:space="preserve"> l’autorisati</w:t>
      </w:r>
      <w:r>
        <w:rPr>
          <w:rFonts w:ascii="Times New Roman" w:hAnsi="Times New Roman"/>
          <w:noProof/>
          <w:sz w:val="24"/>
          <w:lang w:val="fr-FR"/>
        </w:rPr>
        <w:t xml:space="preserve">on des substances chimiques au titre du règlement REACH peut suivre deux voies distinctes. Lorsqu’un seuil sans risque peut être établi, l’autorisation est octroyée sur la base d’un risque contrôlé. Lorsqu’un seuil sans risque ne peut pas être établi, une </w:t>
      </w:r>
      <w:r>
        <w:rPr>
          <w:rFonts w:ascii="Times New Roman" w:hAnsi="Times New Roman"/>
          <w:noProof/>
          <w:sz w:val="24"/>
          <w:lang w:val="fr-FR"/>
        </w:rPr>
        <w:t>autorisation ne peut être octroyée «</w:t>
      </w:r>
      <w:r>
        <w:rPr>
          <w:rFonts w:ascii="Times New Roman" w:hAnsi="Times New Roman"/>
          <w:i/>
          <w:noProof/>
          <w:sz w:val="24"/>
          <w:lang w:val="fr-FR"/>
        </w:rPr>
        <w:t>que s’il est démontré que les avantages socio-économiques l’emportent sur le risque que représente pour la santé humaine ou pour l’environnement</w:t>
      </w:r>
      <w:r>
        <w:rPr>
          <w:rFonts w:ascii="Times New Roman" w:hAnsi="Times New Roman"/>
          <w:noProof/>
          <w:sz w:val="24"/>
          <w:lang w:val="fr-FR"/>
        </w:rPr>
        <w:t xml:space="preserve"> </w:t>
      </w:r>
      <w:r>
        <w:rPr>
          <w:rFonts w:ascii="Times New Roman" w:hAnsi="Times New Roman"/>
          <w:i/>
          <w:noProof/>
          <w:sz w:val="24"/>
          <w:lang w:val="fr-FR"/>
        </w:rPr>
        <w:t>l’utilisation de la substance et qu’il n’existe pas de substances ou de tec</w:t>
      </w:r>
      <w:r>
        <w:rPr>
          <w:rFonts w:ascii="Times New Roman" w:hAnsi="Times New Roman"/>
          <w:i/>
          <w:noProof/>
          <w:sz w:val="24"/>
          <w:lang w:val="fr-FR"/>
        </w:rPr>
        <w:t>hnologies de remplacement appropriées</w:t>
      </w:r>
      <w:r>
        <w:rPr>
          <w:rFonts w:ascii="Times New Roman" w:hAnsi="Times New Roman"/>
          <w:noProof/>
          <w:sz w:val="24"/>
          <w:lang w:val="fr-FR"/>
        </w:rPr>
        <w:t>»</w:t>
      </w:r>
      <w:r>
        <w:rPr>
          <w:rStyle w:val="FootnoteReference"/>
          <w:rFonts w:ascii="Times New Roman" w:hAnsi="Times New Roman"/>
          <w:noProof/>
          <w:sz w:val="24"/>
        </w:rPr>
        <w:footnoteReference w:id="39"/>
      </w:r>
      <w:r>
        <w:rPr>
          <w:noProof/>
          <w:lang w:val="fr-FR"/>
        </w:rPr>
        <w:t>.</w:t>
      </w:r>
      <w:r>
        <w:rPr>
          <w:rFonts w:ascii="Times New Roman" w:hAnsi="Times New Roman"/>
          <w:noProof/>
          <w:sz w:val="24"/>
          <w:lang w:val="fr-FR"/>
        </w:rPr>
        <w:t xml:space="preserve"> La Commission a été chargée de «</w:t>
      </w:r>
      <w:r>
        <w:rPr>
          <w:rFonts w:ascii="Times New Roman" w:hAnsi="Times New Roman"/>
          <w:i/>
          <w:noProof/>
          <w:sz w:val="24"/>
          <w:lang w:val="fr-FR"/>
        </w:rPr>
        <w:t>procéder à une révision afin d’évaluer, compte tenu de l’évolution des connaissances scientifiques, s’il convient ou non d’étendre le champ d’application de l’article 60, paragraphe 3</w:t>
      </w:r>
      <w:r>
        <w:rPr>
          <w:rFonts w:ascii="Times New Roman" w:hAnsi="Times New Roman"/>
          <w:i/>
          <w:noProof/>
          <w:sz w:val="24"/>
          <w:lang w:val="fr-FR"/>
        </w:rPr>
        <w:t>,</w:t>
      </w:r>
      <w:r>
        <w:rPr>
          <w:rFonts w:ascii="Times New Roman" w:hAnsi="Times New Roman"/>
          <w:noProof/>
          <w:sz w:val="24"/>
          <w:lang w:val="fr-FR"/>
        </w:rPr>
        <w:t xml:space="preserve"> [autorisation sur la base des avantages socio-économiques plutôt que d’une exposition sans risque]» aux perturbateurs endocriniens</w:t>
      </w:r>
      <w:r>
        <w:rPr>
          <w:rStyle w:val="FootnoteReference"/>
          <w:rFonts w:ascii="Times New Roman" w:hAnsi="Times New Roman"/>
          <w:noProof/>
          <w:sz w:val="24"/>
        </w:rPr>
        <w:footnoteReference w:id="40"/>
      </w:r>
      <w:r>
        <w:rPr>
          <w:noProof/>
          <w:lang w:val="fr-FR"/>
        </w:rPr>
        <w:t>.</w:t>
      </w:r>
      <w:r>
        <w:rPr>
          <w:rFonts w:ascii="Times New Roman" w:hAnsi="Times New Roman"/>
          <w:noProof/>
          <w:sz w:val="24"/>
          <w:lang w:val="fr-FR"/>
        </w:rPr>
        <w:t xml:space="preserve"> Après la présentation des critères scientifiques aujourd’hui, cette révision pourra être parachevée et sera présentée par</w:t>
      </w:r>
      <w:r>
        <w:rPr>
          <w:rFonts w:ascii="Times New Roman" w:hAnsi="Times New Roman"/>
          <w:noProof/>
          <w:sz w:val="24"/>
          <w:lang w:val="fr-FR"/>
        </w:rPr>
        <w:t xml:space="preserve"> la Commission d’ici la fin de l’année.</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u w:val="single"/>
          <w:lang w:val="fr-FR"/>
        </w:rPr>
        <w:t>Législation relative à la qualité de l’eau:</w:t>
      </w:r>
      <w:r>
        <w:rPr>
          <w:rFonts w:ascii="Times New Roman" w:hAnsi="Times New Roman"/>
          <w:noProof/>
          <w:sz w:val="24"/>
          <w:lang w:val="fr-FR"/>
        </w:rPr>
        <w:t xml:space="preserve"> le cadre réglementaire concernant la qualité de l’eau fait explicitement référence aux perturbateurs endocriniens à plusieurs reprises, par exemple pour ce qui est des subs</w:t>
      </w:r>
      <w:r>
        <w:rPr>
          <w:rFonts w:ascii="Times New Roman" w:hAnsi="Times New Roman"/>
          <w:noProof/>
          <w:sz w:val="24"/>
          <w:lang w:val="fr-FR"/>
        </w:rPr>
        <w:t>tances devant être tout particulièrement considérées comme des substances pouvant entraîner une pollution</w:t>
      </w:r>
      <w:r>
        <w:rPr>
          <w:rStyle w:val="FootnoteReference"/>
          <w:rFonts w:ascii="Times New Roman" w:hAnsi="Times New Roman"/>
          <w:noProof/>
          <w:sz w:val="24"/>
        </w:rPr>
        <w:footnoteReference w:id="41"/>
      </w:r>
      <w:r>
        <w:rPr>
          <w:noProof/>
          <w:lang w:val="fr-FR"/>
        </w:rPr>
        <w:t>.</w:t>
      </w:r>
      <w:r>
        <w:rPr>
          <w:rFonts w:ascii="Times New Roman" w:hAnsi="Times New Roman"/>
          <w:noProof/>
          <w:sz w:val="24"/>
          <w:lang w:val="fr-FR"/>
        </w:rPr>
        <w:t xml:space="preserve"> La Commission doit régulièrement réexaminer la liste des substances (dangereuses) prioritaires</w:t>
      </w:r>
      <w:r>
        <w:rPr>
          <w:rStyle w:val="FootnoteReference"/>
          <w:rFonts w:ascii="Times New Roman" w:hAnsi="Times New Roman"/>
          <w:noProof/>
          <w:sz w:val="24"/>
        </w:rPr>
        <w:footnoteReference w:id="42"/>
      </w:r>
      <w:r>
        <w:rPr>
          <w:rFonts w:ascii="Times New Roman" w:hAnsi="Times New Roman"/>
          <w:noProof/>
          <w:sz w:val="24"/>
          <w:lang w:val="fr-FR"/>
        </w:rPr>
        <w:t xml:space="preserve"> et des substances devant être classées dans la liste</w:t>
      </w:r>
      <w:r>
        <w:rPr>
          <w:rFonts w:ascii="Times New Roman" w:hAnsi="Times New Roman"/>
          <w:noProof/>
          <w:sz w:val="24"/>
          <w:lang w:val="fr-FR"/>
        </w:rPr>
        <w:t xml:space="preserve"> de vigilance</w:t>
      </w:r>
      <w:r>
        <w:rPr>
          <w:rStyle w:val="FootnoteReference"/>
          <w:rFonts w:ascii="Times New Roman" w:hAnsi="Times New Roman"/>
          <w:noProof/>
          <w:sz w:val="24"/>
        </w:rPr>
        <w:footnoteReference w:id="43"/>
      </w:r>
      <w:r>
        <w:rPr>
          <w:rFonts w:ascii="Times New Roman" w:hAnsi="Times New Roman"/>
          <w:noProof/>
          <w:sz w:val="24"/>
          <w:lang w:val="fr-FR"/>
        </w:rPr>
        <w:t>, ainsi que les paramètres de qualité des eaux destinées à la consommation humaine</w:t>
      </w:r>
      <w:r>
        <w:rPr>
          <w:rStyle w:val="FootnoteReference"/>
          <w:rFonts w:ascii="Times New Roman" w:hAnsi="Times New Roman"/>
          <w:noProof/>
          <w:sz w:val="24"/>
        </w:rPr>
        <w:footnoteReference w:id="44"/>
      </w:r>
      <w:r>
        <w:rPr>
          <w:noProof/>
          <w:lang w:val="fr-FR"/>
        </w:rPr>
        <w:t>.</w:t>
      </w:r>
      <w:r>
        <w:rPr>
          <w:rFonts w:ascii="Times New Roman" w:hAnsi="Times New Roman"/>
          <w:noProof/>
          <w:sz w:val="24"/>
          <w:lang w:val="fr-FR"/>
        </w:rPr>
        <w:t xml:space="preserve"> Ces réexamens sont en cours conformément à la législation applicable.</w:t>
      </w:r>
    </w:p>
    <w:p w:rsidR="00482ED0" w:rsidRDefault="00B9309F">
      <w:pPr>
        <w:pStyle w:val="Heading1"/>
        <w:spacing w:before="240" w:after="240"/>
        <w:rPr>
          <w:rFonts w:ascii="Times New Roman" w:eastAsia="Times New Roman" w:hAnsi="Times New Roman" w:cs="Times New Roman"/>
          <w:bCs w:val="0"/>
          <w:smallCaps/>
          <w:noProof/>
          <w:color w:val="auto"/>
          <w:sz w:val="24"/>
          <w:szCs w:val="20"/>
          <w:lang w:val="fr-FR"/>
        </w:rPr>
      </w:pPr>
      <w:r>
        <w:rPr>
          <w:rFonts w:ascii="Times New Roman" w:hAnsi="Times New Roman"/>
          <w:smallCaps/>
          <w:noProof/>
          <w:color w:val="auto"/>
          <w:sz w:val="24"/>
          <w:lang w:val="fr-FR"/>
        </w:rPr>
        <w:t xml:space="preserve">6. </w:t>
      </w:r>
      <w:r>
        <w:rPr>
          <w:noProof/>
          <w:lang w:val="fr-FR"/>
        </w:rPr>
        <w:tab/>
      </w:r>
      <w:r>
        <w:rPr>
          <w:rFonts w:ascii="Times New Roman" w:hAnsi="Times New Roman"/>
          <w:smallCaps/>
          <w:noProof/>
          <w:color w:val="auto"/>
          <w:sz w:val="24"/>
          <w:lang w:val="fr-FR"/>
        </w:rPr>
        <w:t>Conclusion</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L’adoption de critères permettant d’identifier les substances perturbant</w:t>
      </w:r>
      <w:r>
        <w:rPr>
          <w:rFonts w:ascii="Times New Roman" w:hAnsi="Times New Roman"/>
          <w:noProof/>
          <w:sz w:val="24"/>
          <w:lang w:val="fr-FR"/>
        </w:rPr>
        <w:t xml:space="preserve"> le système endocrinien permettra de remplir les obligations légales au titre de la législation relative aux produits phytopharmaceutiques et aux biocides. Une fois adopté, le cadre réglementaire de l’UE sera le premier cadre réglementaire au monde à défin</w:t>
      </w:r>
      <w:r>
        <w:rPr>
          <w:rFonts w:ascii="Times New Roman" w:hAnsi="Times New Roman"/>
          <w:noProof/>
          <w:sz w:val="24"/>
          <w:lang w:val="fr-FR"/>
        </w:rPr>
        <w:t>ir des critères scientifiques applicables aux perturbateurs endocriniens dans la législation.</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projets de mesures doivent à présent être examinés dans le cadre des procédures applicables et finalisés rapidement pour satisfaire à l’obligation légale selo</w:t>
      </w:r>
      <w:r>
        <w:rPr>
          <w:rFonts w:ascii="Times New Roman" w:hAnsi="Times New Roman"/>
          <w:noProof/>
          <w:sz w:val="24"/>
          <w:lang w:val="fr-FR"/>
        </w:rPr>
        <w:t>n laquelle les critères doivent être inscrits dans la législation. La Commission invite les États membres et les institutions de l’UE associées au processus d’adoption à collaborer étroitement et de manière constructive en vue d’adopter rapidement ces text</w:t>
      </w:r>
      <w:r>
        <w:rPr>
          <w:rFonts w:ascii="Times New Roman" w:hAnsi="Times New Roman"/>
          <w:noProof/>
          <w:sz w:val="24"/>
          <w:lang w:val="fr-FR"/>
        </w:rPr>
        <w:t xml:space="preserve">es. </w:t>
      </w:r>
    </w:p>
    <w:p w:rsidR="00482ED0" w:rsidRDefault="00B9309F">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Comme indiqué plus haut, la Commission demande aussi aux agences concernées de commencer immédiatement à examiner les substances individuelles, afin d’accélérer le processus lorsque les critères entreront en vigueur.</w:t>
      </w:r>
    </w:p>
    <w:p w:rsidR="00482ED0" w:rsidRDefault="00B9309F">
      <w:pPr>
        <w:pStyle w:val="Heading2"/>
        <w:keepNext w:val="0"/>
        <w:keepLines w:val="0"/>
        <w:tabs>
          <w:tab w:val="num" w:pos="1080"/>
        </w:tabs>
        <w:spacing w:before="0" w:after="240"/>
        <w:jc w:val="both"/>
        <w:rPr>
          <w:rFonts w:ascii="Times New Roman" w:hAnsi="Times New Roman" w:cs="Times New Roman"/>
          <w:b w:val="0"/>
          <w:noProof/>
          <w:color w:val="auto"/>
          <w:sz w:val="24"/>
          <w:szCs w:val="24"/>
          <w:lang w:val="fr-FR"/>
        </w:rPr>
      </w:pPr>
      <w:r>
        <w:rPr>
          <w:rFonts w:ascii="Times New Roman" w:hAnsi="Times New Roman"/>
          <w:b w:val="0"/>
          <w:noProof/>
          <w:color w:val="auto"/>
          <w:sz w:val="24"/>
          <w:lang w:val="fr-FR"/>
        </w:rPr>
        <w:t>La Commission, en étroite coopérat</w:t>
      </w:r>
      <w:r>
        <w:rPr>
          <w:rFonts w:ascii="Times New Roman" w:hAnsi="Times New Roman"/>
          <w:b w:val="0"/>
          <w:noProof/>
          <w:color w:val="auto"/>
          <w:sz w:val="24"/>
          <w:lang w:val="fr-FR"/>
        </w:rPr>
        <w:t>ion avec les agences de régulation de l’UE, les comités scientifiques indépendants, les États membres et les institutions de l’UE, est déterminée à continuer à garantir un niveau élevé de protection de la santé et de l’environnement contre les risques toxi</w:t>
      </w:r>
      <w:r>
        <w:rPr>
          <w:rFonts w:ascii="Times New Roman" w:hAnsi="Times New Roman"/>
          <w:b w:val="0"/>
          <w:noProof/>
          <w:color w:val="auto"/>
          <w:sz w:val="24"/>
          <w:lang w:val="fr-FR"/>
        </w:rPr>
        <w:t>cologiques et estime que les deux mesures constitueront une étape importante dans le domaine des perturbateurs endocriniens.</w:t>
      </w:r>
    </w:p>
    <w:sectPr w:rsidR="00482ED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D0" w:rsidRDefault="00B9309F">
      <w:pPr>
        <w:spacing w:after="0" w:line="240" w:lineRule="auto"/>
      </w:pPr>
      <w:r>
        <w:separator/>
      </w:r>
    </w:p>
  </w:endnote>
  <w:endnote w:type="continuationSeparator" w:id="0">
    <w:p w:rsidR="00482ED0" w:rsidRDefault="00B9309F">
      <w:pPr>
        <w:spacing w:after="0" w:line="240" w:lineRule="auto"/>
      </w:pPr>
      <w:r>
        <w:continuationSeparator/>
      </w:r>
    </w:p>
  </w:endnote>
  <w:endnote w:type="continuationNotice" w:id="1">
    <w:p w:rsidR="00B9309F" w:rsidRDefault="00B93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D0" w:rsidRDefault="00482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D0" w:rsidRDefault="00B9309F">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D0" w:rsidRDefault="00482ED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D0" w:rsidRDefault="00482E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789110"/>
      <w:docPartObj>
        <w:docPartGallery w:val="Page Numbers (Bottom of Page)"/>
        <w:docPartUnique/>
      </w:docPartObj>
    </w:sdtPr>
    <w:sdtEndPr>
      <w:rPr>
        <w:rFonts w:ascii="Times New Roman" w:hAnsi="Times New Roman" w:cs="Times New Roman"/>
        <w:noProof/>
        <w:sz w:val="24"/>
        <w:szCs w:val="24"/>
      </w:rPr>
    </w:sdtEndPr>
    <w:sdtContent>
      <w:p w:rsidR="00482ED0" w:rsidRDefault="00B9309F">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rsidR="00482ED0" w:rsidRDefault="00482E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D0" w:rsidRDefault="00482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D0" w:rsidRDefault="00B9309F">
      <w:pPr>
        <w:spacing w:after="0" w:line="240" w:lineRule="auto"/>
      </w:pPr>
      <w:r>
        <w:separator/>
      </w:r>
    </w:p>
  </w:footnote>
  <w:footnote w:type="continuationSeparator" w:id="0">
    <w:p w:rsidR="00482ED0" w:rsidRDefault="00B9309F">
      <w:pPr>
        <w:spacing w:after="0" w:line="240" w:lineRule="auto"/>
      </w:pPr>
      <w:r>
        <w:continuationSeparator/>
      </w:r>
    </w:p>
  </w:footnote>
  <w:footnote w:type="continuationNotice" w:id="1">
    <w:p w:rsidR="00B9309F" w:rsidRDefault="00B9309F">
      <w:pPr>
        <w:spacing w:after="0" w:line="240" w:lineRule="auto"/>
      </w:pPr>
    </w:p>
  </w:footnote>
  <w:footnote w:id="2">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COM(1999) 706 final du 17.12.1999.</w:t>
      </w:r>
    </w:p>
  </w:footnote>
  <w:footnote w:id="3">
    <w:p w:rsidR="00482ED0" w:rsidRDefault="00B9309F">
      <w:pPr>
        <w:pStyle w:val="FootnoteText"/>
        <w:ind w:left="357" w:hanging="357"/>
        <w:jc w:val="both"/>
        <w:rPr>
          <w:lang w:val="fr-FR"/>
        </w:rPr>
      </w:pPr>
      <w:r>
        <w:rPr>
          <w:rStyle w:val="FootnoteReference"/>
          <w:rFonts w:ascii="Times New Roman" w:hAnsi="Times New Roman" w:cs="Times New Roman"/>
        </w:rPr>
        <w:footnoteRef/>
      </w:r>
      <w:r>
        <w:rPr>
          <w:rFonts w:ascii="Times New Roman" w:hAnsi="Times New Roman" w:cs="Times New Roman"/>
          <w:lang w:val="fr-FR"/>
        </w:rPr>
        <w:t xml:space="preserve"> </w:t>
      </w:r>
      <w:r>
        <w:rPr>
          <w:rFonts w:ascii="Times New Roman" w:hAnsi="Times New Roman" w:cs="Times New Roman"/>
          <w:lang w:val="fr-FR"/>
        </w:rPr>
        <w:tab/>
      </w:r>
      <w:r>
        <w:rPr>
          <w:rFonts w:ascii="Times New Roman" w:hAnsi="Times New Roman"/>
          <w:lang w:val="fr-FR"/>
        </w:rPr>
        <w:t xml:space="preserve">Il s'agit de l'un des aspects couverts par le </w:t>
      </w:r>
      <w:r>
        <w:rPr>
          <w:rFonts w:ascii="Times New Roman" w:hAnsi="Times New Roman"/>
          <w:lang w:val="fr-FR"/>
        </w:rPr>
        <w:t>septième programme d'action pour l'environnement (décision n° 1386/2013/UE du Parlement européen et du Conseil du 20 novembre 2013 relative à un programme d’action général de l’Union pour l’environnement à l’horizon 2020 «Bien vivre, dans les limites de no</w:t>
      </w:r>
      <w:r>
        <w:rPr>
          <w:rFonts w:ascii="Times New Roman" w:hAnsi="Times New Roman"/>
          <w:lang w:val="fr-FR"/>
        </w:rPr>
        <w:t>tre planète» (JO L 354 du 28.12.2013, p. 171).</w:t>
      </w:r>
    </w:p>
  </w:footnote>
  <w:footnote w:id="4">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lang w:val="fr-FR"/>
        </w:rPr>
        <w:tab/>
      </w:r>
      <w:r>
        <w:rPr>
          <w:rFonts w:ascii="Times New Roman" w:hAnsi="Times New Roman"/>
          <w:lang w:val="fr-FR"/>
        </w:rPr>
        <w:t>Règlement (UE) n° 528/2012 du Parlement européen et du Conseil concernant la mise à disposition sur le marché et l'utilisation des produits biocides (JO L 167 du 27.6.2012, p. 1).</w:t>
      </w:r>
    </w:p>
  </w:footnote>
  <w:footnote w:id="5">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lang w:val="fr-FR"/>
        </w:rPr>
        <w:tab/>
      </w:r>
      <w:r>
        <w:rPr>
          <w:rFonts w:ascii="Times New Roman" w:hAnsi="Times New Roman"/>
          <w:lang w:val="fr-FR"/>
        </w:rPr>
        <w:t>Règlement (CE) n° 1107/</w:t>
      </w:r>
      <w:r>
        <w:rPr>
          <w:rFonts w:ascii="Times New Roman" w:hAnsi="Times New Roman"/>
          <w:lang w:val="fr-FR"/>
        </w:rPr>
        <w:t>2009 du Parlement européen et du Conseil concernant la mise sur le marché des produits phytopharmaceutiques (JO L 309 du 24.11.2009, p. 1).</w:t>
      </w:r>
    </w:p>
  </w:footnote>
  <w:footnote w:id="6">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Article 5, paragraphe 3, du règlement (UE) nº 528/2012.</w:t>
      </w:r>
    </w:p>
  </w:footnote>
  <w:footnote w:id="7">
    <w:p w:rsidR="00482ED0" w:rsidRDefault="00B9309F">
      <w:pPr>
        <w:pStyle w:val="Titreobjet"/>
        <w:spacing w:before="0" w:after="0"/>
        <w:ind w:left="357" w:hanging="357"/>
        <w:jc w:val="both"/>
        <w:rPr>
          <w:lang w:val="fr-FR"/>
        </w:rPr>
      </w:pPr>
      <w:r>
        <w:rPr>
          <w:rStyle w:val="FootnoteReference"/>
          <w:b w:val="0"/>
          <w:sz w:val="20"/>
        </w:rPr>
        <w:footnoteRef/>
      </w:r>
      <w:r>
        <w:rPr>
          <w:rStyle w:val="FootnoteReference"/>
          <w:lang w:val="fr-FR"/>
        </w:rPr>
        <w:t xml:space="preserve"> </w:t>
      </w:r>
      <w:r>
        <w:rPr>
          <w:lang w:val="fr-FR"/>
        </w:rPr>
        <w:tab/>
      </w:r>
      <w:r>
        <w:rPr>
          <w:b w:val="0"/>
          <w:sz w:val="20"/>
          <w:lang w:val="fr-FR"/>
        </w:rPr>
        <w:t xml:space="preserve">Projet de règlement délégué de la Commission exposant </w:t>
      </w:r>
      <w:r>
        <w:rPr>
          <w:b w:val="0"/>
          <w:sz w:val="20"/>
          <w:lang w:val="fr-FR"/>
        </w:rPr>
        <w:t>les critères scientifiques pour la détermination des propriétés perturbant le système endocrinien, conformément au règlement (UE) nº 528/2012 et projet de règlement de la Commission exposant les critères scientifiques pour la détermination des propriétés p</w:t>
      </w:r>
      <w:r>
        <w:rPr>
          <w:b w:val="0"/>
          <w:sz w:val="20"/>
          <w:lang w:val="fr-FR"/>
        </w:rPr>
        <w:t>erturbant le système endocrinien et modifiant l’annexe II du règlement (CE) nº 1107/2009.</w:t>
      </w:r>
    </w:p>
  </w:footnote>
  <w:footnote w:id="8">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Pour ce qui est des produits phytopharmaceutiques, le projet de texte est soumis au vote du comité permanent (procédure de réglementation avec contrôle). Pour ce q</w:t>
      </w:r>
      <w:r>
        <w:rPr>
          <w:rFonts w:ascii="Times New Roman" w:hAnsi="Times New Roman"/>
          <w:lang w:val="fr-FR"/>
        </w:rPr>
        <w:t>ui est des produits biocides, un projet d'acte délégué fait l'objet de discussions au sein d'un groupe d'experts des États membres. Les deux mesures font intervenir le Parlement et le Conseil, quoique dans le cadre de procédures différentes (projet de mesu</w:t>
      </w:r>
      <w:r>
        <w:rPr>
          <w:rFonts w:ascii="Times New Roman" w:hAnsi="Times New Roman"/>
          <w:lang w:val="fr-FR"/>
        </w:rPr>
        <w:t>re soumis à la procédure de réglementation avec contrôle et acte délégué adopté). Pour garantir la cohérence entre les deux actes, la Commission présentera les deux textes simultanément aux colégislateurs de l'UE pour qu'ils exercent leurs fonctions de con</w:t>
      </w:r>
      <w:r>
        <w:rPr>
          <w:rFonts w:ascii="Times New Roman" w:hAnsi="Times New Roman"/>
          <w:lang w:val="fr-FR"/>
        </w:rPr>
        <w:t>trôle.</w:t>
      </w:r>
    </w:p>
  </w:footnote>
  <w:footnote w:id="9">
    <w:p w:rsidR="00482ED0" w:rsidRDefault="00B9309F">
      <w:pPr>
        <w:pStyle w:val="FootnoteText"/>
        <w:ind w:left="357" w:hanging="357"/>
        <w:jc w:val="both"/>
        <w:rPr>
          <w:lang w:val="fr-FR"/>
        </w:rPr>
      </w:pPr>
      <w:r>
        <w:rPr>
          <w:rStyle w:val="FootnoteReference"/>
        </w:rPr>
        <w:footnoteRef/>
      </w:r>
      <w:r>
        <w:rPr>
          <w:lang w:val="fr-FR"/>
        </w:rPr>
        <w:t xml:space="preserve"> </w:t>
      </w:r>
      <w:r>
        <w:rPr>
          <w:lang w:val="fr-FR"/>
        </w:rPr>
        <w:tab/>
      </w:r>
      <w:r>
        <w:rPr>
          <w:rFonts w:ascii="Times New Roman" w:hAnsi="Times New Roman"/>
          <w:lang w:val="fr-FR"/>
        </w:rPr>
        <w:t>SWD(2016) 211.</w:t>
      </w:r>
    </w:p>
  </w:footnote>
  <w:footnote w:id="10">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lang w:val="fr-FR"/>
        </w:rPr>
        <w:tab/>
      </w:r>
      <w:r>
        <w:rPr>
          <w:rFonts w:ascii="Times New Roman" w:hAnsi="Times New Roman"/>
          <w:lang w:val="fr-FR"/>
        </w:rPr>
        <w:t>Les travaux d'analyse menés dans le cadre de l'analyse d'impact s'appuient entre autres sur une étude réalisée par une société extérieure qui a passé en revue la quasi-totalité des substances actives approuvées pour les produits</w:t>
      </w:r>
      <w:r>
        <w:rPr>
          <w:rFonts w:ascii="Times New Roman" w:hAnsi="Times New Roman"/>
          <w:lang w:val="fr-FR"/>
        </w:rPr>
        <w:t xml:space="preserve"> phytopharmaceutiques (et les substances actives de produits biocides pour lesquelles des informations étaient disponibles au niveau de l'UE) afin d'évaluer les conséquences des différents critères qu'il est possible d'appliquer pour identifier les perturb</w:t>
      </w:r>
      <w:r>
        <w:rPr>
          <w:rFonts w:ascii="Times New Roman" w:hAnsi="Times New Roman"/>
          <w:lang w:val="fr-FR"/>
        </w:rPr>
        <w:t>ateurs endocriniens conformément aux règlements concernant les produits phytopharmaceutiques et les produits biocides. Cette analyse devait être réalisée dans un laps de temps limité sur la base des éléments de preuve disponibles (pas d'essais supplémentai</w:t>
      </w:r>
      <w:r>
        <w:rPr>
          <w:rFonts w:ascii="Times New Roman" w:hAnsi="Times New Roman"/>
          <w:lang w:val="fr-FR"/>
        </w:rPr>
        <w:t>res). La méthode d'analyse a été mise au point pour l'exercice. Les résultats de cette analyse ne constituent donc pas une évaluation des différentes substances au titre des règlements respectifs et ne préjugent en rien des décisions concernant les substan</w:t>
      </w:r>
      <w:r>
        <w:rPr>
          <w:rFonts w:ascii="Times New Roman" w:hAnsi="Times New Roman"/>
          <w:lang w:val="fr-FR"/>
        </w:rPr>
        <w:t>ces actives qui seront prises à l'avenir sur la base de ces deux règlements.</w:t>
      </w:r>
    </w:p>
  </w:footnote>
  <w:footnote w:id="11">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Parmi les rapports scientifiques et politiques du Centre commun de recherche, les plus importants sont ceux du groupe consultatif d'experts sur les perturbateurs endocriniens, </w:t>
      </w:r>
      <w:r>
        <w:rPr>
          <w:rFonts w:ascii="Times New Roman" w:hAnsi="Times New Roman"/>
          <w:lang w:val="fr-FR"/>
        </w:rPr>
        <w:t>à savoir ceux sur les questions scientifiques clés pertinentes pour l'identification et la caractérisation des substances perturbant le système endocrinien (2013) et sur l'existence de seuils pour les perturbateurs endocriniens et les incertitudes qui y so</w:t>
      </w:r>
      <w:r>
        <w:rPr>
          <w:rFonts w:ascii="Times New Roman" w:hAnsi="Times New Roman"/>
          <w:lang w:val="fr-FR"/>
        </w:rPr>
        <w:t>nt liées (2013) (</w:t>
      </w:r>
      <w:hyperlink r:id="rId1">
        <w:r>
          <w:rPr>
            <w:rStyle w:val="Hyperlink"/>
            <w:rFonts w:ascii="Times New Roman" w:hAnsi="Times New Roman"/>
            <w:lang w:val="fr-FR"/>
          </w:rPr>
          <w:t>https://ec.europa.eu/jrc/en/publication/eur-scientific-and-technical-researc</w:t>
        </w:r>
        <w:r>
          <w:rPr>
            <w:rStyle w:val="Hyperlink"/>
            <w:rFonts w:ascii="Times New Roman" w:hAnsi="Times New Roman"/>
            <w:lang w:val="fr-FR"/>
          </w:rPr>
          <w:t>h-reports/thresholds-endocrine-disrupters-and-related-uncertainties</w:t>
        </w:r>
      </w:hyperlink>
      <w:r>
        <w:rPr>
          <w:rFonts w:ascii="Times New Roman" w:hAnsi="Times New Roman"/>
          <w:lang w:val="fr-FR"/>
        </w:rPr>
        <w:t>; https://ec.europa.eu/jrc/en/publication/eur-scientific-and-technical-research-reports/key-scientific-issues-relevant-identification-and-characterisation-endocrine-disrupting).</w:t>
      </w:r>
    </w:p>
  </w:footnote>
  <w:footnote w:id="12">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lang w:val="fr-FR"/>
        </w:rPr>
        <w:tab/>
      </w:r>
      <w:r>
        <w:rPr>
          <w:rStyle w:val="FootnoteReference"/>
          <w:rFonts w:ascii="Times New Roman" w:hAnsi="Times New Roman"/>
        </w:rPr>
        <w:footnoteRef/>
      </w:r>
      <w:r>
        <w:rPr>
          <w:rFonts w:ascii="Times New Roman" w:hAnsi="Times New Roman"/>
          <w:lang w:val="fr-FR"/>
        </w:rPr>
        <w:t xml:space="preserve">Pour de plus amples informations sur les nombreuses activités de l'UE, voir le portail web spécifique de la Commission à l'adresse suivante: </w:t>
      </w:r>
      <w:hyperlink r:id="rId2">
        <w:r>
          <w:rPr>
            <w:rStyle w:val="Hyperlink"/>
            <w:rFonts w:ascii="Times New Roman" w:hAnsi="Times New Roman"/>
            <w:lang w:val="fr-FR"/>
          </w:rPr>
          <w:t>http://ec.europa.eu/health/e</w:t>
        </w:r>
        <w:r>
          <w:rPr>
            <w:rStyle w:val="Hyperlink"/>
            <w:rFonts w:ascii="Times New Roman" w:hAnsi="Times New Roman"/>
            <w:lang w:val="fr-FR"/>
          </w:rPr>
          <w:t>ndocrine_disruptors/policy/index_en.htm</w:t>
        </w:r>
      </w:hyperlink>
      <w:r>
        <w:rPr>
          <w:rFonts w:ascii="Times New Roman" w:hAnsi="Times New Roman"/>
          <w:lang w:val="fr-FR"/>
        </w:rPr>
        <w:t xml:space="preserve">. </w:t>
      </w:r>
    </w:p>
  </w:footnote>
  <w:footnote w:id="13">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Arrêt rendu dans l’affaire T-521/14, Suède/Commission.</w:t>
      </w:r>
    </w:p>
  </w:footnote>
  <w:footnote w:id="14">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Organisation mondiale de la santé - Programme international sur la sécurité des substances chimiques, Évaluation globale de l’état de la science sur la p</w:t>
      </w:r>
      <w:r>
        <w:rPr>
          <w:rFonts w:ascii="Times New Roman" w:hAnsi="Times New Roman"/>
          <w:lang w:val="fr-FR"/>
        </w:rPr>
        <w:t>erturbation endocrinienne (</w:t>
      </w:r>
      <w:r>
        <w:rPr>
          <w:rFonts w:ascii="Times New Roman" w:hAnsi="Times New Roman"/>
          <w:i/>
          <w:lang w:val="fr-FR"/>
        </w:rPr>
        <w:t>Global assessment of the state-of-the-science of endocrine disruptor</w:t>
      </w:r>
      <w:r>
        <w:rPr>
          <w:rFonts w:ascii="Times New Roman" w:hAnsi="Times New Roman"/>
          <w:lang w:val="fr-FR"/>
        </w:rPr>
        <w:t>), 2002, WHO/PCS/EDC/02.2.</w:t>
      </w:r>
    </w:p>
  </w:footnote>
  <w:footnote w:id="15">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Autorité européenne de sécurité des aliments, Les critères scientifiques pour l’identification des perturbateurs endocriniens et la</w:t>
      </w:r>
      <w:r>
        <w:rPr>
          <w:rFonts w:ascii="Times New Roman" w:hAnsi="Times New Roman"/>
          <w:lang w:val="fr-FR"/>
        </w:rPr>
        <w:t xml:space="preserve"> pertinence des méthodes d'essai existantes pour évaluer les effets induits par ces substances sur la santé humaine et l'environnement (</w:t>
      </w:r>
      <w:r>
        <w:rPr>
          <w:rFonts w:ascii="Times New Roman" w:hAnsi="Times New Roman"/>
          <w:i/>
          <w:lang w:val="fr-FR"/>
        </w:rPr>
        <w:t>Scientific criteria for identification of endocrine disruptors and appropriateness of existing test methods for assessin</w:t>
      </w:r>
      <w:r>
        <w:rPr>
          <w:rFonts w:ascii="Times New Roman" w:hAnsi="Times New Roman"/>
          <w:i/>
          <w:lang w:val="fr-FR"/>
        </w:rPr>
        <w:t>g effects mediated by these substances on human health and the environment</w:t>
      </w:r>
      <w:r>
        <w:rPr>
          <w:rFonts w:ascii="Times New Roman" w:hAnsi="Times New Roman"/>
          <w:lang w:val="fr-FR"/>
        </w:rPr>
        <w:t>), 28.2.2013, EFSA Journal 2013; 11(3): 3132, p. 17 [ci-après «EFSA(2013)»],</w:t>
      </w:r>
    </w:p>
  </w:footnote>
  <w:footnote w:id="16">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Voir EFSA(2013), p. 29.</w:t>
      </w:r>
    </w:p>
  </w:footnote>
  <w:footnote w:id="17">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Organisation mondiale de la santé - Programme international sur la sécurité</w:t>
      </w:r>
      <w:r>
        <w:rPr>
          <w:rFonts w:ascii="Times New Roman" w:hAnsi="Times New Roman"/>
          <w:lang w:val="fr-FR"/>
        </w:rPr>
        <w:t xml:space="preserve"> des substances chimiques, Principes et méthodes concernant l’évaluation des risques des produits chimiques dans les denrées alimentaires (</w:t>
      </w:r>
      <w:r>
        <w:rPr>
          <w:rFonts w:ascii="Times New Roman" w:hAnsi="Times New Roman"/>
          <w:i/>
          <w:lang w:val="fr-FR"/>
        </w:rPr>
        <w:t>Principles and methods for the risk assessment of chemicals in food</w:t>
      </w:r>
      <w:r>
        <w:rPr>
          <w:rFonts w:ascii="Times New Roman" w:hAnsi="Times New Roman"/>
          <w:lang w:val="fr-FR"/>
        </w:rPr>
        <w:t>). (Critères d'hygiène de l'environnement), 2009.</w:t>
      </w:r>
    </w:p>
  </w:footnote>
  <w:footnote w:id="18">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EFSA(2013), p. 16.</w:t>
      </w:r>
    </w:p>
  </w:footnote>
  <w:footnote w:id="19">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On parle parfois de «spécificité de l’effet indésirable».</w:t>
      </w:r>
    </w:p>
  </w:footnote>
  <w:footnote w:id="20">
    <w:p w:rsidR="00482ED0" w:rsidRDefault="00B9309F">
      <w:pPr>
        <w:pStyle w:val="FootnoteText"/>
        <w:ind w:left="357" w:hanging="357"/>
        <w:jc w:val="both"/>
        <w:rPr>
          <w:lang w:val="fr-FR"/>
        </w:rPr>
      </w:pPr>
      <w:r>
        <w:rPr>
          <w:rStyle w:val="FootnoteReference"/>
          <w:rFonts w:ascii="Times New Roman" w:hAnsi="Times New Roman"/>
        </w:rPr>
        <w:footnoteRef/>
      </w:r>
      <w:r>
        <w:rPr>
          <w:rStyle w:val="FootnoteReference"/>
          <w:lang w:val="fr-FR"/>
        </w:rPr>
        <w:t xml:space="preserve"> </w:t>
      </w:r>
      <w:r>
        <w:rPr>
          <w:lang w:val="fr-FR"/>
        </w:rPr>
        <w:tab/>
      </w:r>
      <w:r>
        <w:rPr>
          <w:rFonts w:ascii="Times New Roman" w:hAnsi="Times New Roman"/>
          <w:lang w:val="fr-FR"/>
        </w:rPr>
        <w:t>Ces catégories sont utilisées dans certains domaines de la réglementation des produits chimiques. Il ne faut pas confondre ces catégories avec celles qui sont fondées sur</w:t>
      </w:r>
      <w:r>
        <w:rPr>
          <w:rFonts w:ascii="Times New Roman" w:hAnsi="Times New Roman"/>
          <w:lang w:val="fr-FR"/>
        </w:rPr>
        <w:t xml:space="preserve"> la puissance (voir plus bas).</w:t>
      </w:r>
    </w:p>
  </w:footnote>
  <w:footnote w:id="21">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Cela n’empêche pas d'utiliser les catégories comme un outil de hiérarchisation aux fins, par exemple, de recherches supplémentaires.</w:t>
      </w:r>
    </w:p>
  </w:footnote>
  <w:footnote w:id="22">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Sauf exceptions, comme, par exemple, certaines formes de mutagénicité et de carcénogén</w:t>
      </w:r>
      <w:r>
        <w:rPr>
          <w:rFonts w:ascii="Times New Roman" w:hAnsi="Times New Roman"/>
          <w:lang w:val="fr-FR"/>
        </w:rPr>
        <w:t>icité génotoxique. En ce qui concerne ces effets, les méthodes actuelles d’évaluation des risques sont fondées sur une approche qui ne tient pas compte de seuils. Il est en effet supposé qu'aucune exposition n'est sans risque.</w:t>
      </w:r>
    </w:p>
  </w:footnote>
  <w:footnote w:id="23">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L’EFSA a rappelé que </w:t>
      </w:r>
      <w:r>
        <w:rPr>
          <w:rFonts w:ascii="Times New Roman" w:hAnsi="Times New Roman"/>
          <w:i/>
          <w:lang w:val="fr-FR"/>
        </w:rPr>
        <w:t xml:space="preserve">pour </w:t>
      </w:r>
      <w:r>
        <w:rPr>
          <w:rFonts w:ascii="Times New Roman" w:hAnsi="Times New Roman"/>
          <w:i/>
          <w:lang w:val="fr-FR"/>
        </w:rPr>
        <w:t>la plupart des processus toxiques, il est généralement admis qu’il existe un seuil d’exposition en deça duquel aucun effet biologiquement significatif ne sera induit</w:t>
      </w:r>
      <w:r>
        <w:rPr>
          <w:rFonts w:ascii="Times New Roman" w:hAnsi="Times New Roman"/>
          <w:lang w:val="fr-FR"/>
        </w:rPr>
        <w:t xml:space="preserve"> [EFSA(2013), p. 16].</w:t>
      </w:r>
    </w:p>
  </w:footnote>
  <w:footnote w:id="24">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Une comparaison entre le sucre et les édulcorants peut constituer </w:t>
      </w:r>
      <w:r>
        <w:rPr>
          <w:rFonts w:ascii="Times New Roman" w:hAnsi="Times New Roman"/>
          <w:lang w:val="fr-FR"/>
        </w:rPr>
        <w:t>un bon exemple. Le sucre comme les édulcorants ont un pouvoir intrinsèque sucrant. Toutefois, la puissance de la plupart des édulcorants est beaucoup plus élevée que celle du sucre, de sorte qu'il faut une dose inférieure d'édulcorant pour obtenir un effet</w:t>
      </w:r>
      <w:r>
        <w:rPr>
          <w:rFonts w:ascii="Times New Roman" w:hAnsi="Times New Roman"/>
          <w:lang w:val="fr-FR"/>
        </w:rPr>
        <w:t>.</w:t>
      </w:r>
    </w:p>
  </w:footnote>
  <w:footnote w:id="25">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Règlement (CE) nº 1272/2008 du Parlement européen et du Conseil du 16 décembre 2008 relatif à la classification, à l'étiquetage et à l'emballage des substances et des mélanges (JO L 353 du 31.12.2008, p. 1).</w:t>
      </w:r>
    </w:p>
  </w:footnote>
  <w:footnote w:id="26">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Par exemple, le contact avec la peau </w:t>
      </w:r>
      <w:r>
        <w:rPr>
          <w:rFonts w:ascii="Times New Roman" w:hAnsi="Times New Roman"/>
          <w:lang w:val="fr-FR"/>
        </w:rPr>
        <w:t>peut avoir un effet néfaste, toxique ou fatal.</w:t>
      </w:r>
    </w:p>
  </w:footnote>
  <w:footnote w:id="27">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 Commission effectue actuellement un bilan de qualité dans le cadre du programme REFIT en vue d'évaluer ces aspects de manière plus approfondie (voir http://ec.europa.eu/smart-regulation/roadmaps/docs/201</w:t>
      </w:r>
      <w:r>
        <w:rPr>
          <w:rFonts w:ascii="Times New Roman" w:hAnsi="Times New Roman"/>
          <w:lang w:val="fr-FR"/>
        </w:rPr>
        <w:t>5_grow_050_refit_chemicals_outside_reach_en.pdf).</w:t>
      </w:r>
    </w:p>
  </w:footnote>
  <w:footnote w:id="28">
    <w:p w:rsidR="00482ED0" w:rsidRDefault="00B9309F">
      <w:pPr>
        <w:pStyle w:val="FootnoteText"/>
        <w:ind w:left="357" w:hanging="357"/>
        <w:jc w:val="both"/>
        <w:rPr>
          <w:lang w:val="fr-FR"/>
        </w:rPr>
      </w:pPr>
      <w:r>
        <w:rPr>
          <w:rStyle w:val="FootnoteReference"/>
        </w:rPr>
        <w:footnoteRef/>
      </w:r>
      <w:r>
        <w:rPr>
          <w:lang w:val="fr-FR"/>
        </w:rPr>
        <w:t xml:space="preserve"> </w:t>
      </w:r>
      <w:r>
        <w:rPr>
          <w:lang w:val="fr-FR"/>
        </w:rPr>
        <w:tab/>
      </w:r>
      <w:r>
        <w:rPr>
          <w:rFonts w:ascii="Times New Roman" w:hAnsi="Times New Roman"/>
          <w:lang w:val="fr-FR"/>
        </w:rPr>
        <w:t>D'une manière générale, une approche fondée sur les risques permet de prendre en compte la proportionnalité dans le cadre de la prise de décisions réglementaires (en matière de gestion des risques).</w:t>
      </w:r>
    </w:p>
  </w:footnote>
  <w:footnote w:id="29">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w:t>
      </w:r>
      <w:r>
        <w:rPr>
          <w:rFonts w:ascii="Times New Roman" w:hAnsi="Times New Roman"/>
          <w:lang w:val="fr-FR"/>
        </w:rPr>
        <w:t>es perturbateurs endocriniens peuvent être approuvés avec l'application de mesures d’atténuation des risques si des conditions strictes sont remplies.</w:t>
      </w:r>
    </w:p>
  </w:footnote>
  <w:footnote w:id="30">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EFSA (2013), p. 47: «</w:t>
      </w:r>
      <w:r>
        <w:rPr>
          <w:rFonts w:ascii="Times New Roman" w:hAnsi="Times New Roman"/>
          <w:i/>
          <w:lang w:val="fr-FR"/>
        </w:rPr>
        <w:t>pour fournir des informations sur les risques et le niveau de préoccupation aux f</w:t>
      </w:r>
      <w:r>
        <w:rPr>
          <w:rFonts w:ascii="Times New Roman" w:hAnsi="Times New Roman"/>
          <w:i/>
          <w:lang w:val="fr-FR"/>
        </w:rPr>
        <w:t xml:space="preserve">ins de la prise de décisions en matière de gestion des risques </w:t>
      </w:r>
      <w:r>
        <w:rPr>
          <w:rFonts w:ascii="Times New Roman" w:hAnsi="Times New Roman"/>
          <w:lang w:val="fr-FR"/>
        </w:rPr>
        <w:t>[…]</w:t>
      </w:r>
      <w:r>
        <w:rPr>
          <w:rFonts w:ascii="Times New Roman" w:hAnsi="Times New Roman"/>
          <w:i/>
          <w:lang w:val="fr-FR"/>
        </w:rPr>
        <w:t>, l'évaluation des risques (tenant compte des dangers et des données/prévisions relatives à l'exposition) permet une utilisation optimale des informations disponibles. Les perturbateurs endo</w:t>
      </w:r>
      <w:r>
        <w:rPr>
          <w:rFonts w:ascii="Times New Roman" w:hAnsi="Times New Roman"/>
          <w:i/>
          <w:lang w:val="fr-FR"/>
        </w:rPr>
        <w:t>criniens peuvent dès lors être traités comme la plupart des autres substances jugées préoccupantes pour la santé humaine et l'environnement, à savoir faire l'objet d'une évaluation des risques et non seulement d'une évaluation des dangers</w:t>
      </w:r>
      <w:r>
        <w:rPr>
          <w:rFonts w:ascii="Times New Roman" w:hAnsi="Times New Roman"/>
          <w:lang w:val="fr-FR"/>
        </w:rPr>
        <w:t>». Le Comité scien</w:t>
      </w:r>
      <w:r>
        <w:rPr>
          <w:rFonts w:ascii="Times New Roman" w:hAnsi="Times New Roman"/>
          <w:lang w:val="fr-FR"/>
        </w:rPr>
        <w:t>tifique pour la sécurité des consommateurs, un comité scientifique non alimentaire indépendant chargé de conseiller la Commission, partage cette approche [communication sur les perturbateurs endocriniens du 16.12.2014 (SCCS/1544/14)].</w:t>
      </w:r>
    </w:p>
  </w:footnote>
  <w:footnote w:id="31">
    <w:p w:rsidR="00482ED0" w:rsidRDefault="00B9309F">
      <w:pPr>
        <w:pStyle w:val="FootnoteText"/>
        <w:ind w:left="357" w:hanging="357"/>
        <w:jc w:val="both"/>
        <w:rPr>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lang w:val="fr-FR"/>
        </w:rPr>
        <w:tab/>
      </w:r>
      <w:r>
        <w:rPr>
          <w:rFonts w:ascii="Times New Roman" w:hAnsi="Times New Roman"/>
          <w:lang w:val="fr-FR"/>
        </w:rPr>
        <w:t>Article 78, paragr</w:t>
      </w:r>
      <w:r>
        <w:rPr>
          <w:rFonts w:ascii="Times New Roman" w:hAnsi="Times New Roman"/>
          <w:lang w:val="fr-FR"/>
        </w:rPr>
        <w:t>aphe 1, point a), du règlement (CE) nº 1107/2009.</w:t>
      </w:r>
    </w:p>
  </w:footnote>
  <w:footnote w:id="32">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hyperlink r:id="rId3">
        <w:r>
          <w:rPr>
            <w:rStyle w:val="Hyperlink"/>
            <w:rFonts w:ascii="Times New Roman" w:hAnsi="Times New Roman"/>
            <w:lang w:val="fr-FR"/>
          </w:rPr>
          <w:t>http://echa.europa.eu/fr/candidate-list-table</w:t>
        </w:r>
      </w:hyperlink>
      <w:r>
        <w:rPr>
          <w:rFonts w:ascii="Times New Roman" w:hAnsi="Times New Roman"/>
          <w:lang w:val="fr-FR"/>
        </w:rPr>
        <w:t>.</w:t>
      </w:r>
    </w:p>
  </w:footnote>
  <w:footnote w:id="33">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Des exemples figurent dans le document SCCS/1554/14.</w:t>
      </w:r>
    </w:p>
  </w:footnote>
  <w:footnote w:id="34">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Annexe I de la directive 2008/10</w:t>
      </w:r>
      <w:r>
        <w:rPr>
          <w:rFonts w:ascii="Times New Roman" w:hAnsi="Times New Roman"/>
          <w:lang w:val="fr-FR"/>
        </w:rPr>
        <w:t>5/CE du Parlement européen et du Conseil du 16 décembre 2008 établissant des normes de qualité environnementale dans le domaine de l'eau (JO L 348 du 24.12.2008, p. 84).</w:t>
      </w:r>
    </w:p>
  </w:footnote>
  <w:footnote w:id="35">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Annexe XVII du règlement (CE) nº 1907/2006 du Parlement européen et du Conseil du 1</w:t>
      </w:r>
      <w:r>
        <w:rPr>
          <w:rFonts w:ascii="Times New Roman" w:hAnsi="Times New Roman"/>
          <w:lang w:val="fr-FR"/>
        </w:rPr>
        <w:t>8 décembre 2006 concernant l’enregistrement, l’évaluation et l’autorisation des substances chimiques, ainsi que les restrictions applicables à ces substances (REACH) (JO L 396 du 30.12.2006, p. 1).</w:t>
      </w:r>
    </w:p>
  </w:footnote>
  <w:footnote w:id="36">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À savoir, la toxicité par exposition combinée associant</w:t>
      </w:r>
      <w:r>
        <w:rPr>
          <w:rFonts w:ascii="Times New Roman" w:hAnsi="Times New Roman"/>
          <w:lang w:val="fr-FR"/>
        </w:rPr>
        <w:t xml:space="preserve"> plusieurs substances, parfois qualifiée d'effet «cocktail».</w:t>
      </w:r>
    </w:p>
  </w:footnote>
  <w:footnote w:id="37">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Directive 98/24/CE du Conseil du 7 avril 1998 concernant la protection de la santé et de la sécurité des travailleurs contre les risques liés à des agents chimiques sur le lieu de travail (JO </w:t>
      </w:r>
      <w:r>
        <w:rPr>
          <w:rFonts w:ascii="Times New Roman" w:hAnsi="Times New Roman"/>
          <w:lang w:val="fr-FR"/>
        </w:rPr>
        <w:t>L 131 du 5.5.1998, p. 11).</w:t>
      </w:r>
    </w:p>
  </w:footnote>
  <w:footnote w:id="38">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Article 15, paragraphe 4, du règlement (CE) nº 1223/2009 du Parlement européen et du Conseil du 30 novembre 2009 relatif aux produits cosmétiques (JO L 342 du 22.12.2009, p. 59).</w:t>
      </w:r>
    </w:p>
  </w:footnote>
  <w:footnote w:id="39">
    <w:p w:rsidR="00482ED0" w:rsidRDefault="00B9309F">
      <w:pPr>
        <w:pStyle w:val="FootnoteText"/>
        <w:ind w:left="357" w:hanging="357"/>
        <w:jc w:val="both"/>
        <w:rPr>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Article 60, paragraphe 4, du règlement (CE) </w:t>
      </w:r>
      <w:r>
        <w:rPr>
          <w:rFonts w:ascii="Times New Roman" w:hAnsi="Times New Roman"/>
          <w:lang w:val="fr-FR"/>
        </w:rPr>
        <w:t>nº 1907/2006 (REACH).</w:t>
      </w:r>
    </w:p>
  </w:footnote>
  <w:footnote w:id="40">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Article 138, paragraphe 7, du règlement (CE) nº 1907/2006 (REACH).</w:t>
      </w:r>
    </w:p>
  </w:footnote>
  <w:footnote w:id="41">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Par exemple, l'article 2, paragraphe 31, et l'annexe VIII, point 4, de la directive 2000/60/CE du Parlement européen et du Conseil du 23 octobre 2000 établissant</w:t>
      </w:r>
      <w:r>
        <w:rPr>
          <w:rFonts w:ascii="Times New Roman" w:hAnsi="Times New Roman"/>
          <w:lang w:val="fr-FR"/>
        </w:rPr>
        <w:t xml:space="preserve"> un cadre pour une politique communautaire dans le domaine de l'eau (JO L 327 du 22.12.2000, p. 1).</w:t>
      </w:r>
    </w:p>
  </w:footnote>
  <w:footnote w:id="42">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lang w:val="fr-FR"/>
        </w:rPr>
        <w:tab/>
      </w:r>
      <w:r>
        <w:rPr>
          <w:rFonts w:ascii="Times New Roman" w:hAnsi="Times New Roman"/>
          <w:lang w:val="fr-FR"/>
        </w:rPr>
        <w:t>Article 16, paragraphe 4, de la directive 2000/60/CE.</w:t>
      </w:r>
    </w:p>
  </w:footnote>
  <w:footnote w:id="43">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Article 8 </w:t>
      </w:r>
      <w:r>
        <w:rPr>
          <w:rFonts w:ascii="Times New Roman" w:hAnsi="Times New Roman"/>
          <w:i/>
          <w:lang w:val="fr-FR"/>
        </w:rPr>
        <w:t>ter</w:t>
      </w:r>
      <w:r>
        <w:rPr>
          <w:rFonts w:ascii="Times New Roman" w:hAnsi="Times New Roman"/>
          <w:lang w:val="fr-FR"/>
        </w:rPr>
        <w:t xml:space="preserve">, paragraphe 2, de la directive 2008/105/CE du Parlement européen et du Conseil du </w:t>
      </w:r>
      <w:r>
        <w:rPr>
          <w:rFonts w:ascii="Times New Roman" w:hAnsi="Times New Roman"/>
          <w:lang w:val="fr-FR"/>
        </w:rPr>
        <w:t>16 décembre 2008 établissant des normes de qualité environnementale dans le domaine de l'eau (JO L 348 du 24.12.2008, p. 84).</w:t>
      </w:r>
    </w:p>
  </w:footnote>
  <w:footnote w:id="44">
    <w:p w:rsidR="00482ED0" w:rsidRDefault="00B9309F">
      <w:pPr>
        <w:pStyle w:val="FootnoteText"/>
        <w:ind w:left="357" w:hanging="357"/>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Article 11, paragraphe 1, de la directive 98/83/CE du Conseil du 3 novembre 1998 relative à la qualité des eaux destinées à la </w:t>
      </w:r>
      <w:r>
        <w:rPr>
          <w:rFonts w:ascii="Times New Roman" w:hAnsi="Times New Roman"/>
          <w:lang w:val="fr-FR"/>
        </w:rPr>
        <w:t>consommation humaine (JO L 330 du 5.12.1998, p.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D0" w:rsidRDefault="00482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D0" w:rsidRDefault="00482ED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D0" w:rsidRDefault="00482ED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D0" w:rsidRDefault="00482E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D0" w:rsidRDefault="00482E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D0" w:rsidRDefault="00482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EA66E2"/>
    <w:lvl w:ilvl="0">
      <w:start w:val="1"/>
      <w:numFmt w:val="bullet"/>
      <w:lvlText w:val=""/>
      <w:lvlJc w:val="left"/>
      <w:pPr>
        <w:tabs>
          <w:tab w:val="num" w:pos="360"/>
        </w:tabs>
        <w:ind w:left="360" w:hanging="360"/>
      </w:pPr>
      <w:rPr>
        <w:rFonts w:ascii="Symbol" w:hAnsi="Symbol" w:hint="default"/>
      </w:rPr>
    </w:lvl>
  </w:abstractNum>
  <w:abstractNum w:abstractNumId="1">
    <w:nsid w:val="18B7651C"/>
    <w:multiLevelType w:val="hybridMultilevel"/>
    <w:tmpl w:val="81C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0B3C29"/>
    <w:multiLevelType w:val="hybridMultilevel"/>
    <w:tmpl w:val="2F88053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49200B4B"/>
    <w:multiLevelType w:val="hybridMultilevel"/>
    <w:tmpl w:val="8174BD72"/>
    <w:lvl w:ilvl="0" w:tplc="6DBE93AA">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4">
    <w:nsid w:val="6C8E5287"/>
    <w:multiLevelType w:val="hybridMultilevel"/>
    <w:tmpl w:val="A26462C0"/>
    <w:lvl w:ilvl="0" w:tplc="1B3E5D1E">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5">
    <w:nsid w:val="716E4BFA"/>
    <w:multiLevelType w:val="hybridMultilevel"/>
    <w:tmpl w:val="22E86748"/>
    <w:lvl w:ilvl="0" w:tplc="7ADA79A4">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5C14AEBAB3A41CA8ABF32B76D87A0BB"/>
    <w:docVar w:name="LW_CROSSREFERENCE" w:val="{SWD(2016) 211 final}_x000b_{SWD(2016) 212 final}"/>
    <w:docVar w:name="LW_DocType" w:val="NORMAL"/>
    <w:docVar w:name="LW_EMISSION" w:val="15.6.2016"/>
    <w:docVar w:name="LW_EMISSION_ISODATE" w:val="2016-06-15"/>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50"/>
    <w:docVar w:name="LW_REF.INTERNE" w:val="&lt;UNUSED&gt;"/>
    <w:docVar w:name="LW_SOUS.TITRE.OBJ" w:val="DRAFT for FAST TRACK ISC"/>
    <w:docVar w:name="LW_SOUS.TITRE.OBJ.CP" w:val="&lt;UNUSED&gt;"/>
    <w:docVar w:name="LW_SUPERTITRE" w:val="&lt;UNUSED&gt;"/>
    <w:docVar w:name="LW_TITRE.OBJ.CP" w:val="sur les perturbateurs endocriniens et les projets d'actes de la Commission visant à définir des critères scientifiques pour leur détermination dans le cadre de la législation de l'UE relative aux produits phytopharmaceutiques et aux produits biocides"/>
    <w:docVar w:name="LW_TYPE.DOC.CP" w:val="COMMUNICATION DE LA COMMISSION AU PARLEMENT EUROPÉEN ET AU CONSEIL"/>
    <w:docVar w:name="LW_TYPE.DOC.CP.USERTEXT" w:val="&lt;EMPTY&gt;"/>
  </w:docVars>
  <w:rsids>
    <w:rsidRoot w:val="00482ED0"/>
    <w:rsid w:val="000365D7"/>
    <w:rsid w:val="00482ED0"/>
    <w:rsid w:val="006D436B"/>
    <w:rsid w:val="00B432D2"/>
    <w:rsid w:val="00B93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21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ha.europa.eu/fr/candidate-list-table" TargetMode="External"/><Relationship Id="rId2" Type="http://schemas.openxmlformats.org/officeDocument/2006/relationships/hyperlink" Target="http://ec.europa.eu/health/endocrine_disruptors/policy/index_en.htm" TargetMode="External"/><Relationship Id="rId1" Type="http://schemas.openxmlformats.org/officeDocument/2006/relationships/hyperlink" Target="https://ec.europa.eu/jrc/en/publication/eur-scientific-and-technical-research-reports/thresholds-endocrine-disrupters-and-related-uncertain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97D44-E63E-426F-A409-07C334B4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3984</Words>
  <Characters>27693</Characters>
  <Application>Microsoft Office Word</Application>
  <DocSecurity>0</DocSecurity>
  <Lines>407</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29</cp:revision>
  <cp:lastPrinted>2016-06-14T07:16:00Z</cp:lastPrinted>
  <dcterms:created xsi:type="dcterms:W3CDTF">2016-06-14T07:27:00Z</dcterms:created>
  <dcterms:modified xsi:type="dcterms:W3CDTF">2016-06-14T15:58:00Z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