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156B478EFA149B2818B57CA7E169157" style="width:450.75pt;height:366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  <w:szCs w:val="24"/>
        </w:rPr>
      </w:pPr>
      <w:r>
        <w:rPr>
          <w:noProof/>
        </w:rPr>
        <w:t>Регламент (ЕС) 2015/2265 на Съвета за откриване и управление на автономните тарифни квоти на Съюза за определени рибни продукти за периода 2016 — 2018 година беше приет на 7 декември 2015 г.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t>Целта на регламента е да се осигури конкурентоспособността на преработвателната промишленост на Европейския съюз, като се гарантира достатъчно снабдяване на промишлеността с рибни продукти, без да се застрашава производството на рибни продукти в Съюза. За тази цел с регламента се намаляват или суспендират вносните мита за някои рибни продукти в рамките на тарифни квоти с подходящ обем. В него се уточняват и преработвателните операции, при които може да се използват тарифните квоти („отговарящи на условията операции“) или не може да се използват тези квоти.</w:t>
      </w:r>
    </w:p>
    <w:p>
      <w:pPr>
        <w:rPr>
          <w:noProof/>
        </w:rPr>
      </w:pPr>
      <w:r>
        <w:rPr>
          <w:noProof/>
        </w:rPr>
        <w:t xml:space="preserve">След приемането на регламента някои преработватели от ЕС и държави — членки на ЕС, информираха Комисията, че преработвателният сектор на Съюза не може да използва в достатъчна степен тарифната квота с пореден номер 09.2760 (цяла мерлуза и риба от вида </w:t>
      </w:r>
      <w:r>
        <w:rPr>
          <w:i/>
          <w:noProof/>
        </w:rPr>
        <w:t>Genypterus blacodes</w:t>
      </w:r>
      <w:r>
        <w:rPr>
          <w:noProof/>
        </w:rPr>
        <w:t xml:space="preserve"> и </w:t>
      </w:r>
      <w:r>
        <w:rPr>
          <w:i/>
          <w:noProof/>
        </w:rPr>
        <w:t>Genypterus capensis</w:t>
      </w:r>
      <w:r>
        <w:rPr>
          <w:noProof/>
        </w:rPr>
        <w:t>). Според тях това се дължи на факта, че отговарящите на условията операции за този продукт не включват „нарязване на резени“.</w:t>
      </w:r>
    </w:p>
    <w:p>
      <w:pPr>
        <w:rPr>
          <w:noProof/>
        </w:rPr>
      </w:pPr>
      <w:r>
        <w:rPr>
          <w:noProof/>
        </w:rPr>
        <w:t>От преработвателната промишленост на Съюза се посочва, че около 95 % от тази тарифна квота биха били използвани за преработка на продукта чрез нарязване на резени. Поради това е необходимо да се въведе нарязването на резени като отговаряща на условията операция, за да се гарантира използването на тази квота и конкурентоспособността на този конкретен сектор.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Style w:val="Text1"/>
        <w:ind w:left="0"/>
        <w:rPr>
          <w:noProof/>
        </w:rPr>
      </w:pPr>
      <w:r>
        <w:rPr>
          <w:noProof/>
        </w:rPr>
        <w:t>Член 31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Митата по Общата митническа тарифа са от изключителната компетентност на Съюза. Следователно принципът на субсидиарност не се прилага по отношение на тези разпоредби.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rPr>
          <w:noProof/>
        </w:rPr>
      </w:pPr>
      <w:r>
        <w:rPr>
          <w:noProof/>
        </w:rPr>
        <w:t>Предложението е в съответствие с принципа на пропорционалност поради следната причина: митническият съюз представлява обща политика и затова следва да се изпълнява чрез регламент, приет от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 xml:space="preserve">След приемането на регламента някои преработватели от ЕС и държави — членки на ЕС, информираха Комисията, че преработвателният сектор на Съюза не може да използва в достатъчна степен тарифната квота с пореден номер 09.2760 (цяла мерлуза и риба от вида </w:t>
      </w:r>
      <w:r>
        <w:rPr>
          <w:i/>
          <w:noProof/>
        </w:rPr>
        <w:t>Genypterus blacodes</w:t>
      </w:r>
      <w:r>
        <w:rPr>
          <w:noProof/>
        </w:rPr>
        <w:t xml:space="preserve"> и </w:t>
      </w:r>
      <w:r>
        <w:rPr>
          <w:i/>
          <w:noProof/>
        </w:rPr>
        <w:t>Genypterus capensis</w:t>
      </w:r>
      <w:r>
        <w:rPr>
          <w:noProof/>
        </w:rPr>
        <w:t>). Според тях това се дължи на факта, че отговарящите на условията операции за този продукт не включват „нарязване на резени“.</w:t>
      </w:r>
    </w:p>
    <w:p>
      <w:pPr>
        <w:rPr>
          <w:noProof/>
        </w:rPr>
      </w:pPr>
      <w:r>
        <w:rPr>
          <w:noProof/>
        </w:rPr>
        <w:t>От преработвателната промишленост на Съюза се посочва, че около 95 % от тази тарифна квота биха били използвани за преработка на продукта чрез нарязване на резени. Поради това е необходимо да се въведе нарязването на резени като отговаряща на условията операция, за да се гарантира използването на тази квота и конкурентоспособността на този конкретен сектор.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 xml:space="preserve"> 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Style w:val="Text1"/>
        <w:ind w:left="0"/>
        <w:rPr>
          <w:noProof/>
        </w:rPr>
      </w:pPr>
      <w:r>
        <w:rPr>
          <w:noProof/>
        </w:rPr>
        <w:t>Не се прилага. Това е „техническо“ изменение на Регламент (ЕС) 2015/2265, приет през декември 2015 г. За Регламент (ЕС) 2015/2265 не беше необходима оценка на въздействието.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Предложението няма въздействие върху бюджета на Комисията.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уредба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 разпоредби на предложението</w:t>
      </w:r>
    </w:p>
    <w:p>
      <w:pPr>
        <w:rPr>
          <w:noProof/>
          <w:szCs w:val="24"/>
        </w:rPr>
      </w:pPr>
      <w:r>
        <w:rPr>
          <w:noProof/>
        </w:rPr>
        <w:t>Регламент (ЕС) 2015/2265 на Съвета за откриване и управление на автономните тарифни квоти на Съюза за определени рибни продукти за периода 2016 — 2018 година беше приет на 7 декември 2015 г.</w:t>
      </w:r>
    </w:p>
    <w:p>
      <w:pPr>
        <w:pStyle w:val="Default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t>Целта на регламента е да се осигури конкурентоспособността на преработвателната промишленост на Европейския съюз, като се гарантира достатъчно снабдяване на промишлеността с рибни продукти, без да се застрашава производството на рибни продукти в Съюза. За тази цел с регламента се намаляват или суспендират вносните мита за някои рибни продукти в рамките на тарифни квоти с подходящ обем. С него се уточняват и преработвателните операции, при които може да се използват тарифните квоти („отговарящи на условията операции“) или не може да се използват тези квоти.</w:t>
      </w:r>
    </w:p>
    <w:p>
      <w:pPr>
        <w:rPr>
          <w:noProof/>
        </w:rPr>
      </w:pPr>
      <w:r>
        <w:rPr>
          <w:noProof/>
        </w:rPr>
        <w:t xml:space="preserve">След приемането на регламента някои преработватели от ЕС и държави — членки на ЕС, информираха Комисията, че преработвателният сектор на Съюза не може да използва в достатъчна степен тарифната квота с пореден номер 09.2760 (цяла мерлуза и риба от вида </w:t>
      </w:r>
      <w:r>
        <w:rPr>
          <w:i/>
          <w:noProof/>
        </w:rPr>
        <w:t>Genypterus blacodes</w:t>
      </w:r>
      <w:r>
        <w:rPr>
          <w:noProof/>
        </w:rPr>
        <w:t xml:space="preserve"> и </w:t>
      </w:r>
      <w:r>
        <w:rPr>
          <w:i/>
          <w:noProof/>
        </w:rPr>
        <w:t>Genypterus capensis</w:t>
      </w:r>
      <w:r>
        <w:rPr>
          <w:noProof/>
        </w:rPr>
        <w:t>). Според тях това се дължи на факта, че отговарящите на условията операции за този продукт не включват „нарязване на резени“.</w:t>
      </w:r>
    </w:p>
    <w:p>
      <w:pPr>
        <w:rPr>
          <w:noProof/>
        </w:rPr>
      </w:pPr>
      <w:r>
        <w:rPr>
          <w:noProof/>
        </w:rPr>
        <w:t>От преработвателната промишленост на Съюза се посочва, че около 95 % от тази тарифна квота биха били използвани за преработка на продукта чрез нарязване на резени. Поради това е необходимо да се въведе нарязването на резени като отговаряща на условията операция, за да се гарантира използването на тази квота и конкурентоспособността на този конкретен сектор.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2016/0158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2015/2265 на Съвета за откриване и управление на автономните тарифни квоти на Съюза за определени рибни продукти за периода 2016 — 2018 година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31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Регламент (ЕС) 2015/2265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откриват автономни тарифни квоти на Съюза за определени рибни продукти за периода 2016 — 2018 година и се предвижда начинът на управлението им. Определени са подходящи обеми за всяка тарифна квота, така че да се гарантират необходимите условия за снабдяване на промишлеността на Съюза за периода 2016 — 2018 година.</w:t>
      </w:r>
    </w:p>
    <w:p>
      <w:pPr>
        <w:pStyle w:val="ManualConsidrant"/>
        <w:rPr>
          <w:rFonts w:ascii="EUAlbertina" w:hAnsi="EUAlbertina" w:cs="EUAlbertina"/>
          <w:noProof/>
          <w:szCs w:val="24"/>
        </w:rPr>
      </w:pPr>
      <w:r>
        <w:t>(2)</w:t>
      </w:r>
      <w:r>
        <w:tab/>
      </w:r>
      <w:r>
        <w:rPr>
          <w:noProof/>
        </w:rPr>
        <w:t xml:space="preserve">В бележка под линия 2, трета алинея от приложението към Регламент (ЕС) 2015/2265 се описват преработвателните операции, за които може да се използват някои тарифни квоти. В посочената алинея нарязването на резени не е сред тези отговарящи на условията операции по отношение на замразената мерлуза и замразената риба от вида </w:t>
      </w:r>
      <w:r>
        <w:rPr>
          <w:i/>
          <w:noProof/>
        </w:rPr>
        <w:t>Genypterus blacodes</w:t>
      </w:r>
      <w:r>
        <w:rPr>
          <w:noProof/>
        </w:rPr>
        <w:t xml:space="preserve"> и </w:t>
      </w:r>
      <w:r>
        <w:rPr>
          <w:i/>
          <w:noProof/>
        </w:rPr>
        <w:t>Genypterus capensis</w:t>
      </w:r>
      <w:r>
        <w:rPr>
          <w:noProof/>
        </w:rPr>
        <w:t>, обхванати от тарифната квота с пореден номер 09.2760.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За да може да се използва посочената тарифна квота, е целесъобразно нарязването на резени да се включи като отговаряща на условията операция.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Поради това Регламент (ЕС) 2015/2265 следва да бъде съответно изменен.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Периодът на първата година от прилагането на квотите, открити с Регламент (ЕС) 2015/2265, е от 1 януари до 31 декември 2016 г. Тъй като е необходимо да се гарантира равно третиране на стопанските субекти, настоящият регламент следва да се прилага с обратна сила от 1 януари 2016 г.,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В бележка под линия 2, трета алинея от приложението към Регламент (ЕС) 2015/2265 се добавя следното тире:</w:t>
      </w:r>
    </w:p>
    <w:p>
      <w:pPr>
        <w:rPr>
          <w:noProof/>
        </w:rPr>
      </w:pPr>
      <w:r>
        <w:rPr>
          <w:noProof/>
        </w:rPr>
        <w:t>„— нарязване на резени за материалите, включени в кодове по КН ex 0303 66 11, 0303 66 12, 0303 66 13, 0303 66 19, 0303 89 70, 0303 89 90“.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Той се прилага от 1 януари 2016 г</w:t>
      </w:r>
      <w:r>
        <w:rPr>
          <w:i/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 държавите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2015/2265 на Съвета от 7 декември 2015 г. за откриване и управление на автономните тарифни квоти на Съюза за определени рибни продукти за периода 2016 — 2018 година (ОВ L 322, 8.12.2015 г., стр. 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088C4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884BF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22C2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98A1F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C8C68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87459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E0852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866D0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BB6437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22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2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01 17:13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F156B478EFA149B2818B57CA7E169157"/>
    <w:docVar w:name="LW_CROSSREFERENCE" w:val="&lt;UNUSED&gt;"/>
    <w:docVar w:name="LW_DocType" w:val="COM"/>
    <w:docVar w:name="LW_EMISSION" w:val="1.6.2016"/>
    <w:docVar w:name="LW_EMISSION_ISODATE" w:val="2016-06-01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8"/>
    <w:docVar w:name="LW_REF.II.NEW.CP_YEAR" w:val="2016"/>
    <w:docVar w:name="LW_REF.INST.NEW" w:val="COM"/>
    <w:docVar w:name="LW_REF.INST.NEW_ADOPTED" w:val="final"/>
    <w:docVar w:name="LW_REF.INST.NEW_TEXT" w:val="(2016) 31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5/2265 \u1085?\u1072? \u1057?\u1098?\u1074?\u1077?\u1090?\u1072? \u1079?\u1072? \u1086?\u1090?\u1082?\u1088?\u1080?\u1074?\u1072?\u1085?\u1077? \u1080? \u1091?\u1087?\u1088?\u1072?\u1074?\u1083?\u1077?\u1085?\u1080?\u1077? \u1085?\u1072? \u1072?\u1074?\u1090?\u1086?\u1085?\u1086?\u1084?\u1085?\u1080?\u1090?\u1077? \u1090?\u1072?\u1088?\u1080?\u1092?\u1085?\u1080? \u1082?\u1074?\u1086?\u1090?\u1080? \u1085?\u1072? \u1057?\u1098?\u1102?\u1079?\u1072? \u1079?\u1072? \u1086?\u1087?\u1088?\u1077?\u1076?\u1077?\u1083?\u1077?\u1085?\u1080? \u1088?\u1080?\u1073?\u1085?\u1080? \u1087?\u1088?\u1086?\u1076?\u1091?\u1082?\u1090?\u1080? \u1079?\u1072? \u1087?\u1077?\u1088?\u1080?\u1086?\u1076?\u1072? 2016 \u8212? 2018 \u1075?\u1086?\u1076?\u1080?\u1085?\u1072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Typede">
    <w:name w:val="Type de"/>
    <w:basedOn w:val="Normal"/>
    <w:pPr>
      <w:spacing w:before="360" w:after="0"/>
      <w:jc w:val="center"/>
    </w:pPr>
    <w:rPr>
      <w:b/>
    </w:rPr>
  </w:style>
  <w:style w:type="paragraph" w:customStyle="1" w:styleId="Typededocument">
    <w:name w:val="Type de document"/>
    <w:basedOn w:val="Typede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bg-BG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Typede">
    <w:name w:val="Type de"/>
    <w:basedOn w:val="Normal"/>
    <w:pPr>
      <w:spacing w:before="360" w:after="0"/>
      <w:jc w:val="center"/>
    </w:pPr>
    <w:rPr>
      <w:b/>
    </w:rPr>
  </w:style>
  <w:style w:type="paragraph" w:customStyle="1" w:styleId="Typededocument">
    <w:name w:val="Type de document"/>
    <w:basedOn w:val="Typede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bg-BG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1192</Words>
  <Characters>6716</Characters>
  <Application>Microsoft Office Word</Application>
  <DocSecurity>0</DocSecurity>
  <Lines>146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2016-05-03T14:56:00Z</cp:lastPrinted>
  <dcterms:created xsi:type="dcterms:W3CDTF">2016-06-01T11:58:00Z</dcterms:created>
  <dcterms:modified xsi:type="dcterms:W3CDTF">2016-06-01T15:13:00Z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