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09B35A8FCC04979955BE3D71DF3635A" style="width:450.8pt;height:379.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Le règlement (UE) 2015/848 du Parlement européen et du Conseil du 20 mai 2015 relatif aux procédures d'insolvabilité (refonte)</w:t>
      </w:r>
      <w:r>
        <w:rPr>
          <w:rStyle w:val="FootnoteReference"/>
          <w:noProof/>
        </w:rPr>
        <w:footnoteReference w:id="2"/>
      </w:r>
      <w:r>
        <w:rPr>
          <w:noProof/>
        </w:rPr>
        <w:t xml:space="preserve"> (ci-après le «règlement») est entré en vigueur le 26 juin 2015. Il s'appliquera à partir du 26 juin 2017, à l’exception de la partie relative au système permettant l'interconnexion des registres d'insolvabilité nationaux, qui s'appliquera à partir du 26 juin 2019.</w:t>
      </w:r>
    </w:p>
    <w:p>
      <w:pPr>
        <w:pBdr>
          <w:top w:val="nil"/>
          <w:left w:val="nil"/>
          <w:bottom w:val="nil"/>
          <w:right w:val="nil"/>
          <w:between w:val="nil"/>
          <w:bar w:val="nil"/>
        </w:pBdr>
        <w:spacing w:before="0" w:after="240"/>
        <w:rPr>
          <w:rFonts w:eastAsia="Arial Unicode MS"/>
          <w:noProof/>
        </w:rPr>
      </w:pPr>
      <w:r>
        <w:rPr>
          <w:noProof/>
        </w:rPr>
        <w:t>L'annexe A du règlement (UE) 2015/848 énumère les procédures d'insolvabilité visées à l'article 2, paragraphe 4, dudit règlement. L'annexe B énumère les praticiens de l'insolvabilité visés à l'article 2, paragraphe 5.</w:t>
      </w:r>
    </w:p>
    <w:p>
      <w:pPr>
        <w:pBdr>
          <w:top w:val="nil"/>
          <w:left w:val="nil"/>
          <w:bottom w:val="nil"/>
          <w:right w:val="nil"/>
          <w:between w:val="nil"/>
          <w:bar w:val="nil"/>
        </w:pBdr>
        <w:spacing w:before="0" w:after="240"/>
        <w:rPr>
          <w:rFonts w:eastAsia="Arial Unicode MS"/>
          <w:noProof/>
        </w:rPr>
      </w:pPr>
      <w:r>
        <w:rPr>
          <w:noProof/>
        </w:rPr>
        <w:t>En décembre 2015, la Pologne a notifié à la Commission une réforme substantielle de son droit interne en matière de restructuration, prenant effet le 1</w:t>
      </w:r>
      <w:r>
        <w:rPr>
          <w:noProof/>
          <w:vertAlign w:val="superscript"/>
        </w:rPr>
        <w:t>er</w:t>
      </w:r>
      <w:r>
        <w:rPr>
          <w:noProof/>
        </w:rPr>
        <w:t> janvier 2016, et a demandé que les listes figurant aux annexes A et B du règlement soient modifiées en conséquence. Conformément à l’article 1</w:t>
      </w:r>
      <w:r>
        <w:rPr>
          <w:noProof/>
          <w:vertAlign w:val="superscript"/>
        </w:rPr>
        <w:t>er</w:t>
      </w:r>
      <w:r>
        <w:rPr>
          <w:noProof/>
        </w:rPr>
        <w:t xml:space="preserve">, paragraphe 1, à l'article 2, paragraphe 4, et au considérant 9 du règlement, une procédure nationale ne peut être considérée comme une «procédure d’insolvabilité» relevant du règlement que si elle est figure à l'annexe A dudit règlement. Le considérant 9 du règlement dispose en effet ce qui suit: «Le présent règlement devrait s'appliquer aux procédures d'insolvabilité qui remplissent les conditions fixées dans celui-ci, que le débiteur soit une personne physique ou morale, un commerçant ou un particulier. Ces procédures d'insolvabilité sont limitativement énumérées à l'annexe A. (...) Les procédures d'insolvabilité nationales qui ne figurent pas à l'annexe A ne devraient pas relever du présent règlement.» </w:t>
      </w:r>
    </w:p>
    <w:p>
      <w:pPr>
        <w:pBdr>
          <w:top w:val="nil"/>
          <w:left w:val="nil"/>
          <w:bottom w:val="nil"/>
          <w:right w:val="nil"/>
          <w:between w:val="nil"/>
          <w:bar w:val="nil"/>
        </w:pBdr>
        <w:spacing w:before="0" w:after="240"/>
        <w:rPr>
          <w:rFonts w:eastAsia="Arial Unicode MS"/>
          <w:noProof/>
        </w:rPr>
      </w:pPr>
      <w:r>
        <w:rPr>
          <w:noProof/>
        </w:rPr>
        <w:t xml:space="preserve">La Commission a minutieusement analysé la demande de la Pologne afin de s'assurer que la notification respecte les exigences du règlement. </w:t>
      </w:r>
    </w:p>
    <w:p>
      <w:pPr>
        <w:pBdr>
          <w:top w:val="nil"/>
          <w:left w:val="nil"/>
          <w:bottom w:val="nil"/>
          <w:right w:val="nil"/>
          <w:between w:val="nil"/>
          <w:bar w:val="nil"/>
        </w:pBdr>
        <w:spacing w:before="0" w:after="240"/>
        <w:rPr>
          <w:rFonts w:eastAsia="Arial Unicode MS"/>
          <w:noProof/>
        </w:rPr>
      </w:pPr>
      <w:r>
        <w:rPr>
          <w:noProof/>
        </w:rPr>
        <w:t>Il convient dès lors de modifier le règlement (UE) 2015/848 en conséquence.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 règlement (UE) 2015/848 est une refonte du règlement (CE) n</w:t>
      </w:r>
      <w:r>
        <w:rPr>
          <w:noProof/>
          <w:color w:val="000000" w:themeColor="text1"/>
          <w:vertAlign w:val="superscript"/>
        </w:rPr>
        <w:t>o</w:t>
      </w:r>
      <w:r>
        <w:rPr>
          <w:noProof/>
          <w:color w:val="000000" w:themeColor="text1"/>
        </w:rPr>
        <w:t> 1346/2000 du Conseil relatif aux procédures d'insolvabilité. Il abroge le règlement (CE) n</w:t>
      </w:r>
      <w:r>
        <w:rPr>
          <w:noProof/>
          <w:color w:val="000000" w:themeColor="text1"/>
          <w:vertAlign w:val="superscript"/>
        </w:rPr>
        <w:t>o</w:t>
      </w:r>
      <w:r>
        <w:rPr>
          <w:noProof/>
          <w:color w:val="000000" w:themeColor="text1"/>
        </w:rPr>
        <w:t xml:space="preserve"> 1346/2000 du Conseil et toutes les modifications successives de ce règlement, qui constitue un instrument important pour la coopération judiciaire en matière civile à l'échelle de l’UE. </w:t>
      </w:r>
    </w:p>
    <w:p>
      <w:pPr>
        <w:pBdr>
          <w:top w:val="nil"/>
          <w:left w:val="nil"/>
          <w:bottom w:val="nil"/>
          <w:right w:val="nil"/>
          <w:between w:val="nil"/>
          <w:bar w:val="nil"/>
        </w:pBdr>
        <w:spacing w:before="0" w:after="240"/>
        <w:rPr>
          <w:rFonts w:eastAsia="Arial Unicode MS"/>
          <w:noProof/>
        </w:rPr>
      </w:pPr>
      <w:r>
        <w:rPr>
          <w:noProof/>
          <w:color w:val="000000" w:themeColor="text1"/>
        </w:rPr>
        <w:t xml:space="preserve">Pour que les procédures d’insolvabilité transfrontalières concernant des débiteurs dont le centre des intérêts principaux se situe dans un État membre puissent être traitées efficacement, il est indispensable que le champ d’application du règlement de refonte, à l’instar de l’instrument actuellement applicable, reflète l'état réel des législations nationales en matière d’insolvabilité. La présente proposition vise à garantir que le champ d’application du règlement de refonte reflète, au moment de son application, le cadre juridique existant des États membres en matière d’insolvabilité.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Le règlement joue un rôle de soutien important pour la liberté d’établissement et la libre circulation des personnes.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81, paragraphe 2, points a), c) et f),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respecte le principe de proportionnalité pour les raisons exposées ci-après. </w:t>
      </w:r>
    </w:p>
    <w:p>
      <w:pPr>
        <w:pBdr>
          <w:top w:val="nil"/>
          <w:left w:val="nil"/>
          <w:bottom w:val="nil"/>
          <w:right w:val="nil"/>
          <w:between w:val="nil"/>
          <w:bar w:val="nil"/>
        </w:pBdr>
        <w:spacing w:before="0" w:after="240"/>
        <w:rPr>
          <w:rFonts w:eastAsia="Arial Unicode MS"/>
          <w:noProof/>
        </w:rPr>
      </w:pPr>
      <w:r>
        <w:rPr>
          <w:noProof/>
        </w:rPr>
        <w:t xml:space="preserve">La proposition de la Commission remplace les listes correspondant à la Pologne des annexes A et B du règlement (UE) 2015/848 par de nouvelles listes qui tiennent compte des informations notifiées par cet État membre. Les annexes faisant partie intégrante du règlement, elles ne peuvent être modifiées que par la voie d'une modification législative du règlement.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Le règlement est directement applicable dans tous les États membres. Étant publié au Journal officiel de l’Union européenne, son contenu est accessible à toutes les parties intéressées.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L’instrument proposé est un règlement.</w:t>
      </w:r>
    </w:p>
    <w:p>
      <w:pPr>
        <w:pBdr>
          <w:top w:val="nil"/>
          <w:left w:val="nil"/>
          <w:bottom w:val="nil"/>
          <w:right w:val="nil"/>
          <w:between w:val="nil"/>
          <w:bar w:val="nil"/>
        </w:pBdr>
        <w:spacing w:before="0" w:after="240"/>
        <w:rPr>
          <w:rFonts w:eastAsia="Arial Unicode MS"/>
          <w:noProof/>
        </w:rPr>
      </w:pPr>
      <w:r>
        <w:rPr>
          <w:noProof/>
        </w:rPr>
        <w:t>Le choix d’un autre instrument aurait été inadéquat pour les raisons suivantes.</w:t>
      </w:r>
    </w:p>
    <w:p>
      <w:pPr>
        <w:pBdr>
          <w:top w:val="nil"/>
          <w:left w:val="nil"/>
          <w:bottom w:val="nil"/>
          <w:right w:val="nil"/>
          <w:between w:val="nil"/>
          <w:bar w:val="nil"/>
        </w:pBdr>
        <w:spacing w:before="0" w:after="240"/>
        <w:rPr>
          <w:rFonts w:eastAsia="Arial Unicode MS"/>
          <w:noProof/>
        </w:rPr>
      </w:pPr>
      <w:r>
        <w:rPr>
          <w:noProof/>
        </w:rPr>
        <w:t>Les annexes du règlement ne peuvent être modifiées que par un règlement devant être adopté conformément à la procédure législative ordinaire, en vertu de la base juridique applicable au règlement initial. Une telle modification est proposée par la Commission.</w:t>
      </w:r>
    </w:p>
    <w:p>
      <w:pPr>
        <w:pBdr>
          <w:top w:val="nil"/>
          <w:left w:val="nil"/>
          <w:bottom w:val="nil"/>
          <w:right w:val="nil"/>
          <w:between w:val="nil"/>
          <w:bar w:val="nil"/>
        </w:pBdr>
        <w:spacing w:before="0" w:after="240"/>
        <w:rPr>
          <w:rFonts w:eastAsia="Arial Unicode MS"/>
          <w:noProof/>
        </w:rPr>
      </w:pPr>
      <w:r>
        <w:rPr>
          <w:noProof/>
        </w:rPr>
        <w:t xml:space="preserve">La Pologne a notifié à la Commission des modifications à apporter aux listes figurant dans les annexes. La Commission n’a donc pas d’autre option que de proposer une modification des annexes du règlement, dans la mesure où ces modifications satisfont aux exigences fixées dans ledit règlement. </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Les modifications envisagées ont un caractère strictement technique. Elles ne comportent aucune modification de fond du règlement. Par conséquent, la mesure proposée constitue une codification officielle d’un texte législatif au sens de l’accord interinstitutionnel du 20 décembre 1994</w:t>
      </w:r>
      <w:r>
        <w:rPr>
          <w:rStyle w:val="FootnoteReference"/>
          <w:noProof/>
        </w:rPr>
        <w:footnoteReference w:id="3"/>
      </w:r>
      <w:r>
        <w:rPr>
          <w:noProof/>
        </w:rPr>
        <w:t xml:space="preserve">. Conformément aux lignes directrices de la Commission européenne pour une meilleure réglementation, aucune analyse d’impact n’est requise pour une telle initiative. </w:t>
      </w:r>
    </w:p>
    <w:p>
      <w:pPr>
        <w:pBdr>
          <w:top w:val="nil"/>
          <w:left w:val="nil"/>
          <w:bottom w:val="nil"/>
          <w:right w:val="nil"/>
          <w:between w:val="nil"/>
          <w:bar w:val="nil"/>
        </w:pBdr>
        <w:spacing w:before="0" w:after="240"/>
        <w:rPr>
          <w:rFonts w:eastAsia="Arial Unicode MS"/>
          <w:noProof/>
        </w:rPr>
      </w:pPr>
      <w:r>
        <w:rPr>
          <w:noProof/>
        </w:rPr>
        <w:t>Par ailleurs, conformément à l’article 81 du traité sur le fonctionnement de l’Union européenne, la Pologne ayant demandé que soit lancée la procédure législative nécessaire, la Commission n'avait plus d'autre choix que de donner suite à cette demande, dans la mesure où elle satisfait aux exigences fixées dans le règlement. Les travaux préparatoires menés en vue de l’adoption de la présente proposition n'ont nécessité aucune expertise nouvelle.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2016/0159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remplaçant les listes des procédures d’insolvabilité et des praticiens de l'insolvabilité figurant aux annexes A et B du règlement (UE) 2015/848 relatif aux procédures d'insolvabilité </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81,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annexes A et B du règlement (UE) 2015/848 énumèrent les dénominations données, dans la législation nationale des États membres, aux procédures d’insolvabilité et aux praticiens de l'insolvabilité auxquels le règlement s'applique. L'annexe A du règlement (UE) 2015/848 énumère les procédures d'insolvabilité visées à l'article 2, paragraphe 4, dudit règlement. L'annexe B énumère les praticiens de l'insolvabilité visés à l'article 2, paragraphe 5.</w:t>
      </w:r>
    </w:p>
    <w:p>
      <w:pPr>
        <w:pStyle w:val="ManualConsidrant"/>
        <w:rPr>
          <w:noProof/>
        </w:rPr>
      </w:pPr>
      <w:r>
        <w:t>(2)</w:t>
      </w:r>
      <w:r>
        <w:tab/>
      </w:r>
      <w:r>
        <w:rPr>
          <w:noProof/>
        </w:rPr>
        <w:t>Le 4 décembre 2015, la Pologne a notifié à la Commission des modifications à apporter aux listes des annexes A et B du règlement. Ces modifications satisfont aux exigences fixées dans le règlement.</w:t>
      </w:r>
    </w:p>
    <w:p>
      <w:pPr>
        <w:pStyle w:val="ManualConsidrant"/>
        <w:rPr>
          <w:noProof/>
        </w:rPr>
      </w:pPr>
      <w:r>
        <w:t>(3)</w:t>
      </w:r>
      <w:r>
        <w:tab/>
      </w:r>
      <w:r>
        <w:rPr>
          <w:noProof/>
        </w:rPr>
        <w:t>Le Royaume-Uni et l’Irlande sont liés par le règlement (UE) 2015/848 et participent à l’adoption et à l’application du présent règlement.</w:t>
      </w:r>
    </w:p>
    <w:p>
      <w:pPr>
        <w:pStyle w:val="ManualConsidrant"/>
        <w:rPr>
          <w:noProof/>
        </w:rPr>
      </w:pPr>
      <w:r>
        <w:t>(4)</w:t>
      </w:r>
      <w:r>
        <w:tab/>
      </w:r>
      <w:r>
        <w:rPr>
          <w:noProof/>
        </w:rPr>
        <w:t>Conformément aux articles 1</w:t>
      </w:r>
      <w:r>
        <w:rPr>
          <w:noProof/>
          <w:vertAlign w:val="superscript"/>
        </w:rPr>
        <w:t>er</w:t>
      </w:r>
      <w:r>
        <w:rPr>
          <w:noProof/>
        </w:rPr>
        <w:t xml:space="preserve"> et 2 du protocole sur la position du Danemark annexé au traité sur l’Union européenne et au traité sur le fonctionnement de l’Union européenne, le Danemark ne participe pas à l’adoption du présent règlement et n’est pas lié par celui-ci ni soumis à son application.</w:t>
      </w:r>
    </w:p>
    <w:p>
      <w:pPr>
        <w:pStyle w:val="ManualConsidrant"/>
        <w:rPr>
          <w:noProof/>
        </w:rPr>
      </w:pPr>
      <w:r>
        <w:t>(5)</w:t>
      </w:r>
      <w:r>
        <w:tab/>
      </w:r>
      <w:r>
        <w:rPr>
          <w:noProof/>
        </w:rPr>
        <w:t>Dès lors, il convient de modifier les annexes A et B du règlement (UE) 2015/848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Les annexes A et B du règlement (UE) 2015/848 sont remplacées par le texte figurant à l'annexe du présent règlement.</w:t>
      </w:r>
    </w:p>
    <w:p>
      <w:pPr>
        <w:keepNext/>
        <w:spacing w:before="360"/>
        <w:jc w:val="center"/>
        <w:rPr>
          <w:i/>
          <w:noProof/>
        </w:rPr>
      </w:pPr>
      <w:r>
        <w:rPr>
          <w:i/>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 conformément aux traités.</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 xml:space="preserve"> 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tab/>
        <w:t xml:space="preserve">JO L 141 du 5.6.2015, p. 19. </w:t>
      </w:r>
    </w:p>
  </w:footnote>
  <w:footnote w:id="3">
    <w:p>
      <w:pPr>
        <w:pStyle w:val="FootnoteText"/>
        <w:rPr>
          <w:lang w:val="hu-HU"/>
        </w:rPr>
      </w:pPr>
      <w:r>
        <w:rPr>
          <w:rStyle w:val="FootnoteReference"/>
        </w:rPr>
        <w:footnoteRef/>
      </w:r>
      <w:r>
        <w:tab/>
        <w:t>JO C 102 du 4.4.1996,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58CA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CA8F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C25B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B679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8025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7 13:05: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09B35A8FCC04979955BE3D71DF3635A"/>
    <w:docVar w:name="LW_CROSSREFERENCE" w:val="&lt;UNUSED&gt;"/>
    <w:docVar w:name="LW_DocType" w:val="COM"/>
    <w:docVar w:name="LW_EMISSION" w:val="30.5.2016"/>
    <w:docVar w:name="LW_EMISSION_ISODATE" w:val="2016-05-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59"/>
    <w:docVar w:name="LW_REF.II.NEW.CP_YEAR" w:val="2016"/>
    <w:docVar w:name="LW_REF.INST.NEW" w:val="COM"/>
    <w:docVar w:name="LW_REF.INST.NEW_ADOPTED" w:val="final"/>
    <w:docVar w:name="LW_REF.INST.NEW_TEXT" w:val="(2016) 317"/>
    <w:docVar w:name="LW_REF.INTERNE" w:val="&lt;UNUSED&gt;"/>
    <w:docVar w:name="LW_SOUS.TITRE.OBJ.CP" w:val="&lt;UNUSED&gt;"/>
    <w:docVar w:name="LW_STATUT.CP" w:val="Proposition de"/>
    <w:docVar w:name="LW_SUPERTITRE" w:val="&lt;UNUSED&gt;"/>
    <w:docVar w:name="LW_TITRE.OBJ.CP" w:val="remplaçant les listes des procédures d\u8217?insolvabilité et des praticiens de l'insolvabilité figurant aux annexes A et B du règlement (UE) 2015/848 relatif aux procédures d'insolvabilité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200">
      <w:bodyDiv w:val="1"/>
      <w:marLeft w:val="390"/>
      <w:marRight w:val="390"/>
      <w:marTop w:val="0"/>
      <w:marBottom w:val="0"/>
      <w:divBdr>
        <w:top w:val="none" w:sz="0" w:space="0" w:color="auto"/>
        <w:left w:val="none" w:sz="0" w:space="0" w:color="auto"/>
        <w:bottom w:val="none" w:sz="0" w:space="0" w:color="auto"/>
        <w:right w:val="none" w:sz="0" w:space="0" w:color="auto"/>
      </w:divBdr>
      <w:divsChild>
        <w:div w:id="712197372">
          <w:marLeft w:val="0"/>
          <w:marRight w:val="0"/>
          <w:marTop w:val="0"/>
          <w:marBottom w:val="0"/>
          <w:divBdr>
            <w:top w:val="none" w:sz="0" w:space="0" w:color="auto"/>
            <w:left w:val="none" w:sz="0" w:space="0" w:color="auto"/>
            <w:bottom w:val="none" w:sz="0" w:space="0" w:color="auto"/>
            <w:right w:val="none" w:sz="0" w:space="0" w:color="auto"/>
          </w:divBdr>
        </w:div>
        <w:div w:id="296491987">
          <w:marLeft w:val="0"/>
          <w:marRight w:val="0"/>
          <w:marTop w:val="0"/>
          <w:marBottom w:val="0"/>
          <w:divBdr>
            <w:top w:val="none" w:sz="0" w:space="0" w:color="auto"/>
            <w:left w:val="none" w:sz="0" w:space="0" w:color="auto"/>
            <w:bottom w:val="none" w:sz="0" w:space="0" w:color="auto"/>
            <w:right w:val="none" w:sz="0" w:space="0" w:color="auto"/>
          </w:divBdr>
        </w:div>
      </w:divsChild>
    </w:div>
    <w:div w:id="901217813">
      <w:bodyDiv w:val="1"/>
      <w:marLeft w:val="390"/>
      <w:marRight w:val="390"/>
      <w:marTop w:val="0"/>
      <w:marBottom w:val="0"/>
      <w:divBdr>
        <w:top w:val="none" w:sz="0" w:space="0" w:color="auto"/>
        <w:left w:val="none" w:sz="0" w:space="0" w:color="auto"/>
        <w:bottom w:val="none" w:sz="0" w:space="0" w:color="auto"/>
        <w:right w:val="none" w:sz="0" w:space="0" w:color="auto"/>
      </w:divBdr>
      <w:divsChild>
        <w:div w:id="1766265798">
          <w:marLeft w:val="0"/>
          <w:marRight w:val="0"/>
          <w:marTop w:val="0"/>
          <w:marBottom w:val="0"/>
          <w:divBdr>
            <w:top w:val="none" w:sz="0" w:space="0" w:color="auto"/>
            <w:left w:val="none" w:sz="0" w:space="0" w:color="auto"/>
            <w:bottom w:val="none" w:sz="0" w:space="0" w:color="auto"/>
            <w:right w:val="none" w:sz="0" w:space="0" w:color="auto"/>
          </w:divBdr>
        </w:div>
        <w:div w:id="1625652144">
          <w:marLeft w:val="0"/>
          <w:marRight w:val="0"/>
          <w:marTop w:val="0"/>
          <w:marBottom w:val="0"/>
          <w:divBdr>
            <w:top w:val="none" w:sz="0" w:space="0" w:color="auto"/>
            <w:left w:val="none" w:sz="0" w:space="0" w:color="auto"/>
            <w:bottom w:val="none" w:sz="0" w:space="0" w:color="auto"/>
            <w:right w:val="none" w:sz="0" w:space="0" w:color="auto"/>
          </w:divBdr>
        </w:div>
      </w:divsChild>
    </w:div>
    <w:div w:id="1509369287">
      <w:bodyDiv w:val="1"/>
      <w:marLeft w:val="390"/>
      <w:marRight w:val="390"/>
      <w:marTop w:val="0"/>
      <w:marBottom w:val="0"/>
      <w:divBdr>
        <w:top w:val="none" w:sz="0" w:space="0" w:color="auto"/>
        <w:left w:val="none" w:sz="0" w:space="0" w:color="auto"/>
        <w:bottom w:val="none" w:sz="0" w:space="0" w:color="auto"/>
        <w:right w:val="none" w:sz="0" w:space="0" w:color="auto"/>
      </w:divBdr>
      <w:divsChild>
        <w:div w:id="1401753643">
          <w:marLeft w:val="0"/>
          <w:marRight w:val="0"/>
          <w:marTop w:val="0"/>
          <w:marBottom w:val="0"/>
          <w:divBdr>
            <w:top w:val="none" w:sz="0" w:space="0" w:color="auto"/>
            <w:left w:val="none" w:sz="0" w:space="0" w:color="auto"/>
            <w:bottom w:val="none" w:sz="0" w:space="0" w:color="auto"/>
            <w:right w:val="none" w:sz="0" w:space="0" w:color="auto"/>
          </w:divBdr>
        </w:div>
        <w:div w:id="1950503977">
          <w:marLeft w:val="0"/>
          <w:marRight w:val="0"/>
          <w:marTop w:val="0"/>
          <w:marBottom w:val="0"/>
          <w:divBdr>
            <w:top w:val="none" w:sz="0" w:space="0" w:color="auto"/>
            <w:left w:val="none" w:sz="0" w:space="0" w:color="auto"/>
            <w:bottom w:val="none" w:sz="0" w:space="0" w:color="auto"/>
            <w:right w:val="none" w:sz="0" w:space="0" w:color="auto"/>
          </w:divBdr>
        </w:div>
      </w:divsChild>
    </w:div>
    <w:div w:id="1847018254">
      <w:bodyDiv w:val="1"/>
      <w:marLeft w:val="390"/>
      <w:marRight w:val="390"/>
      <w:marTop w:val="0"/>
      <w:marBottom w:val="0"/>
      <w:divBdr>
        <w:top w:val="none" w:sz="0" w:space="0" w:color="auto"/>
        <w:left w:val="none" w:sz="0" w:space="0" w:color="auto"/>
        <w:bottom w:val="none" w:sz="0" w:space="0" w:color="auto"/>
        <w:right w:val="none" w:sz="0" w:space="0" w:color="auto"/>
      </w:divBdr>
      <w:divsChild>
        <w:div w:id="2016615438">
          <w:marLeft w:val="0"/>
          <w:marRight w:val="0"/>
          <w:marTop w:val="0"/>
          <w:marBottom w:val="0"/>
          <w:divBdr>
            <w:top w:val="none" w:sz="0" w:space="0" w:color="auto"/>
            <w:left w:val="none" w:sz="0" w:space="0" w:color="auto"/>
            <w:bottom w:val="none" w:sz="0" w:space="0" w:color="auto"/>
            <w:right w:val="none" w:sz="0" w:space="0" w:color="auto"/>
          </w:divBdr>
        </w:div>
        <w:div w:id="80604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2579-0222-48E5-A811-63CCAF9F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1226</Words>
  <Characters>7056</Characters>
  <Application>Microsoft Office Word</Application>
  <DocSecurity>0</DocSecurity>
  <Lines>128</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2016-03-23T13:34:00Z</cp:lastPrinted>
  <dcterms:created xsi:type="dcterms:W3CDTF">2016-05-27T11:05:00Z</dcterms:created>
  <dcterms:modified xsi:type="dcterms:W3CDTF">2016-05-30T07:43:00Z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