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438E3AC1D4B46038B0DDA24894616D0" style="width:451.35pt;height:397.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 Предложението за</w:t>
      </w:r>
    </w:p>
    <w:p>
      <w:pPr>
        <w:pStyle w:val="Typeacteprincipal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Objetacteprincipal"/>
        <w:rPr>
          <w:noProof/>
        </w:rPr>
      </w:pPr>
      <w:r>
        <w:rPr>
          <w:noProof/>
        </w:rPr>
        <w:t>за замяна на списъците с производства по несъстоятелност и синдици в приложения А и Б към Регламент (ЕС) 2015/848 относно производството по несъстоятелност</w:t>
      </w:r>
    </w:p>
    <w:p>
      <w:pPr>
        <w:rPr>
          <w:noProof/>
        </w:rPr>
      </w:pPr>
      <w:r>
        <w:rPr>
          <w:noProof/>
        </w:rPr>
        <w:t>Приложения А и Б към Регламент (ЕС) 2015/848 се заменят със следното:</w:t>
      </w:r>
    </w:p>
    <w:p>
      <w:pPr>
        <w:jc w:val="center"/>
        <w:rPr>
          <w:noProof/>
        </w:rPr>
      </w:pPr>
      <w:r>
        <w:rPr>
          <w:noProof/>
        </w:rPr>
        <w:t>„</w:t>
      </w:r>
      <w:r>
        <w:rPr>
          <w:i/>
          <w:noProof/>
        </w:rPr>
        <w:t>ПРИЛОЖЕНИЕ А</w:t>
      </w:r>
    </w:p>
    <w:p>
      <w:pPr>
        <w:rPr>
          <w:noProof/>
        </w:rPr>
      </w:pPr>
      <w:r>
        <w:rPr>
          <w:noProof/>
        </w:rPr>
        <w:t>Производства по несъстоятелност, посочени в член 2, точка 4</w:t>
      </w:r>
    </w:p>
    <w:p>
      <w:pPr>
        <w:rPr>
          <w:noProof/>
          <w:szCs w:val="24"/>
        </w:rPr>
      </w:pP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BELGIQUE/BELGIË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Het faillissement/La faillite,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gerechtelijke reorganisatie door een collectief akkoord/La réorganisation judiciaire par accord collectif,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gerechtelijke reorganisatie door een minnelijk akkoord/La réorganisation judiciaire par accord amiable,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gerechtelijke reorganisatie door overdracht onder gerechtelijk gezag/La réorganisation judiciaire par transfert sous autorité de justice,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collectieve schuldenregeling/Le règlement collectif de dettes,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vrijwillige vereffening/La liquidation volontaire,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gerechtelijke vereffening/La liquidation judiciaire,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voorlopige ontneming van beheer, bepaald in artikel 8 van de faillissementswet/Le dessaisissement provisoire, visé à l'article 8 de la loi sur les faillites,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БЪЛГАРИЯ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Производство по несъстоятелност,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ČESKÁ REPUBLIKA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Konkurs,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Reorganizace,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Oddlužení,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lastRenderedPageBreak/>
        <w:t>DEUTSCHLAND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Konkursverfahren,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gerichtliche Vergleichsverfahren,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Gesamtvollstreckungsverfahren,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Insolvenzverfahren,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EESTI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Pankrotimenetlus,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Võlgade ümberkujundamise menetlus,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ÉIRE/IRELAND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Compulsory winding-up by the court,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Bankruptcy,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The administration in bankruptcy of the estate of persons dying insolvent,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Winding-up in bankruptcy of partnerships,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Creditors' voluntary winding-up (with confirmation of a court),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Arrangements under the control of the court which involve the vesting of all or part of the property of the debtor in the Official Assignee for realisation and distribution,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Examinership,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Debt Relief Notice,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Debt Settlement Arrangement,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Personal Insolvency Arrangement,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ΕΛΛΑΔΑ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Η πτώχευση,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Η ειδική εκκαθάριση εν λειτουργία,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Σχέδιο αναδιοργάνωσης,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Απλοποιημένη διαδικασία επί πτωχεύσεων μικρού αντικειμένου,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Διαδικασία Εξυγίανσης,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ESPAÑA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lastRenderedPageBreak/>
        <w:t>— Concurso,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Procedimiento de homologación de acuerdos de refinanciación,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Procedimiento de acuerdos extrajudiciales de pago,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Procedimiento de negociación pública para la consecución de acuerdos de refinanciación colectivos, acuerdos de refinanciación homologados y propuestas anticipadas de convenio,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FRANCE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Sauvegarde,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Sauvegarde accélérée,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Sauvegarde financière accélérée,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Redressement judiciaire,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Liquidation judiciaire,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HRVATSKA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Stečajni postupak,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ITALIA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Fallimento,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Concordato preventivo,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Liquidazione coatta amministrativa,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Amministrazione straordinaria,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Accordi di ristrutturazione,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Procedure di composizione della crisi da sovraindebitamento del consumatore (accordo o piano),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Liquidazione dei beni,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ΚΥΠΡΟΣ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Υποχρεωτική εκκαθάριση από το Δικαστήριο,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Εκούσια εκκαθάριση από μέλη,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Εκούσια εκκαθάριση από πιστωτές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Εκκαθάριση με την εποπτεία του Δικαστηρίου,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lastRenderedPageBreak/>
        <w:t>— Διάταγμα Παραλαβής και πτώχευσης κατόπιν Δικαστικού Διατάγματος,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Διαχείριση της περιουσίας προσώπων που απεβίωσαν αφερέγγυα,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LATVIJA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Tiesiskās aizsardzības process,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Juridiskās personas maksātnespējas process,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Fiziskās personas maksātnespējas process,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LIETUVA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Įmonės restruktūrizavimo byla,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Įmonės bankroto byla,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Įmonės bankroto procesas ne teismo tvarka,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Fizinio asmens bankroto procesas,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LUXEMBOURG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Faillite,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Gestion contrôlée,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Concordat préventif de faillite (par abandon d'actif),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Régime spécial de liquidation du notariat,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Procédure de règlement collectif des dettes dans le cadre du surendettement,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MAGYARORSZÁG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Csődeljárás,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Felszámolási eljárás,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MALTA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Xoljiment,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Amministrazzjoni,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Stralċ volontarju mill-membri jew mill-kredituri,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Stralċ mill-Qorti,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Falliment f'każ ta' kummerċjant,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noProof/>
        </w:rPr>
        <w:lastRenderedPageBreak/>
        <w:t xml:space="preserve">— </w:t>
      </w:r>
      <w:r>
        <w:rPr>
          <w:b/>
          <w:noProof/>
        </w:rPr>
        <w:t>Proċedura biex kumpanija tirkupra,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NEDERLAND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Het faillissement,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surséance van betaling,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schuldsaneringsregeling natuurlijke personen,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ÖSTERREICH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Konkursverfahren (Insolvenzverfahren),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Sanierungsverfahren ohne Eigenverwaltung (Insolvenzverfahren),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Sanierungsverfahren mit Eigenverwaltung (Insolvenzverfahren),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Schuldenregulierungsverfahren,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Abschöpfungsverfahren,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Das Ausgleichsverfahren,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POLSKA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Upadłość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Postępowanie o zatwierdzenie układu,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Przyspieszone postępowanie układowe,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Postępowanie układowe,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Postępowanie sanacyjne,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PORTUGAL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Processo de insolvência,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Processo especial de revitalização,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ROMÂNIA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Procedura insolvenței,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Reorganizarea judiciară,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Procedura falimentului,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Concordatul preventiv,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lastRenderedPageBreak/>
        <w:t>SLOVENIJA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Postopek preventivnega prestrukturiranja,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Postopek prisilne poravnave,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Postopek poenostavljene prisilne poravnave,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 xml:space="preserve">— Stečajni postopek: stečajni postopek nad pravno osebo, postopek osebnega stečaja </w:t>
      </w:r>
      <w:r>
        <w:rPr>
          <w:noProof/>
          <w:szCs w:val="24"/>
        </w:rPr>
        <w:t>in</w:t>
      </w:r>
      <w:r>
        <w:rPr>
          <w:noProof/>
        </w:rPr>
        <w:t xml:space="preserve"> postopek stečaja zapuščine,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SLOVENSKO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Konkurzné konanie,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Reštrukturalizačné konanie,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Oddlženie,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SUOMI/FINLAND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Konkurssi/konkurs,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Yrityssaneeraus/företagssanering,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Yksityishenkilön velkajärjestely/skuldsanering för privatpersoner,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SVERIGE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Konkurs,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Företagsrekonstruktion,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Skuldsanering,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UNITED KINGDOM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Winding-up by or subject to the supervision of the court,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Creditors' voluntary winding-up (with confirmation by the court),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Administration, including appointments made by filing prescribed documents with the court,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Voluntary arrangements under insolvency legislation,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Bankruptcy or sequestration.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spacing w:before="0" w:after="200" w:line="276" w:lineRule="auto"/>
        <w:jc w:val="left"/>
        <w:rPr>
          <w:noProof/>
          <w:szCs w:val="24"/>
        </w:rPr>
      </w:pPr>
    </w:p>
    <w:p>
      <w:pPr>
        <w:spacing w:before="0" w:after="200" w:line="276" w:lineRule="auto"/>
        <w:jc w:val="center"/>
        <w:rPr>
          <w:i/>
          <w:noProof/>
          <w:szCs w:val="24"/>
        </w:rPr>
      </w:pPr>
      <w:r>
        <w:rPr>
          <w:i/>
          <w:noProof/>
        </w:rPr>
        <w:t>ПРИЛОЖЕНИЕ Б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Синдици, посочени в член 2, точка 5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BELGIQUE/BELGIË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curator/Le curateur,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gedelegeerd rechter/Le juge-délégué,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gerechtsmandataris/Le mandataire de justice,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schuldbemiddelaar/Le médiateur de dettes,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vereffenaar/Le liquidateur,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voorlopige bewindvoerder/L'administrateur provisoire,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БЪЛГАРИЯ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Назначен предварително временен синдик,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Временен синдик,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(Постоянен) синдик,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Служебен синдик,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ČESKÁ REPUBLIKA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Insolvenční správce,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Předběžný insolvenční správce,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Oddělený insolvenční správce,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Zvláštní insolvenční správce,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Zástupce insolvenčního správce,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DEUTSCHLAND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Konkursverwalter,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Vergleichsverwalter,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Sachwalter (nach der Vergleichsordnung),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lastRenderedPageBreak/>
        <w:t>— Insolvenzverwalter,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Sachwalter (nach der Insolvenzordnung),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Treuhänder,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Vorläufiger Insolvenzverwalter,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Vorläufiger Sachwalter,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EESTI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Pankrotihaldur,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Ajutine pankrotihaldur,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Usaldusisik,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ÉIRE/IRELAND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Liquidator,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Official Assignee,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Trustee in bankruptcy,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Provisional Liquidator,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Examiner,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Personal Insolvency Practitioner,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Insolvency Service,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ΕΛΛΑΔΑ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Ο σύνδικος,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Ο εισηγητής,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Η επιτροπή των πιστωτών,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Ο ειδικός εκκαθαριστής,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ESPAÑA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Administrador concursal,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Mediador concursal,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FRANCE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lastRenderedPageBreak/>
        <w:t>— Mandataire judiciaire,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Liquidateur,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Administrateur judiciaire,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Commissaire à l'exécution du plan,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HRVATSKA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Stečajni upravitelj,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Privremeni stečajni upravitelj,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Stečajni povjerenik,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Povjerenik,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ITALIA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Curatore,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Commissario giudiziale,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Commissario straordinario,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Commissario liquidatore,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Liquidatore giudiziale,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Professionista nominato dal Tribunale,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Organismo di composizione della crisi nella procedura di composizione della crisi da sovraindebitamento del consumatore,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Liquidatore,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ΚΥΠΡΟΣ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Εκκαθαριστής και Προσωρινός Εκκαθαριστής,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Επίσημος Παραλήπτης,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Διαχειριστής της Πτώχευσης,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LATVIJA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Maksātnespējas procesa administrators,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LIETUVA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Bankroto administratorius,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lastRenderedPageBreak/>
        <w:t>— Restruktūrizavimo administratorius,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LUXEMBOURG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Le curateur,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Le commissaire,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Le liquidateur,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Le conseil de gérance de la section d'assainissement du notariat,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Le liquidateur dans le cadre du surendettement,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MAGYARORSZÁG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Vagyonfelügyelő,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Felszámoló,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MALTA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Amministratur Proviżorju,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Riċevitur Uffiċjali,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Stralċjarju,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Manager Speċjali,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Kuraturi f'każ ta' proċeduri ta' falliment,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Kontrolur Speċjali,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NEDERLAND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curator in het faillissement,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bewindvoerder in de surséance van betaling,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De bewindvoerder in de schuldsaneringsregeling natuurlijke personen,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ÖSTERREICH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Masseverwalter,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Sanierungsverwalter,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Ausgleichsverwalter,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Besonderer 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lastRenderedPageBreak/>
        <w:t>— Einstweiliger Verwalter,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Sachwalter,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Treuhänder,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Insolvenzgericht,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Konkursgericht,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POLSKA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Syndyk,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Nadzorca sądowy,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Zarządca,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Nadzorca układu,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Tymczasowy nadzorca sądowy,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Tymczasowy zarządca,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Zarządca przymusowy,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PORTUGAL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Administrador da insolvência,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Administrador judicial provisório,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ROMÂNIA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Practician în insolvență,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Administrator concordatar,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Administrator judiciar,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Lichidator judiciar,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SLOVENIJA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Upravitelj,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SLOVENSKO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Predbežný správca,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Správca,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lastRenderedPageBreak/>
        <w:t>SUOMI/FINLAND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Pesänhoitaja/boförvaltare,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Selvittäjä/utredare,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SVERIGE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Förvaltare,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Rekonstruktör,</w:t>
      </w:r>
    </w:p>
    <w:p>
      <w:pPr>
        <w:spacing w:before="0" w:after="200" w:line="276" w:lineRule="auto"/>
        <w:jc w:val="left"/>
        <w:rPr>
          <w:b/>
          <w:noProof/>
          <w:szCs w:val="24"/>
        </w:rPr>
      </w:pPr>
      <w:r>
        <w:rPr>
          <w:b/>
          <w:noProof/>
        </w:rPr>
        <w:t>UNITED KINGDOM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Liquidator,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Supervisor of a voluntary arrangement,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Administrator,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Official Receiver,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Trustee,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Provisional Liquidator,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— Interim Receiver,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— Judicial factor.</w:t>
      </w:r>
      <w:r>
        <w:rPr>
          <w:noProof/>
          <w:szCs w:val="24"/>
        </w:rPr>
        <w:t>“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D6005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49AFF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E349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C201D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4CC67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2E022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B0BB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87222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30 09:47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 \u1055?\u1088?\u1077?\u1076?\u1083?\u1086?\u1078?\u1077?\u1085?\u1080?\u1077?\u1090?\u1086? \u1079?\u1072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6438E3AC1D4B46038B0DDA24894616D0"/>
    <w:docVar w:name="LW_CROSSREFERENCE" w:val="&lt;UNUSED&gt;"/>
    <w:docVar w:name="LW_DocType" w:val="ANNEX"/>
    <w:docVar w:name="LW_EMISSION" w:val="30.5.2016"/>
    <w:docVar w:name="LW_EMISSION_ISODATE" w:val="2016-05-30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79?\u1072?\u1084?\u1103?\u1085?\u1072? \u1085?\u1072? \u1089?\u1087?\u1080?\u1089?\u1098?\u1094?\u1080?\u1090?\u1077? \u1089? \u1087?\u1088?\u1086?\u1080?\u1079?\u1074?\u1086?\u1076?\u1089?\u1090?\u1074?\u1072? \u1087?\u1086? \u1085?\u1077?\u1089?\u1098?\u1089?\u1090?\u1086?\u1103?\u1090?\u1077?\u1083?\u1085?\u1086?\u1089?\u1090? \u1080? \u1089?\u1080?\u1085?\u1076?\u1080?\u1094?\u1080? \u1074? \u1087?\u1088?\u1080?\u1083?\u1086?\u1078?\u1077?\u1085?\u1080?\u1103? \u1040? \u1080? \u1041? \u1082?\u1098?\u1084? \u1056?\u1077?\u1075?\u1083?\u1072?\u1084?\u1077?\u1085?\u1090? (\u1045?\u1057?) 2015/848 \u1086?\u1090?\u1085?\u1086?\u1089?\u1085?\u1086? \u1087?\u1088?\u1086?\u1080?\u1079?\u1074?\u1086?\u1076?\u1089?\u1090?\u1074?\u1086?\u1090?\u1086? \u1087?\u1086? \u1085?\u1077?\u1089?\u1098?\u1089?\u1090?\u1086?\u1103?\u1090?\u1077?\u1083?\u1085?\u1086?\u1089?\u1090?"/>
    <w:docVar w:name="LW_PART_NBR" w:val="1"/>
    <w:docVar w:name="LW_PART_NBR_TOTAL" w:val="1"/>
    <w:docVar w:name="LW_REF.INST.NEW" w:val="COM"/>
    <w:docVar w:name="LW_REF.INST.NEW_ADOPTED" w:val="final"/>
    <w:docVar w:name="LW_REF.INST.NEW_TEXT" w:val="(2016) 317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F175-285B-4ECA-B7C5-27E8DA0B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13</Pages>
  <Words>932</Words>
  <Characters>7979</Characters>
  <Application>Microsoft Office Word</Application>
  <DocSecurity>0</DocSecurity>
  <Lines>319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SZIRANYI Pal Lajos (JUST)</dc:creator>
  <cp:lastModifiedBy>DIGIT/A3</cp:lastModifiedBy>
  <cp:revision>7</cp:revision>
  <dcterms:created xsi:type="dcterms:W3CDTF">2016-05-27T15:05:00Z</dcterms:created>
  <dcterms:modified xsi:type="dcterms:W3CDTF">2016-05-30T07:47:00Z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