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A714DA90A884065B004A1B273E2E49A"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Според Регламент (EC,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и по-специално с член 10 от него, се разрешава мобилизирането на средства от фонд „Солидарност“ на Европейския съюз в рамките на годишен таван в размер на 500 000 000 EUR (по цени от 2011 г.) над съответните функции, определени във финансовата рамка.</w:t>
      </w:r>
    </w:p>
    <w:p>
      <w:pPr>
        <w:rPr>
          <w:noProof/>
        </w:rPr>
      </w:pPr>
      <w:r>
        <w:rPr>
          <w:noProof/>
        </w:rPr>
        <w:t>Условията за мобилизирането на фонда са определени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rPr>
        <w:t>.</w:t>
      </w:r>
    </w:p>
    <w:p>
      <w:pPr>
        <w:rPr>
          <w:noProof/>
        </w:rPr>
      </w:pPr>
      <w:r>
        <w:rPr>
          <w:noProof/>
        </w:rPr>
        <w:t>Условията за допустимост по отношение на средствата от фонда са определени подробно в Регламент (ЕО) № 2012/2002 на Съвета от 11 ноември 2002 г. за създаване на фонд „Солидарност“ на Европейския съюз</w:t>
      </w:r>
      <w:r>
        <w:rPr>
          <w:rStyle w:val="FootnoteReference"/>
          <w:noProof/>
        </w:rPr>
        <w:footnoteReference w:id="3"/>
      </w:r>
      <w:r>
        <w:rPr>
          <w:noProof/>
        </w:rPr>
        <w:t>. За авансови плащания в посочения регламент е предвидено в бюджета да бъде включен до максимален размер от 50 000 000 EUR като бюджетни кредити за поети задължения и бюджетни кредити за плащания.</w:t>
      </w:r>
    </w:p>
    <w:p>
      <w:pPr>
        <w:rPr>
          <w:noProof/>
        </w:rPr>
      </w:pPr>
      <w:r>
        <w:rPr>
          <w:noProof/>
        </w:rPr>
        <w:t>Комисията счита, че е необходимо да се предвиди такова мобилизиране, за да се гарантира своевременното наличие на бюджетни ресурси, и съответно Комисията предлага тази сума да бъде включена в проектобюджета за 2017 г.</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от фонд „Солидарност“ на Европейския съюз за извършване на авансови плащания в рамките на общия бюджет на Съюза за 2017 г.</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4"/>
      </w:r>
      <w:r>
        <w:rPr>
          <w:noProof/>
        </w:rPr>
        <w:t xml:space="preserve">, и по-специално член 4а, параграф 4 от него, </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5"/>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Point0number"/>
        <w:numPr>
          <w:ilvl w:val="0"/>
          <w:numId w:val="1"/>
        </w:numPr>
        <w:rPr>
          <w:noProof/>
        </w:rPr>
      </w:pPr>
      <w:r>
        <w:rPr>
          <w:noProof/>
        </w:rPr>
        <w:t>С фонд „Солидарност“ на Европейския съюз („Фондът“) се цели да бъде дадена възможност на Съюза да реагира по бърз, ефективен и гъвкав начин на извънредни ситуации, за да прояви солидарност с населението на региони, които са засегнати от природни бедствия.</w:t>
      </w:r>
    </w:p>
    <w:p>
      <w:pPr>
        <w:pStyle w:val="Point0number"/>
        <w:rPr>
          <w:noProof/>
        </w:rPr>
      </w:pPr>
      <w:r>
        <w:rPr>
          <w:noProof/>
        </w:rPr>
        <w:t>Фондът не бива да надвишава размера на максималната сума от 500 000 000 EUR (по цени от 2011 г.), както е посочено в член 10 от Регламент (ЕС, Евратом) № 1311/2013 на Съвета</w:t>
      </w:r>
      <w:r>
        <w:rPr>
          <w:rStyle w:val="FootnoteReference"/>
          <w:noProof/>
        </w:rPr>
        <w:footnoteReference w:id="6"/>
      </w:r>
      <w:r>
        <w:rPr>
          <w:noProof/>
        </w:rPr>
        <w:t>.</w:t>
      </w:r>
    </w:p>
    <w:p>
      <w:pPr>
        <w:pStyle w:val="Point0number"/>
        <w:rPr>
          <w:noProof/>
          <w:sz w:val="22"/>
        </w:rPr>
      </w:pPr>
      <w:r>
        <w:rPr>
          <w:noProof/>
        </w:rPr>
        <w:t>В член 4а, параграф 4 от Регламент (ЕО) № 2012/2002 е предвидено, че когато е необходимо, и за да се гарантира своевременното наличие на бюджетни ресурси, от Фонда следва да се мобилизира до максимален размер от 50 000 000 EUR за авансови плащания, като съответните бюджетни кредити се включат в общия бюджет на Съюза.</w:t>
      </w:r>
    </w:p>
    <w:p>
      <w:pPr>
        <w:pStyle w:val="Point0number"/>
        <w:rPr>
          <w:noProof/>
          <w:sz w:val="22"/>
        </w:rPr>
      </w:pPr>
      <w:r>
        <w:rPr>
          <w:noProof/>
        </w:rPr>
        <w:t>С цел да бъде гарантирано своевременното наличие на достатъчни бюджетни ресурси в общия бюджет на Съюза за 2017 г., от Фонда следва да се мобилизира сума в размер на 50 000 000 EUR за авансови плащания.</w:t>
      </w:r>
    </w:p>
    <w:p>
      <w:pPr>
        <w:pStyle w:val="Point0number"/>
        <w:rPr>
          <w:noProof/>
          <w:sz w:val="22"/>
        </w:rPr>
      </w:pPr>
      <w:r>
        <w:rPr>
          <w:noProof/>
        </w:rPr>
        <w:t>С цел да се сведе до минимум необходимото време за мобилизиране на Фонда, настоящото решение следва да се прилага от 1 януари 2017 г.,</w:t>
      </w:r>
    </w:p>
    <w:p>
      <w:pPr>
        <w:pStyle w:val="Formuledadoption"/>
        <w:rPr>
          <w:noProof/>
        </w:rPr>
      </w:pPr>
      <w:r>
        <w:rPr>
          <w:noProof/>
        </w:rPr>
        <w:lastRenderedPageBreak/>
        <w:t>ПРИЕХА НАСТОЯЩОТО РЕШЕНИЕ:</w:t>
      </w:r>
    </w:p>
    <w:p>
      <w:pPr>
        <w:pStyle w:val="Titrearticle"/>
        <w:spacing w:before="240"/>
        <w:rPr>
          <w:noProof/>
        </w:rPr>
      </w:pPr>
      <w:r>
        <w:rPr>
          <w:noProof/>
        </w:rPr>
        <w:t>Член 1</w:t>
      </w:r>
    </w:p>
    <w:p>
      <w:pPr>
        <w:rPr>
          <w:noProof/>
        </w:rPr>
      </w:pPr>
      <w:r>
        <w:rPr>
          <w:noProof/>
        </w:rPr>
        <w:t>В рамките на общия бюджет на Съюза за финансовата 2017 година фонд „Солидарност“ на Европейския съюз се мобилизира за осигуряване на сумата от 50 000 000 EUR под формата на бюджетни кредити за поети задължения и бюджетни кредити за плащания за извършването на авансови плащания.</w:t>
      </w:r>
    </w:p>
    <w:p>
      <w:pPr>
        <w:pStyle w:val="Titrearticle"/>
        <w:spacing w:before="240"/>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noProof/>
        </w:rPr>
      </w:pPr>
      <w:r>
        <w:rPr>
          <w:noProof/>
        </w:rPr>
        <w:t>То се прилага, считано от 1 януари 2017 г.</w:t>
      </w:r>
    </w:p>
    <w:p>
      <w:pPr>
        <w:rPr>
          <w:noProof/>
        </w:rPr>
      </w:pPr>
      <w:r>
        <w:rPr>
          <w:noProof/>
        </w:rPr>
        <w:t>Съставено в […] на […] година.</w:t>
      </w:r>
    </w:p>
    <w:p>
      <w:pPr>
        <w:rPr>
          <w:i/>
          <w:noProof/>
        </w:rPr>
      </w:pPr>
      <w:r>
        <w:rPr>
          <w:i/>
          <w:noProof/>
        </w:rPr>
        <w:t>За Европейския парламент</w:t>
      </w:r>
      <w:r>
        <w:rPr>
          <w:i/>
          <w:noProof/>
        </w:rPr>
        <w:tab/>
      </w:r>
      <w:r>
        <w:rPr>
          <w:i/>
          <w:noProof/>
        </w:rPr>
        <w:tab/>
      </w:r>
      <w:r>
        <w:rPr>
          <w:i/>
          <w:noProof/>
        </w:rPr>
        <w:tab/>
      </w:r>
      <w:r>
        <w:rPr>
          <w:i/>
          <w:noProof/>
        </w:rPr>
        <w:tab/>
        <w:t>За Съвета</w:t>
      </w:r>
    </w:p>
    <w:p>
      <w:pPr>
        <w:rPr>
          <w:i/>
          <w:noProof/>
        </w:rPr>
      </w:pPr>
      <w:r>
        <w:rPr>
          <w:i/>
          <w:noProof/>
        </w:rPr>
        <w:t>Председател</w:t>
      </w:r>
      <w:r>
        <w:rPr>
          <w:i/>
          <w:noProof/>
        </w:rPr>
        <w:tab/>
      </w:r>
      <w:r>
        <w:rPr>
          <w:i/>
          <w:noProof/>
        </w:rPr>
        <w:tab/>
      </w:r>
      <w:r>
        <w:rPr>
          <w:i/>
          <w:noProof/>
        </w:rPr>
        <w:tab/>
      </w:r>
      <w:r>
        <w:rPr>
          <w:i/>
          <w:noProof/>
        </w:rPr>
        <w:tab/>
      </w:r>
      <w:r>
        <w:rPr>
          <w:i/>
          <w:noProof/>
        </w:rPr>
        <w:tab/>
      </w:r>
      <w:r>
        <w:rPr>
          <w:i/>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t>ОВ</w:t>
      </w:r>
      <w:r>
        <w:rPr>
          <w:lang w:val="pl-PL"/>
        </w:rPr>
        <w:t xml:space="preserve"> L 347, 20.12.2013</w:t>
      </w:r>
      <w:r>
        <w:t> г.</w:t>
      </w:r>
      <w:r>
        <w:rPr>
          <w:lang w:val="pl-PL"/>
        </w:rPr>
        <w:t xml:space="preserve">, </w:t>
      </w:r>
      <w:r>
        <w:t>стр</w:t>
      </w:r>
      <w:r>
        <w:rPr>
          <w:lang w:val="pl-PL"/>
        </w:rPr>
        <w:t>.</w:t>
      </w:r>
      <w:r>
        <w:t> </w:t>
      </w:r>
      <w:r>
        <w:rPr>
          <w:lang w:val="pl-PL"/>
        </w:rPr>
        <w:t>884.</w:t>
      </w:r>
    </w:p>
  </w:footnote>
  <w:footnote w:id="2">
    <w:p>
      <w:pPr>
        <w:pStyle w:val="FootnoteText"/>
        <w:rPr>
          <w:lang w:val="pl-PL"/>
        </w:rPr>
      </w:pPr>
      <w:r>
        <w:rPr>
          <w:rStyle w:val="FootnoteReference"/>
        </w:rPr>
        <w:footnoteRef/>
      </w:r>
      <w:r>
        <w:rPr>
          <w:lang w:val="pl-PL"/>
        </w:rPr>
        <w:tab/>
      </w:r>
      <w:r>
        <w:t>ОВ</w:t>
      </w:r>
      <w:r>
        <w:rPr>
          <w:lang w:val="pl-PL"/>
        </w:rPr>
        <w:t xml:space="preserve"> C 373, 20.12.2013</w:t>
      </w:r>
      <w:r>
        <w:t> г.</w:t>
      </w:r>
      <w:r>
        <w:rPr>
          <w:lang w:val="pl-PL"/>
        </w:rPr>
        <w:t xml:space="preserve">, </w:t>
      </w:r>
      <w:r>
        <w:t>стр</w:t>
      </w:r>
      <w:r>
        <w:rPr>
          <w:lang w:val="pl-PL"/>
        </w:rPr>
        <w:t>.</w:t>
      </w:r>
      <w:r>
        <w:t> </w:t>
      </w:r>
      <w:r>
        <w:rPr>
          <w:lang w:val="pl-PL"/>
        </w:rPr>
        <w:t>1.</w:t>
      </w:r>
    </w:p>
  </w:footnote>
  <w:footnote w:id="3">
    <w:p>
      <w:pPr>
        <w:pStyle w:val="FootnoteText"/>
      </w:pPr>
      <w:r>
        <w:rPr>
          <w:rStyle w:val="FootnoteReference"/>
        </w:rPr>
        <w:footnoteRef/>
      </w:r>
      <w:r>
        <w:rPr>
          <w:lang w:val="pl-PL"/>
        </w:rPr>
        <w:tab/>
      </w:r>
      <w:r>
        <w:t>ОВ</w:t>
      </w:r>
      <w:r>
        <w:rPr>
          <w:lang w:val="pl-PL"/>
        </w:rPr>
        <w:t xml:space="preserve"> L 311, 14.11.2002</w:t>
      </w:r>
      <w:r>
        <w:t> г.</w:t>
      </w:r>
      <w:r>
        <w:rPr>
          <w:lang w:val="pl-PL"/>
        </w:rPr>
        <w:t xml:space="preserve">, </w:t>
      </w:r>
      <w:r>
        <w:t>стр</w:t>
      </w:r>
      <w:r>
        <w:rPr>
          <w:lang w:val="pl-PL"/>
        </w:rPr>
        <w:t>.</w:t>
      </w:r>
      <w:r>
        <w:t> </w:t>
      </w:r>
      <w:r>
        <w:rPr>
          <w:lang w:val="pl-PL"/>
        </w:rPr>
        <w:t>3</w:t>
      </w:r>
      <w:r>
        <w:t>.</w:t>
      </w:r>
    </w:p>
  </w:footnote>
  <w:footnote w:id="4">
    <w:p>
      <w:pPr>
        <w:pStyle w:val="FootnoteText"/>
      </w:pPr>
      <w:r>
        <w:rPr>
          <w:rStyle w:val="FootnoteReference"/>
        </w:rPr>
        <w:footnoteRef/>
      </w:r>
      <w:r>
        <w:rPr>
          <w:lang w:val="pl-PL"/>
        </w:rPr>
        <w:tab/>
      </w:r>
      <w:r>
        <w:t>ОВ</w:t>
      </w:r>
      <w:r>
        <w:rPr>
          <w:lang w:val="pl-PL"/>
        </w:rPr>
        <w:t xml:space="preserve"> L 311, 14.11.2002</w:t>
      </w:r>
      <w:r>
        <w:t> г.</w:t>
      </w:r>
      <w:r>
        <w:rPr>
          <w:lang w:val="pl-PL"/>
        </w:rPr>
        <w:t xml:space="preserve">, </w:t>
      </w:r>
      <w:r>
        <w:t>стр</w:t>
      </w:r>
      <w:r>
        <w:rPr>
          <w:lang w:val="pl-PL"/>
        </w:rPr>
        <w:t>.</w:t>
      </w:r>
      <w:r>
        <w:t> </w:t>
      </w:r>
      <w:r>
        <w:rPr>
          <w:lang w:val="pl-PL"/>
        </w:rPr>
        <w:t>3</w:t>
      </w:r>
      <w:r>
        <w:t>.</w:t>
      </w:r>
    </w:p>
  </w:footnote>
  <w:footnote w:id="5">
    <w:p>
      <w:pPr>
        <w:pStyle w:val="FootnoteText"/>
      </w:pPr>
      <w:r>
        <w:rPr>
          <w:rStyle w:val="FootnoteReference"/>
        </w:rPr>
        <w:footnoteRef/>
      </w:r>
      <w:r>
        <w:tab/>
        <w:t>ОВ C 373, 20.12.2013 г., стр. 1.</w:t>
      </w:r>
    </w:p>
  </w:footnote>
  <w:footnote w:id="6">
    <w:p>
      <w:pPr>
        <w:pStyle w:val="FootnoteText"/>
      </w:pPr>
      <w:r>
        <w:rPr>
          <w:rStyle w:val="FootnoteReference"/>
        </w:rPr>
        <w:footnoteRef/>
      </w:r>
      <w:r>
        <w:tab/>
        <w:t>Регламент (ЕС, Eвратом) № 1311/2013 на Съвета от 2 декември 2013 г. за определяне на многогодишната финансова рамка за годините 2014—2020 г. (ОВ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024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06F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A04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DE24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4A13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CEB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06A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85FA28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8 09:5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A714DA90A884065B004A1B273E2E49A"/>
    <w:docVar w:name="LW_CROSSREFERENCE" w:val="&lt;UNUSED&gt;"/>
    <w:docVar w:name="LW_DocType" w:val="COM"/>
    <w:docVar w:name="LW_EMISSION" w:val="30.6.2016"/>
    <w:docVar w:name="LW_EMISSION_ISODATE" w:val="2016-06-30"/>
    <w:docVar w:name="LW_EMISSION_LOCATION" w:val="BRX"/>
    <w:docVar w:name="LW_EMISSION_PREFIX" w:val="\u1041?\u1088?\u1102?\u1082?\u1089?\u1077?\u1083?,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u1079?\u1072? \u1080?\u1079?\u1074?\u1098?\u1088?\u1096?\u1074?\u1072?\u1085?\u1077? \u1085?\u1072? \u1072?\u1074?\u1072?\u1085?\u1089?\u1086?\u1074?\u1080? \u1087?\u1083?\u1072?\u1097?\u1072?\u1085?\u1080?\u1103? \u1074? \u1088?\u1072?\u1084?\u1082?\u1080?\u1090?\u1077? \u1085?\u1072? \u1086?\u1073?\u1097?\u1080?\u1103? \u1073?\u1102?\u1076?\u1078?\u1077?\u1090? \u1085?\u1072? \u1057?\u1098?\u1102?\u1079?\u1072? \u1079?\u1072? 2017 \u1075?."/>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97B2-2A0A-4B5B-B9F1-D7C26B47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609</Words>
  <Characters>3213</Characters>
  <Application>Microsoft Office Word</Application>
  <DocSecurity>0</DocSecurity>
  <Lines>69</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2016-07-05T08:26:00Z</cp:lastPrinted>
  <dcterms:created xsi:type="dcterms:W3CDTF">2016-07-07T08:40:00Z</dcterms:created>
  <dcterms:modified xsi:type="dcterms:W3CDTF">2016-07-08T07:52:00Z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