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95" w:rsidRDefault="00F051A1">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852F0302C742DF84B0FBBAF5FC7516" style="width:450.25pt;height:335.3pt">
            <v:imagedata r:id="rId9" o:title=""/>
          </v:shape>
        </w:pict>
      </w:r>
    </w:p>
    <w:bookmarkEnd w:id="0"/>
    <w:p w:rsidR="00CC6095" w:rsidRDefault="00CC6095">
      <w:pPr>
        <w:rPr>
          <w:noProof/>
          <w:lang w:val="bg-BG"/>
        </w:rPr>
        <w:sectPr w:rsidR="00CC609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C6095" w:rsidRDefault="00F051A1">
      <w:pPr>
        <w:spacing w:after="120" w:line="240" w:lineRule="auto"/>
        <w:jc w:val="center"/>
        <w:rPr>
          <w:rFonts w:ascii="Times New Roman" w:hAnsi="Times New Roman" w:cs="Times New Roman"/>
          <w:b/>
          <w:noProof/>
          <w:sz w:val="24"/>
          <w:szCs w:val="24"/>
          <w:lang w:val="bg-BG"/>
        </w:rPr>
      </w:pPr>
      <w:r>
        <w:rPr>
          <w:rFonts w:ascii="Times New Roman" w:hAnsi="Times New Roman" w:cs="Times New Roman"/>
          <w:b/>
          <w:noProof/>
          <w:sz w:val="24"/>
          <w:szCs w:val="24"/>
          <w:lang w:val="bg-BG"/>
        </w:rPr>
        <w:lastRenderedPageBreak/>
        <w:t xml:space="preserve">Доклад на Комисията до Европейския парламент и Съвета относно прилагането на Регламент (ЕС) </w:t>
      </w:r>
      <w:r>
        <w:rPr>
          <w:rFonts w:ascii="Times New Roman" w:hAnsi="Times New Roman" w:cs="Times New Roman"/>
          <w:b/>
          <w:noProof/>
          <w:sz w:val="24"/>
          <w:szCs w:val="24"/>
          <w:lang w:val="bg-BG"/>
        </w:rPr>
        <w:t>№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w:t>
      </w:r>
    </w:p>
    <w:p w:rsidR="00CC6095" w:rsidRPr="00F051A1" w:rsidRDefault="00CC6095">
      <w:pPr>
        <w:spacing w:after="120" w:line="240" w:lineRule="auto"/>
        <w:jc w:val="center"/>
        <w:rPr>
          <w:rFonts w:ascii="Times New Roman" w:hAnsi="Times New Roman" w:cs="Times New Roman"/>
          <w:b/>
          <w:noProof/>
          <w:sz w:val="24"/>
          <w:szCs w:val="24"/>
          <w:lang w:val="bg-BG"/>
        </w:rPr>
      </w:pPr>
    </w:p>
    <w:p w:rsidR="00CC6095" w:rsidRDefault="00CC6095">
      <w:pPr>
        <w:spacing w:after="120" w:line="240" w:lineRule="auto"/>
        <w:jc w:val="center"/>
        <w:rPr>
          <w:rFonts w:ascii="Times New Roman" w:hAnsi="Times New Roman" w:cs="Times New Roman"/>
          <w:b/>
          <w:noProof/>
          <w:sz w:val="24"/>
          <w:szCs w:val="24"/>
          <w:lang w:val="bg-BG"/>
        </w:rPr>
      </w:pPr>
    </w:p>
    <w:p w:rsidR="00CC6095" w:rsidRDefault="00F051A1">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Въведение</w:t>
      </w:r>
    </w:p>
    <w:p w:rsidR="00CC6095" w:rsidRDefault="00CC6095">
      <w:pPr>
        <w:pStyle w:val="ListParagraph"/>
        <w:spacing w:after="240" w:line="240" w:lineRule="auto"/>
        <w:ind w:left="851"/>
        <w:jc w:val="both"/>
        <w:rPr>
          <w:rFonts w:ascii="Times New Roman" w:hAnsi="Times New Roman" w:cs="Times New Roman"/>
          <w:noProof/>
          <w:sz w:val="24"/>
          <w:szCs w:val="24"/>
          <w:lang w:val="bg-BG"/>
        </w:rPr>
      </w:pP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Регламентът за строителните продукти</w:t>
      </w:r>
      <w:r>
        <w:rPr>
          <w:rStyle w:val="FootnoteReference"/>
          <w:rFonts w:ascii="Times New Roman" w:hAnsi="Times New Roman" w:cs="Times New Roman"/>
          <w:noProof/>
          <w:sz w:val="24"/>
          <w:szCs w:val="24"/>
          <w:lang w:val="bg-BG"/>
        </w:rPr>
        <w:footnoteReference w:id="2"/>
      </w:r>
      <w:r>
        <w:rPr>
          <w:rFonts w:ascii="Times New Roman" w:hAnsi="Times New Roman" w:cs="Times New Roman"/>
          <w:noProof/>
          <w:sz w:val="24"/>
          <w:szCs w:val="24"/>
          <w:lang w:val="bg-BG"/>
        </w:rPr>
        <w:t xml:space="preserve"> (РСП) замени предишната Директива за строителните продукти (ДСП), като определи хармонизирани условия за предлагането на строителни продукти на пазара в ЕС. РСП се прилага изцяло от юли 2013 г.</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Настоящият доклад до Европейския парламент и до Съвета, изиск</w:t>
      </w:r>
      <w:r>
        <w:rPr>
          <w:rFonts w:ascii="Times New Roman" w:hAnsi="Times New Roman" w:cs="Times New Roman"/>
          <w:noProof/>
          <w:sz w:val="24"/>
          <w:szCs w:val="24"/>
          <w:lang w:val="bg-BG"/>
        </w:rPr>
        <w:t>ван съгласно член 67, параграф 2 от РСП, представя текущото състояние по отношение на прилагането на РСП, включително придобития опит, степента на постигане на целите, заложени в РСП, и въпросите, по които е необходимо подобрение.</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Фактическите сведения, из</w:t>
      </w:r>
      <w:r>
        <w:rPr>
          <w:rFonts w:ascii="Times New Roman" w:hAnsi="Times New Roman" w:cs="Times New Roman"/>
          <w:noProof/>
          <w:sz w:val="24"/>
          <w:szCs w:val="24"/>
          <w:lang w:val="bg-BG"/>
        </w:rPr>
        <w:t>ползвани за този доклад, са почерпани от доклади на държавите членки и на заинтересовани страни до Комисията, от редовна обратна информация от държавите членки и основните заинтересовани страни, получавана основно чрез Консултативната група, Постоянния ком</w:t>
      </w:r>
      <w:r>
        <w:rPr>
          <w:rFonts w:ascii="Times New Roman" w:hAnsi="Times New Roman" w:cs="Times New Roman"/>
          <w:noProof/>
          <w:sz w:val="24"/>
          <w:szCs w:val="24"/>
          <w:lang w:val="bg-BG"/>
        </w:rPr>
        <w:t>итет по строителство и Групата за административно сътрудничество за надзор на пазара (AdCo-CPR), както и от външното проучване „Анализ на прилагането на Регламента за строителните продукти“, завършено през юли 2015 г.</w:t>
      </w:r>
      <w:r>
        <w:rPr>
          <w:rStyle w:val="FootnoteReference"/>
          <w:rFonts w:ascii="Times New Roman" w:hAnsi="Times New Roman" w:cs="Times New Roman"/>
          <w:noProof/>
          <w:sz w:val="24"/>
          <w:szCs w:val="24"/>
          <w:lang w:val="bg-BG"/>
        </w:rPr>
        <w:footnoteReference w:id="3"/>
      </w:r>
      <w:r>
        <w:rPr>
          <w:rFonts w:ascii="Times New Roman" w:hAnsi="Times New Roman" w:cs="Times New Roman"/>
          <w:noProof/>
          <w:sz w:val="24"/>
          <w:szCs w:val="24"/>
          <w:lang w:val="bg-BG"/>
        </w:rPr>
        <w:t>.</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Настоящият доклад не разглежда въпро</w:t>
      </w:r>
      <w:r>
        <w:rPr>
          <w:rFonts w:ascii="Times New Roman" w:hAnsi="Times New Roman" w:cs="Times New Roman"/>
          <w:noProof/>
          <w:sz w:val="24"/>
          <w:szCs w:val="24"/>
          <w:lang w:val="bg-BG"/>
        </w:rPr>
        <w:t>сите, които вече са включени в специалните проучвания, в докладите, изготвени от Комисията, и в докладите, които следва да се изготвят по-късно през годината. Това включва доклада относно опасните вещества за 2014 г.</w:t>
      </w:r>
      <w:r>
        <w:rPr>
          <w:rFonts w:ascii="Times New Roman" w:hAnsi="Times New Roman" w:cs="Times New Roman"/>
          <w:noProof/>
          <w:sz w:val="24"/>
          <w:szCs w:val="24"/>
          <w:vertAlign w:val="superscript"/>
          <w:lang w:val="bg-BG"/>
        </w:rPr>
        <w:footnoteReference w:id="4"/>
      </w:r>
      <w:r>
        <w:rPr>
          <w:rFonts w:ascii="Times New Roman" w:hAnsi="Times New Roman" w:cs="Times New Roman"/>
          <w:noProof/>
          <w:sz w:val="24"/>
          <w:szCs w:val="24"/>
          <w:lang w:val="bg-BG"/>
        </w:rPr>
        <w:t>, доклада относно делегираните правомощ</w:t>
      </w:r>
      <w:r>
        <w:rPr>
          <w:rFonts w:ascii="Times New Roman" w:hAnsi="Times New Roman" w:cs="Times New Roman"/>
          <w:noProof/>
          <w:sz w:val="24"/>
          <w:szCs w:val="24"/>
          <w:lang w:val="bg-BG"/>
        </w:rPr>
        <w:t>ия, приет през 2015 г.</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и предстоящия доклад относно финансирането на Европейската организация за техническо оценяване (ЕОТО), който следва да бъде представен до 1 януари 2017 г.</w:t>
      </w:r>
      <w:r>
        <w:rPr>
          <w:rStyle w:val="FootnoteReference"/>
          <w:rFonts w:ascii="Times New Roman" w:hAnsi="Times New Roman" w:cs="Times New Roman"/>
          <w:noProof/>
          <w:sz w:val="24"/>
          <w:szCs w:val="24"/>
          <w:lang w:val="bg-BG"/>
        </w:rPr>
        <w:footnoteReference w:id="6"/>
      </w:r>
      <w:r>
        <w:rPr>
          <w:rFonts w:ascii="Times New Roman" w:hAnsi="Times New Roman" w:cs="Times New Roman"/>
          <w:noProof/>
          <w:sz w:val="24"/>
          <w:szCs w:val="24"/>
          <w:lang w:val="bg-BG"/>
        </w:rPr>
        <w:t>.</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Подобно на горното, сближаването на законодателството на ЕС, приложимо към</w:t>
      </w:r>
      <w:r>
        <w:rPr>
          <w:rFonts w:ascii="Times New Roman" w:hAnsi="Times New Roman" w:cs="Times New Roman"/>
          <w:noProof/>
          <w:sz w:val="24"/>
          <w:szCs w:val="24"/>
          <w:lang w:val="bg-BG"/>
        </w:rPr>
        <w:t xml:space="preserve"> строителния сектор, включително РСП, и разходите и ползите от него за сектора са предмет на секторна проверка за годност, предвидена за 2017 г. По отношение на икономическото въздействие на РСП е започнато проучване, резултатите от което се очакват до лят</w:t>
      </w:r>
      <w:r>
        <w:rPr>
          <w:rFonts w:ascii="Times New Roman" w:hAnsi="Times New Roman" w:cs="Times New Roman"/>
          <w:noProof/>
          <w:sz w:val="24"/>
          <w:szCs w:val="24"/>
          <w:lang w:val="bg-BG"/>
        </w:rPr>
        <w:t>ото на 2016 г.</w:t>
      </w:r>
    </w:p>
    <w:p w:rsidR="00F051A1" w:rsidRDefault="00F051A1">
      <w:pPr>
        <w:rPr>
          <w:rFonts w:ascii="Times New Roman" w:hAnsi="Times New Roman" w:cs="Times New Roman"/>
          <w:noProof/>
          <w:sz w:val="24"/>
          <w:szCs w:val="24"/>
          <w:lang w:val="bg-BG"/>
        </w:rPr>
      </w:pPr>
      <w:r>
        <w:rPr>
          <w:rFonts w:ascii="Times New Roman" w:hAnsi="Times New Roman" w:cs="Times New Roman"/>
          <w:noProof/>
          <w:sz w:val="24"/>
          <w:szCs w:val="24"/>
          <w:lang w:val="bg-BG"/>
        </w:rPr>
        <w:br w:type="page"/>
      </w:r>
    </w:p>
    <w:p w:rsidR="00CC6095" w:rsidRDefault="00CC6095">
      <w:pPr>
        <w:pStyle w:val="ListParagraph"/>
        <w:tabs>
          <w:tab w:val="left" w:leader="dot" w:pos="6804"/>
        </w:tabs>
        <w:spacing w:after="240" w:line="240" w:lineRule="auto"/>
        <w:ind w:left="357"/>
        <w:jc w:val="both"/>
        <w:rPr>
          <w:rFonts w:ascii="Times New Roman" w:hAnsi="Times New Roman" w:cs="Times New Roman"/>
          <w:b/>
          <w:smallCaps/>
          <w:noProof/>
          <w:sz w:val="24"/>
          <w:szCs w:val="24"/>
          <w:lang w:val="bg-BG"/>
        </w:rPr>
      </w:pPr>
    </w:p>
    <w:p w:rsidR="00CC6095" w:rsidRDefault="00F051A1">
      <w:pPr>
        <w:pStyle w:val="ListParagraph"/>
        <w:numPr>
          <w:ilvl w:val="0"/>
          <w:numId w:val="6"/>
        </w:numPr>
        <w:tabs>
          <w:tab w:val="left" w:leader="dot" w:pos="6804"/>
        </w:tabs>
        <w:spacing w:after="240" w:line="240" w:lineRule="auto"/>
        <w:ind w:left="357" w:hanging="357"/>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Подход на РСП</w:t>
      </w:r>
    </w:p>
    <w:p w:rsidR="00CC6095" w:rsidRDefault="00CC6095">
      <w:pPr>
        <w:pStyle w:val="ListParagraph"/>
        <w:spacing w:after="120" w:line="240" w:lineRule="auto"/>
        <w:ind w:left="0"/>
        <w:contextualSpacing w:val="0"/>
        <w:jc w:val="both"/>
        <w:rPr>
          <w:rFonts w:ascii="Times New Roman" w:hAnsi="Times New Roman" w:cs="Times New Roman"/>
          <w:b/>
          <w:i/>
          <w:noProof/>
          <w:sz w:val="24"/>
          <w:szCs w:val="24"/>
          <w:lang w:val="bg-BG"/>
        </w:rPr>
      </w:pPr>
    </w:p>
    <w:p w:rsidR="00CC6095" w:rsidRDefault="00F051A1">
      <w:pPr>
        <w:pStyle w:val="ListParagraph"/>
        <w:spacing w:after="120" w:line="240" w:lineRule="auto"/>
        <w:ind w:left="0"/>
        <w:contextualSpacing w:val="0"/>
        <w:jc w:val="both"/>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Цели на РСП</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Основната цел на РСП остава същата като тази на ДСП, а именно — създаване на условия за по-добро функциониране на единния пазар и усъвършенстване на свободното движение на строителни продукти в ЕС чрез установява</w:t>
      </w:r>
      <w:r>
        <w:rPr>
          <w:rFonts w:ascii="Times New Roman" w:hAnsi="Times New Roman" w:cs="Times New Roman"/>
          <w:noProof/>
          <w:sz w:val="24"/>
          <w:szCs w:val="24"/>
          <w:lang w:val="bg-BG"/>
        </w:rPr>
        <w:t>не на хармонизирани условия за предлагането им на пазара.</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РСП има също така конкретни оперативни цели: опростяване на съществуващата система</w:t>
      </w:r>
      <w:r>
        <w:rPr>
          <w:rStyle w:val="FootnoteReference"/>
          <w:rFonts w:ascii="Times New Roman" w:hAnsi="Times New Roman" w:cs="Times New Roman"/>
          <w:noProof/>
          <w:sz w:val="24"/>
          <w:szCs w:val="24"/>
          <w:lang w:val="bg-BG"/>
        </w:rPr>
        <w:footnoteReference w:id="7"/>
      </w:r>
      <w:r>
        <w:rPr>
          <w:rFonts w:ascii="Times New Roman" w:hAnsi="Times New Roman" w:cs="Times New Roman"/>
          <w:noProof/>
          <w:sz w:val="24"/>
          <w:szCs w:val="24"/>
          <w:lang w:val="bg-BG"/>
        </w:rPr>
        <w:t>, изясняване на използваните понятия и дефиниции и увеличаване на надеждността на структурата като цяло. Всички тез</w:t>
      </w:r>
      <w:r>
        <w:rPr>
          <w:rFonts w:ascii="Times New Roman" w:hAnsi="Times New Roman" w:cs="Times New Roman"/>
          <w:noProof/>
          <w:sz w:val="24"/>
          <w:szCs w:val="24"/>
          <w:lang w:val="bg-BG"/>
        </w:rPr>
        <w:t>и цели допринасят и за политиката на ЕС по отношение на МСП, която е насочена към създаването на равни условия за МСП, и особено за микропредприятията.</w:t>
      </w:r>
    </w:p>
    <w:p w:rsidR="00CC6095" w:rsidRDefault="00F051A1">
      <w:pPr>
        <w:pStyle w:val="ListParagraph"/>
        <w:spacing w:after="120" w:line="240" w:lineRule="auto"/>
        <w:ind w:left="0"/>
        <w:contextualSpacing w:val="0"/>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Подходът на РСП допринася за целите на стратегията на Европейския съюз „Европа 2020“</w:t>
      </w:r>
      <w:r>
        <w:rPr>
          <w:rStyle w:val="FootnoteReference"/>
          <w:rFonts w:ascii="Times New Roman" w:hAnsi="Times New Roman" w:cs="Times New Roman"/>
          <w:noProof/>
          <w:sz w:val="24"/>
          <w:szCs w:val="24"/>
          <w:lang w:val="bg-BG"/>
        </w:rPr>
        <w:footnoteReference w:id="8"/>
      </w:r>
      <w:r>
        <w:rPr>
          <w:rFonts w:ascii="Times New Roman" w:hAnsi="Times New Roman" w:cs="Times New Roman"/>
          <w:noProof/>
          <w:sz w:val="24"/>
          <w:szCs w:val="24"/>
          <w:lang w:val="bg-BG"/>
        </w:rPr>
        <w:t xml:space="preserve"> и на плана за действие „Строителство 2020“</w:t>
      </w:r>
      <w:r>
        <w:rPr>
          <w:rStyle w:val="FootnoteReference"/>
          <w:rFonts w:ascii="Times New Roman" w:hAnsi="Times New Roman" w:cs="Times New Roman"/>
          <w:noProof/>
          <w:sz w:val="24"/>
          <w:szCs w:val="24"/>
          <w:lang w:val="bg-BG"/>
        </w:rPr>
        <w:footnoteReference w:id="9"/>
      </w:r>
      <w:r>
        <w:rPr>
          <w:rFonts w:ascii="Times New Roman" w:hAnsi="Times New Roman" w:cs="Times New Roman"/>
          <w:noProof/>
          <w:sz w:val="24"/>
          <w:szCs w:val="24"/>
          <w:lang w:val="bg-BG"/>
        </w:rPr>
        <w:t>, по-конкретно за постигането на устойчива конкурентоспособност на строителния сектор и неговите предприятия.</w:t>
      </w:r>
    </w:p>
    <w:p w:rsidR="00CC6095" w:rsidRDefault="00F051A1">
      <w:pPr>
        <w:pStyle w:val="ListParagraph"/>
        <w:spacing w:after="120" w:line="240" w:lineRule="auto"/>
        <w:ind w:left="0"/>
        <w:contextualSpacing w:val="0"/>
        <w:jc w:val="both"/>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Функциониране на РСП</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Системата, основана на РСП, хармонизира условията за предлагането на строителни п</w:t>
      </w:r>
      <w:r>
        <w:rPr>
          <w:rFonts w:ascii="Times New Roman" w:hAnsi="Times New Roman" w:cs="Times New Roman"/>
          <w:noProof/>
          <w:sz w:val="24"/>
          <w:szCs w:val="24"/>
          <w:lang w:val="bg-BG"/>
        </w:rPr>
        <w:t>родукти на пазара, като създава общ технически език, определящ съществените характеристики във връзка с техните експлоатационни показатели чрез хармонизирани технически спецификации: хармонизирани стандарти и европейски документи за оценяване (ЕДО). Те сле</w:t>
      </w:r>
      <w:r>
        <w:rPr>
          <w:rFonts w:ascii="Times New Roman" w:hAnsi="Times New Roman" w:cs="Times New Roman"/>
          <w:noProof/>
          <w:sz w:val="24"/>
          <w:szCs w:val="24"/>
          <w:lang w:val="bg-BG"/>
        </w:rPr>
        <w:t>два да обхващат сферата на основните изисквания към строежите</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 Когато един строителен продукт е обхванат от хармонизиран стандарт</w:t>
      </w:r>
      <w:r>
        <w:rPr>
          <w:rStyle w:val="FootnoteReference"/>
          <w:rFonts w:ascii="Times New Roman" w:hAnsi="Times New Roman" w:cs="Times New Roman"/>
          <w:noProof/>
          <w:sz w:val="24"/>
          <w:szCs w:val="24"/>
          <w:lang w:val="bg-BG"/>
        </w:rPr>
        <w:footnoteReference w:id="11"/>
      </w:r>
      <w:r>
        <w:rPr>
          <w:rFonts w:ascii="Times New Roman" w:hAnsi="Times New Roman" w:cs="Times New Roman"/>
          <w:noProof/>
          <w:sz w:val="24"/>
          <w:szCs w:val="24"/>
          <w:lang w:val="bg-BG"/>
        </w:rPr>
        <w:t xml:space="preserve"> или отговаря на издадена за него европейска техническа оценка, производителят изготвя декларация за експлоатационни показате</w:t>
      </w:r>
      <w:r>
        <w:rPr>
          <w:rFonts w:ascii="Times New Roman" w:hAnsi="Times New Roman" w:cs="Times New Roman"/>
          <w:noProof/>
          <w:sz w:val="24"/>
          <w:szCs w:val="24"/>
          <w:lang w:val="bg-BG"/>
        </w:rPr>
        <w:t>ли (ДЕП) и поставя на този продукт маркировка „СЕ“.</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Усилията за консолидиране на единния пазар за строителни продукти чрез РСП са насочени в посока, различна от общите принципи, които първоначално бяха заложени в Решението на Съвета относно нов подход за т</w:t>
      </w:r>
      <w:r>
        <w:rPr>
          <w:rFonts w:ascii="Times New Roman" w:hAnsi="Times New Roman" w:cs="Times New Roman"/>
          <w:noProof/>
          <w:sz w:val="24"/>
          <w:szCs w:val="24"/>
          <w:lang w:val="bg-BG"/>
        </w:rPr>
        <w:t>ехническа хармонизация и стандартизация</w:t>
      </w:r>
      <w:r>
        <w:rPr>
          <w:rStyle w:val="FootnoteReference"/>
          <w:rFonts w:ascii="Times New Roman" w:hAnsi="Times New Roman" w:cs="Times New Roman"/>
          <w:noProof/>
          <w:sz w:val="24"/>
          <w:szCs w:val="24"/>
          <w:lang w:val="bg-BG"/>
        </w:rPr>
        <w:footnoteReference w:id="12"/>
      </w:r>
      <w:r>
        <w:rPr>
          <w:rFonts w:ascii="Times New Roman" w:hAnsi="Times New Roman" w:cs="Times New Roman"/>
          <w:noProof/>
          <w:sz w:val="24"/>
          <w:szCs w:val="24"/>
          <w:lang w:val="bg-BG"/>
        </w:rPr>
        <w:t xml:space="preserve"> и впоследствие бяха преразгледани с Решение № 768/2008/EО относно обща рамка за предлагането на пазара на продукти</w:t>
      </w:r>
      <w:r>
        <w:rPr>
          <w:rStyle w:val="FootnoteReference"/>
          <w:rFonts w:ascii="Times New Roman" w:hAnsi="Times New Roman" w:cs="Times New Roman"/>
          <w:noProof/>
          <w:sz w:val="24"/>
          <w:szCs w:val="24"/>
          <w:lang w:val="bg-BG"/>
        </w:rPr>
        <w:footnoteReference w:id="13"/>
      </w:r>
      <w:r>
        <w:rPr>
          <w:rFonts w:ascii="Times New Roman" w:hAnsi="Times New Roman" w:cs="Times New Roman"/>
          <w:noProof/>
          <w:sz w:val="24"/>
          <w:szCs w:val="24"/>
          <w:lang w:val="bg-BG"/>
        </w:rPr>
        <w:t>. Основните разлики са:</w:t>
      </w:r>
    </w:p>
    <w:p w:rsidR="00CC6095" w:rsidRDefault="00F051A1">
      <w:pPr>
        <w:pStyle w:val="ListParagraph"/>
        <w:numPr>
          <w:ilvl w:val="0"/>
          <w:numId w:val="26"/>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Разделение на правомощията между ЕС и държавите членки: ЕС се занимава с пра</w:t>
      </w:r>
      <w:r>
        <w:rPr>
          <w:rFonts w:ascii="Times New Roman" w:hAnsi="Times New Roman" w:cs="Times New Roman"/>
          <w:noProof/>
          <w:sz w:val="24"/>
          <w:szCs w:val="24"/>
          <w:lang w:val="bg-BG"/>
        </w:rPr>
        <w:t>вилата за достъп до единния пазар. Държавите членки отговарят за изискванията към строежите по отношение на безопасността, опазването на околната среда и потреблението на енергия.</w:t>
      </w:r>
    </w:p>
    <w:p w:rsidR="00CC6095" w:rsidRDefault="00F051A1">
      <w:pPr>
        <w:pStyle w:val="ListParagraph"/>
        <w:numPr>
          <w:ilvl w:val="0"/>
          <w:numId w:val="26"/>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Хармонизирани условия за предлагане на пазара: вместо да хармонизира строите</w:t>
      </w:r>
      <w:r>
        <w:rPr>
          <w:rFonts w:ascii="Times New Roman" w:hAnsi="Times New Roman" w:cs="Times New Roman"/>
          <w:noProof/>
          <w:sz w:val="24"/>
          <w:szCs w:val="24"/>
          <w:lang w:val="bg-BG"/>
        </w:rPr>
        <w:t>лните продукти или изискванията към тях, законодателството на ЕС (РСП) се ограничава до създаването на хармонизирани условия за предлагането на тези продукти на пазара. Хармонизираните технически спецификации са предназначени да улесняват свободното обраще</w:t>
      </w:r>
      <w:r>
        <w:rPr>
          <w:rFonts w:ascii="Times New Roman" w:hAnsi="Times New Roman" w:cs="Times New Roman"/>
          <w:noProof/>
          <w:sz w:val="24"/>
          <w:szCs w:val="24"/>
          <w:lang w:val="bg-BG"/>
        </w:rPr>
        <w:t>ние на строителни продукти и да създават на икономическите субекти условия за пълно оползотворяване на предимствата на единния пазар.</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Наличието на общ технически език осигурява на специалистите, публичните органи и потребителите на строителни продукти наде</w:t>
      </w:r>
      <w:r>
        <w:rPr>
          <w:rFonts w:ascii="Times New Roman" w:hAnsi="Times New Roman" w:cs="Times New Roman"/>
          <w:noProof/>
          <w:sz w:val="24"/>
          <w:szCs w:val="24"/>
          <w:lang w:val="bg-BG"/>
        </w:rPr>
        <w:t>ждна информация за съпоставяне на експлоатационните показатели на тези продукти. Ето и още някои предимства:</w:t>
      </w:r>
    </w:p>
    <w:p w:rsidR="00CC6095" w:rsidRDefault="00F051A1">
      <w:pPr>
        <w:pStyle w:val="ListParagraph"/>
        <w:numPr>
          <w:ilvl w:val="0"/>
          <w:numId w:val="22"/>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продуктите подлежат на изпитване в съответствие с хармонизиран стандарт или ЕДО само веднъж;</w:t>
      </w:r>
    </w:p>
    <w:p w:rsidR="00CC6095" w:rsidRDefault="00F051A1">
      <w:pPr>
        <w:pStyle w:val="ListParagraph"/>
        <w:numPr>
          <w:ilvl w:val="0"/>
          <w:numId w:val="22"/>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националните органи могат да определят изисквания към </w:t>
      </w:r>
      <w:r>
        <w:rPr>
          <w:rFonts w:ascii="Times New Roman" w:hAnsi="Times New Roman" w:cs="Times New Roman"/>
          <w:noProof/>
          <w:sz w:val="24"/>
          <w:szCs w:val="24"/>
          <w:lang w:val="bg-BG"/>
        </w:rPr>
        <w:t>експлоатационните показатели, като използват хармонизирани стандарти или ЕДО;</w:t>
      </w:r>
    </w:p>
    <w:p w:rsidR="00CC6095" w:rsidRDefault="00F051A1">
      <w:pPr>
        <w:pStyle w:val="ListParagraph"/>
        <w:numPr>
          <w:ilvl w:val="0"/>
          <w:numId w:val="22"/>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потребителите на строителни продукти могат по-добре да дефинират своите изисквания към експлоатационните показатели;</w:t>
      </w:r>
    </w:p>
    <w:p w:rsidR="00CC6095" w:rsidRDefault="00F051A1">
      <w:pPr>
        <w:pStyle w:val="ListParagraph"/>
        <w:numPr>
          <w:ilvl w:val="0"/>
          <w:numId w:val="22"/>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надзорът на пазара може да разчита на единна информационна ст</w:t>
      </w:r>
      <w:r>
        <w:rPr>
          <w:rFonts w:ascii="Times New Roman" w:hAnsi="Times New Roman" w:cs="Times New Roman"/>
          <w:noProof/>
          <w:sz w:val="24"/>
          <w:szCs w:val="24"/>
          <w:lang w:val="bg-BG"/>
        </w:rPr>
        <w:t>руктура.</w:t>
      </w:r>
    </w:p>
    <w:p w:rsidR="00CC6095" w:rsidRDefault="00F051A1">
      <w:pPr>
        <w:pStyle w:val="ListParagraph"/>
        <w:spacing w:after="120" w:line="240" w:lineRule="auto"/>
        <w:ind w:left="0"/>
        <w:contextualSpacing w:val="0"/>
        <w:jc w:val="both"/>
        <w:rPr>
          <w:rFonts w:ascii="Times New Roman" w:hAnsi="Times New Roman" w:cs="Times New Roman"/>
          <w:b/>
          <w:i/>
          <w:noProof/>
          <w:sz w:val="24"/>
          <w:szCs w:val="24"/>
          <w:lang w:val="bg-BG"/>
        </w:rPr>
      </w:pPr>
      <w:r>
        <w:rPr>
          <w:rFonts w:ascii="Times New Roman" w:hAnsi="Times New Roman" w:cs="Times New Roman"/>
          <w:b/>
          <w:i/>
          <w:noProof/>
          <w:sz w:val="24"/>
          <w:szCs w:val="24"/>
          <w:lang w:val="bg-BG"/>
        </w:rPr>
        <w:t>Общи аспекти на прилагането</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Тъй като РСП въвежда нова документация, процедури и задължения, той предвижда преходен период. РСП е се прилага изцяло едва от 1 юли 2013 г., т.е. по-малко от три години преди изготвянето на настоящия доклад. Това е едн</w:t>
      </w:r>
      <w:r>
        <w:rPr>
          <w:rFonts w:ascii="Times New Roman" w:hAnsi="Times New Roman" w:cs="Times New Roman"/>
          <w:noProof/>
          <w:sz w:val="24"/>
          <w:szCs w:val="24"/>
          <w:lang w:val="bg-BG"/>
        </w:rPr>
        <w:t>а от причините прилагането на някои аспекти от РСП все още да не може да бъде оценено в пълна степен, поради което настоящата оценка е в известен смисъл предварителна.</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За да улесни прехода, Комисията организира информационни кампании, насочени основно към </w:t>
      </w:r>
      <w:r>
        <w:rPr>
          <w:rFonts w:ascii="Times New Roman" w:hAnsi="Times New Roman" w:cs="Times New Roman"/>
          <w:noProof/>
          <w:sz w:val="24"/>
          <w:szCs w:val="24"/>
          <w:lang w:val="bg-BG"/>
        </w:rPr>
        <w:t>икономическите оператори, и по-специално МСП, а също така и към публичните органи и потребителите на строителни продукти</w:t>
      </w:r>
      <w:r>
        <w:rPr>
          <w:rStyle w:val="FootnoteReference"/>
          <w:rFonts w:ascii="Times New Roman" w:hAnsi="Times New Roman" w:cs="Times New Roman"/>
          <w:noProof/>
          <w:sz w:val="24"/>
          <w:szCs w:val="24"/>
          <w:lang w:val="bg-BG"/>
        </w:rPr>
        <w:footnoteReference w:id="14"/>
      </w:r>
      <w:r>
        <w:rPr>
          <w:rFonts w:ascii="Times New Roman" w:hAnsi="Times New Roman" w:cs="Times New Roman"/>
          <w:noProof/>
          <w:sz w:val="24"/>
          <w:szCs w:val="24"/>
          <w:lang w:val="bg-BG"/>
        </w:rPr>
        <w:t>. Някои браншови асоциации и публични органи също проведоха информационни кампании, насочени към съответните им членове или територии</w:t>
      </w:r>
      <w:r>
        <w:rPr>
          <w:rFonts w:ascii="Times New Roman" w:hAnsi="Times New Roman" w:cs="Times New Roman"/>
          <w:bCs/>
          <w:noProof/>
          <w:sz w:val="24"/>
          <w:szCs w:val="24"/>
          <w:lang w:val="bg-BG"/>
        </w:rPr>
        <w:t>.</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Като цяло, всички елементи, изисквани от РСП, бяха въведени от всички съответни лица: например навсякъде в Европа съществуват нотифицирани органи и органи за техническо оценяване</w:t>
      </w:r>
      <w:r>
        <w:rPr>
          <w:rStyle w:val="FootnoteReference"/>
          <w:rFonts w:ascii="Times New Roman" w:hAnsi="Times New Roman" w:cs="Times New Roman"/>
          <w:noProof/>
          <w:sz w:val="24"/>
          <w:szCs w:val="24"/>
          <w:lang w:val="bg-BG"/>
        </w:rPr>
        <w:footnoteReference w:id="15"/>
      </w:r>
      <w:r>
        <w:rPr>
          <w:rFonts w:ascii="Times New Roman" w:hAnsi="Times New Roman" w:cs="Times New Roman"/>
          <w:noProof/>
          <w:sz w:val="24"/>
          <w:szCs w:val="24"/>
          <w:lang w:val="bg-BG"/>
        </w:rPr>
        <w:t>, във всички държави членки има звена за контакт относно продукти в строителс</w:t>
      </w:r>
      <w:r>
        <w:rPr>
          <w:rFonts w:ascii="Times New Roman" w:hAnsi="Times New Roman" w:cs="Times New Roman"/>
          <w:noProof/>
          <w:sz w:val="24"/>
          <w:szCs w:val="24"/>
          <w:lang w:val="bg-BG"/>
        </w:rPr>
        <w:t>твото. Въпреки това някои аспекти все още не са реализирани в пълен мащаб и изискват по-нататъшни усилия, както е посочено в следващите точки.</w:t>
      </w:r>
    </w:p>
    <w:p w:rsidR="00F051A1" w:rsidRDefault="00F051A1">
      <w:pPr>
        <w:rPr>
          <w:rFonts w:ascii="Times New Roman" w:hAnsi="Times New Roman" w:cs="Times New Roman"/>
          <w:noProof/>
          <w:sz w:val="24"/>
          <w:szCs w:val="24"/>
          <w:lang w:val="bg-BG"/>
        </w:rPr>
      </w:pPr>
      <w:r>
        <w:rPr>
          <w:rFonts w:ascii="Times New Roman" w:hAnsi="Times New Roman" w:cs="Times New Roman"/>
          <w:noProof/>
          <w:sz w:val="24"/>
          <w:szCs w:val="24"/>
          <w:lang w:val="bg-BG"/>
        </w:rPr>
        <w:br w:type="page"/>
      </w:r>
    </w:p>
    <w:p w:rsidR="00CC6095" w:rsidRDefault="00F051A1">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Правила за предлагането на строителни продукти на пазара</w:t>
      </w:r>
    </w:p>
    <w:p w:rsidR="00CC6095" w:rsidRDefault="00CC6095">
      <w:pPr>
        <w:pStyle w:val="ListParagraph"/>
        <w:spacing w:after="120" w:line="240" w:lineRule="auto"/>
        <w:ind w:left="360"/>
        <w:jc w:val="both"/>
        <w:rPr>
          <w:rFonts w:ascii="Times New Roman" w:hAnsi="Times New Roman" w:cs="Times New Roman"/>
          <w:b/>
          <w:smallCaps/>
          <w:noProof/>
          <w:sz w:val="24"/>
          <w:szCs w:val="24"/>
          <w:lang w:val="bg-BG"/>
        </w:rPr>
      </w:pPr>
    </w:p>
    <w:p w:rsidR="00CC6095" w:rsidRDefault="00F051A1">
      <w:pPr>
        <w:pStyle w:val="ListParagraph"/>
        <w:spacing w:after="120" w:line="240" w:lineRule="auto"/>
        <w:ind w:left="0"/>
        <w:contextualSpacing w:val="0"/>
        <w:jc w:val="both"/>
        <w:rPr>
          <w:noProof/>
          <w:lang w:val="bg-BG"/>
        </w:rPr>
      </w:pPr>
      <w:r>
        <w:rPr>
          <w:rFonts w:ascii="Times New Roman" w:hAnsi="Times New Roman" w:cs="Times New Roman"/>
          <w:noProof/>
          <w:sz w:val="24"/>
          <w:szCs w:val="24"/>
          <w:lang w:val="bg-BG"/>
        </w:rPr>
        <w:t>За пускането на един строителен продукт на пазара в ЕС</w:t>
      </w:r>
      <w:r>
        <w:rPr>
          <w:rFonts w:ascii="Times New Roman" w:hAnsi="Times New Roman" w:cs="Times New Roman"/>
          <w:noProof/>
          <w:sz w:val="24"/>
          <w:szCs w:val="24"/>
          <w:lang w:val="bg-BG"/>
        </w:rPr>
        <w:t xml:space="preserve"> се изисква ДЕП и маркировка „СЕ“. Производителите на попадащи в хармонизираната сфера продукти са длъжни да ги използват</w:t>
      </w:r>
      <w:r>
        <w:rPr>
          <w:rStyle w:val="FootnoteReference"/>
          <w:rFonts w:ascii="Times New Roman" w:hAnsi="Times New Roman" w:cs="Times New Roman"/>
          <w:noProof/>
          <w:sz w:val="24"/>
          <w:szCs w:val="24"/>
          <w:lang w:val="bg-BG"/>
        </w:rPr>
        <w:footnoteReference w:id="16"/>
      </w:r>
      <w:r>
        <w:rPr>
          <w:rFonts w:ascii="Times New Roman" w:hAnsi="Times New Roman" w:cs="Times New Roman"/>
          <w:noProof/>
          <w:sz w:val="24"/>
          <w:szCs w:val="24"/>
          <w:lang w:val="bg-BG"/>
        </w:rPr>
        <w:t>. Това е единственият начин за предоставяне на информация</w:t>
      </w:r>
      <w:r>
        <w:rPr>
          <w:rStyle w:val="FootnoteReference"/>
          <w:rFonts w:ascii="Times New Roman" w:hAnsi="Times New Roman" w:cs="Times New Roman"/>
          <w:noProof/>
          <w:sz w:val="24"/>
          <w:szCs w:val="24"/>
          <w:lang w:val="bg-BG"/>
        </w:rPr>
        <w:footnoteReference w:id="17"/>
      </w:r>
      <w:r>
        <w:rPr>
          <w:rFonts w:ascii="Times New Roman" w:hAnsi="Times New Roman" w:cs="Times New Roman"/>
          <w:noProof/>
          <w:sz w:val="24"/>
          <w:szCs w:val="24"/>
          <w:lang w:val="bg-BG"/>
        </w:rPr>
        <w:t xml:space="preserve"> относно експлоатационните показатели на продуктите във връзка със съществен</w:t>
      </w:r>
      <w:r>
        <w:rPr>
          <w:rFonts w:ascii="Times New Roman" w:hAnsi="Times New Roman" w:cs="Times New Roman"/>
          <w:noProof/>
          <w:sz w:val="24"/>
          <w:szCs w:val="24"/>
          <w:lang w:val="bg-BG"/>
        </w:rPr>
        <w:t>ите характеристики</w:t>
      </w:r>
      <w:r>
        <w:rPr>
          <w:rStyle w:val="FootnoteReference"/>
          <w:rFonts w:ascii="Times New Roman" w:hAnsi="Times New Roman" w:cs="Times New Roman"/>
          <w:noProof/>
          <w:sz w:val="24"/>
          <w:szCs w:val="24"/>
          <w:lang w:val="bg-BG"/>
        </w:rPr>
        <w:footnoteReference w:id="18"/>
      </w:r>
      <w:r>
        <w:rPr>
          <w:rFonts w:ascii="Times New Roman" w:hAnsi="Times New Roman" w:cs="Times New Roman"/>
          <w:noProof/>
          <w:sz w:val="24"/>
          <w:szCs w:val="24"/>
          <w:lang w:val="bg-BG"/>
        </w:rPr>
        <w:t>, определени въз основа на РСП.</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 да бъде ефективна установената с РСП система за информация относно експлоатационните показатели на продуктите, е необходимо еднакво прилагане. Поради това правилата относно хармонизираните условия за пр</w:t>
      </w:r>
      <w:r>
        <w:rPr>
          <w:rFonts w:ascii="Times New Roman" w:hAnsi="Times New Roman" w:cs="Times New Roman"/>
          <w:noProof/>
          <w:sz w:val="24"/>
          <w:szCs w:val="24"/>
          <w:lang w:val="bg-BG"/>
        </w:rPr>
        <w:t>едлагането на пазара на строителни продукти следва да се установяват на равнището на ЕС — в РСП или въз основа на РСП. Ако публичните органи на държавите членки приемат свои собствени подходи, това може да се превърне в пречка за постигането на съгласувано</w:t>
      </w:r>
      <w:r>
        <w:rPr>
          <w:rFonts w:ascii="Times New Roman" w:hAnsi="Times New Roman" w:cs="Times New Roman"/>
          <w:noProof/>
          <w:sz w:val="24"/>
          <w:szCs w:val="24"/>
          <w:lang w:val="bg-BG"/>
        </w:rPr>
        <w:t>ст и да доведе до фрагментиране на единния пазар.</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това в някои държави членки продължава използването на национални маркировки</w:t>
      </w:r>
      <w:r>
        <w:rPr>
          <w:rStyle w:val="FootnoteReference"/>
          <w:rFonts w:ascii="Times New Roman" w:hAnsi="Times New Roman" w:cs="Times New Roman"/>
          <w:noProof/>
          <w:sz w:val="24"/>
          <w:szCs w:val="24"/>
          <w:lang w:val="bg-BG"/>
        </w:rPr>
        <w:footnoteReference w:id="19"/>
      </w:r>
      <w:r>
        <w:rPr>
          <w:rFonts w:ascii="Times New Roman" w:hAnsi="Times New Roman" w:cs="Times New Roman"/>
          <w:noProof/>
          <w:sz w:val="24"/>
          <w:szCs w:val="24"/>
          <w:lang w:val="bg-BG"/>
        </w:rPr>
        <w:t>, а това е в разрез с принципите на РСП. В хармонизираната област</w:t>
      </w:r>
      <w:r>
        <w:rPr>
          <w:rStyle w:val="FootnoteReference"/>
          <w:rFonts w:ascii="Times New Roman" w:hAnsi="Times New Roman" w:cs="Times New Roman"/>
          <w:noProof/>
          <w:sz w:val="24"/>
          <w:szCs w:val="24"/>
          <w:lang w:val="bg-BG"/>
        </w:rPr>
        <w:footnoteReference w:id="20"/>
      </w:r>
      <w:r>
        <w:rPr>
          <w:rFonts w:ascii="Times New Roman" w:hAnsi="Times New Roman" w:cs="Times New Roman"/>
          <w:noProof/>
          <w:sz w:val="24"/>
          <w:szCs w:val="24"/>
          <w:lang w:val="bg-BG"/>
        </w:rPr>
        <w:t xml:space="preserve"> не се разрешават предварителни процеси или проверки на</w:t>
      </w:r>
      <w:r>
        <w:rPr>
          <w:rFonts w:ascii="Times New Roman" w:hAnsi="Times New Roman" w:cs="Times New Roman"/>
          <w:noProof/>
          <w:sz w:val="24"/>
          <w:szCs w:val="24"/>
          <w:lang w:val="bg-BG"/>
        </w:rPr>
        <w:t xml:space="preserve"> национално равнище. Това се отнася и за доброволните маркировки без всякаква национална конотация, тъй като те възпрепятстват неоснователно свободното движение на строителни продукти с маркировка „СЕ“, например ако са свързани с по-взискателни системи за </w:t>
      </w:r>
      <w:r>
        <w:rPr>
          <w:rFonts w:ascii="Times New Roman" w:hAnsi="Times New Roman" w:cs="Times New Roman"/>
          <w:noProof/>
          <w:sz w:val="24"/>
          <w:szCs w:val="24"/>
          <w:lang w:val="bg-BG"/>
        </w:rPr>
        <w:t>оценяване и проверка на постоянството на експлоатационните показатели (ОППЕП), наложени от органи по строителен надзор или застрахователни компании, или ако са обвързани с финансови стимули.</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Това беше потвърдено от Съда на ЕС с решението по дело C-100/13</w:t>
      </w:r>
      <w:r>
        <w:rPr>
          <w:rStyle w:val="FootnoteReference"/>
          <w:rFonts w:ascii="Times New Roman" w:hAnsi="Times New Roman" w:cs="Times New Roman"/>
          <w:noProof/>
          <w:sz w:val="24"/>
          <w:szCs w:val="24"/>
          <w:lang w:val="bg-BG"/>
        </w:rPr>
        <w:footnoteReference w:id="21"/>
      </w:r>
      <w:r>
        <w:rPr>
          <w:rFonts w:ascii="Times New Roman" w:hAnsi="Times New Roman" w:cs="Times New Roman"/>
          <w:noProof/>
          <w:sz w:val="24"/>
          <w:szCs w:val="24"/>
          <w:lang w:val="bg-BG"/>
        </w:rPr>
        <w:t>,</w:t>
      </w:r>
      <w:r>
        <w:rPr>
          <w:rFonts w:ascii="Times New Roman" w:hAnsi="Times New Roman" w:cs="Times New Roman"/>
          <w:noProof/>
          <w:sz w:val="24"/>
          <w:szCs w:val="24"/>
          <w:lang w:val="bg-BG"/>
        </w:rPr>
        <w:t xml:space="preserve"> в което се посочва, че държавите членки следва да се въздържат от установяването на допълнителни изисквания. Приложимостта на това решение въз основа на РСП и широкият му обхват, който включва всички хармонизирани стандарти, потвърждават задължителния хар</w:t>
      </w:r>
      <w:r>
        <w:rPr>
          <w:rFonts w:ascii="Times New Roman" w:hAnsi="Times New Roman" w:cs="Times New Roman"/>
          <w:noProof/>
          <w:sz w:val="24"/>
          <w:szCs w:val="24"/>
          <w:lang w:val="bg-BG"/>
        </w:rPr>
        <w:t>актер на общия технически език. Тъй като хармонизираната система, установена с РСП или въз основа на РСП, се приема за изчерпателна</w:t>
      </w:r>
      <w:r>
        <w:rPr>
          <w:rStyle w:val="FootnoteReference"/>
          <w:rFonts w:ascii="Times New Roman" w:hAnsi="Times New Roman" w:cs="Times New Roman"/>
          <w:noProof/>
          <w:sz w:val="24"/>
          <w:szCs w:val="24"/>
          <w:lang w:val="bg-BG"/>
        </w:rPr>
        <w:footnoteReference w:id="22"/>
      </w:r>
      <w:r>
        <w:rPr>
          <w:rFonts w:ascii="Times New Roman" w:hAnsi="Times New Roman" w:cs="Times New Roman"/>
          <w:noProof/>
          <w:sz w:val="24"/>
          <w:szCs w:val="24"/>
          <w:lang w:val="bg-BG"/>
        </w:rPr>
        <w:t>, не остава място за каквито и да било други системи, които да регламентират предлагането на пазара на строителни продукти в</w:t>
      </w:r>
      <w:r>
        <w:rPr>
          <w:rFonts w:ascii="Times New Roman" w:hAnsi="Times New Roman" w:cs="Times New Roman"/>
          <w:noProof/>
          <w:sz w:val="24"/>
          <w:szCs w:val="24"/>
          <w:lang w:val="bg-BG"/>
        </w:rPr>
        <w:t xml:space="preserve"> хармонизираната сфера. Поради това Комисията поиска всички държави членки да приведат националните си системи в съответствие с тези принципи и внимателно наблюдава извършваните от тях корекции.</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Друг ключов проблем на прилагането, посочен от редица заинтер</w:t>
      </w:r>
      <w:r>
        <w:rPr>
          <w:rFonts w:ascii="Times New Roman" w:hAnsi="Times New Roman" w:cs="Times New Roman"/>
          <w:noProof/>
          <w:sz w:val="24"/>
          <w:szCs w:val="24"/>
          <w:lang w:val="bg-BG"/>
        </w:rPr>
        <w:t>есовани страни, е значителното припокриване на задължителната информация в ДЕП и в маркировката „СЕ“, което създава допълнителни административни и финансови тежести. При едно гъвкаво тълкуване на член 9, параграф 2 маркировката „СЕ“ може да съдържа само кр</w:t>
      </w:r>
      <w:r>
        <w:rPr>
          <w:rFonts w:ascii="Times New Roman" w:hAnsi="Times New Roman" w:cs="Times New Roman"/>
          <w:noProof/>
          <w:sz w:val="24"/>
          <w:szCs w:val="24"/>
          <w:lang w:val="bg-BG"/>
        </w:rPr>
        <w:t>итично важната информация, а за останалата информация да препраща към ДЕП. ДЕП може да бъде предоставяна на хартиен носител заедно с продукта, по електронен път или чрез уебсайт. По този начин може да се намали тежестта за производителите и да се постигнат</w:t>
      </w:r>
      <w:r>
        <w:rPr>
          <w:rFonts w:ascii="Times New Roman" w:hAnsi="Times New Roman" w:cs="Times New Roman"/>
          <w:noProof/>
          <w:sz w:val="24"/>
          <w:szCs w:val="24"/>
          <w:lang w:val="bg-BG"/>
        </w:rPr>
        <w:t xml:space="preserve"> целите на РСП по отношение на опростяването. Комисията продължава да насърчава подобно опростено и гъвкаво решение, включително за да се гарантира правна сигурност за производителите, които не желаят различни тълкувания на равнището на държавите членки.</w:t>
      </w:r>
    </w:p>
    <w:p w:rsidR="00CC6095" w:rsidRDefault="00CC6095">
      <w:pPr>
        <w:pStyle w:val="ListParagraph"/>
        <w:spacing w:after="120" w:line="240" w:lineRule="auto"/>
        <w:ind w:left="0"/>
        <w:contextualSpacing w:val="0"/>
        <w:jc w:val="both"/>
        <w:rPr>
          <w:rFonts w:ascii="Times New Roman" w:hAnsi="Times New Roman" w:cs="Times New Roman"/>
          <w:noProof/>
          <w:sz w:val="24"/>
          <w:szCs w:val="24"/>
          <w:lang w:val="bg-BG"/>
        </w:rPr>
      </w:pPr>
    </w:p>
    <w:p w:rsidR="00CC6095" w:rsidRDefault="00F051A1">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Звена за контакт относно продукти в строителството</w:t>
      </w:r>
    </w:p>
    <w:p w:rsidR="00CC6095" w:rsidRDefault="00CC6095">
      <w:pPr>
        <w:pStyle w:val="ListParagraph"/>
        <w:tabs>
          <w:tab w:val="left" w:leader="dot" w:pos="7513"/>
        </w:tabs>
        <w:spacing w:after="120" w:line="240" w:lineRule="auto"/>
        <w:ind w:left="360"/>
        <w:jc w:val="both"/>
        <w:rPr>
          <w:rFonts w:ascii="Times New Roman" w:hAnsi="Times New Roman" w:cs="Times New Roman"/>
          <w:b/>
          <w:smallCaps/>
          <w:noProof/>
          <w:sz w:val="24"/>
          <w:szCs w:val="24"/>
          <w:lang w:val="bg-BG"/>
        </w:rPr>
      </w:pP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Звената за контакт относно продукти в строителството (ЗКОПС), установени във всички държави членки за предоставяне на информация относно националните правила, функционират и отговарят на искания за </w:t>
      </w:r>
      <w:r>
        <w:rPr>
          <w:rFonts w:ascii="Times New Roman" w:hAnsi="Times New Roman" w:cs="Times New Roman"/>
          <w:noProof/>
          <w:sz w:val="24"/>
          <w:szCs w:val="24"/>
          <w:lang w:val="bg-BG"/>
        </w:rPr>
        <w:t>информация от отрасъла. Европейската комисия публикува списък на ЗКОПС и свиква редовни срещи на звената, за да осигури подходяща координация и обмен на добри практики.</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Независимо от това осведомеността сред отрасъла относно услугите, предлагани от ЗКОПС, </w:t>
      </w:r>
      <w:r>
        <w:rPr>
          <w:rFonts w:ascii="Times New Roman" w:hAnsi="Times New Roman" w:cs="Times New Roman"/>
          <w:noProof/>
          <w:sz w:val="24"/>
          <w:szCs w:val="24"/>
          <w:lang w:val="bg-BG"/>
        </w:rPr>
        <w:t>засега е относително ниска, като освен това се повдигат някои въпроси относно времето за отговор и качеството на информацията, предоставяна от тези звена.</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разглежда начини за подобряване на ситуацията, включително в контекста на инициативата „Еди</w:t>
      </w:r>
      <w:r>
        <w:rPr>
          <w:rFonts w:ascii="Times New Roman" w:hAnsi="Times New Roman" w:cs="Times New Roman"/>
          <w:noProof/>
          <w:sz w:val="24"/>
          <w:szCs w:val="24"/>
          <w:lang w:val="bg-BG"/>
        </w:rPr>
        <w:t>нен цифров портал“, която има за цел да се рационализират съществуващите платформи на ЕС и националните платформи за предоставяне на информация и услуги във връзка с правата на единния пазар.</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Едновременно с инициативите на Комисията държавите членки трябва</w:t>
      </w:r>
      <w:r>
        <w:rPr>
          <w:rFonts w:ascii="Times New Roman" w:hAnsi="Times New Roman" w:cs="Times New Roman"/>
          <w:noProof/>
          <w:sz w:val="24"/>
          <w:szCs w:val="24"/>
          <w:lang w:val="bg-BG"/>
        </w:rPr>
        <w:t xml:space="preserve"> да продължават да подпомагат своите ЗКОПС, за да се подобри тяхната работа и да се повиши осведомеността за тях сред строителния сектор.</w:t>
      </w:r>
    </w:p>
    <w:p w:rsidR="00CC6095" w:rsidRDefault="00CC6095">
      <w:pPr>
        <w:pStyle w:val="ListParagraph"/>
        <w:spacing w:after="240" w:line="240" w:lineRule="auto"/>
        <w:ind w:left="0"/>
        <w:jc w:val="both"/>
        <w:rPr>
          <w:rFonts w:ascii="Times New Roman" w:hAnsi="Times New Roman" w:cs="Times New Roman"/>
          <w:noProof/>
          <w:sz w:val="24"/>
          <w:szCs w:val="24"/>
          <w:lang w:val="bg-BG"/>
        </w:rPr>
      </w:pPr>
    </w:p>
    <w:p w:rsidR="00CC6095" w:rsidRDefault="00F051A1">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Хармонизирани стандарти</w:t>
      </w:r>
    </w:p>
    <w:p w:rsidR="00CC6095" w:rsidRDefault="00CC6095">
      <w:pPr>
        <w:pStyle w:val="ListParagraph"/>
        <w:spacing w:after="120" w:line="240" w:lineRule="auto"/>
        <w:jc w:val="both"/>
        <w:rPr>
          <w:rFonts w:ascii="Times New Roman" w:hAnsi="Times New Roman" w:cs="Times New Roman"/>
          <w:noProof/>
          <w:sz w:val="24"/>
          <w:szCs w:val="24"/>
          <w:lang w:val="bg-BG"/>
        </w:rPr>
      </w:pP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Основният източник на общ технически език в областта, обхваната от РСП, са съществуващите 45</w:t>
      </w:r>
      <w:r>
        <w:rPr>
          <w:rFonts w:ascii="Times New Roman" w:hAnsi="Times New Roman" w:cs="Times New Roman"/>
          <w:noProof/>
          <w:sz w:val="24"/>
          <w:szCs w:val="24"/>
          <w:lang w:val="bg-BG"/>
        </w:rPr>
        <w:t xml:space="preserve">7 хармонизирани стандарта, цитирани в </w:t>
      </w:r>
      <w:r>
        <w:rPr>
          <w:rFonts w:ascii="Times New Roman" w:hAnsi="Times New Roman" w:cs="Times New Roman"/>
          <w:i/>
          <w:noProof/>
          <w:sz w:val="24"/>
          <w:szCs w:val="24"/>
          <w:lang w:val="bg-BG"/>
        </w:rPr>
        <w:t>Официален вестник на Европейския съюз</w:t>
      </w:r>
      <w:r>
        <w:rPr>
          <w:rFonts w:ascii="Times New Roman" w:hAnsi="Times New Roman" w:cs="Times New Roman"/>
          <w:noProof/>
          <w:sz w:val="24"/>
          <w:szCs w:val="24"/>
          <w:lang w:val="bg-BG"/>
        </w:rPr>
        <w:t xml:space="preserve"> (ОВЕС) и техните над 2000 поддържащи стандарта. Според оценките засега хармонизираните стандарти обхващат около 75—80 % от всички строителни продукти. Някои от тези стандарти стана</w:t>
      </w:r>
      <w:r>
        <w:rPr>
          <w:rFonts w:ascii="Times New Roman" w:hAnsi="Times New Roman" w:cs="Times New Roman"/>
          <w:noProof/>
          <w:sz w:val="24"/>
          <w:szCs w:val="24"/>
          <w:lang w:val="bg-BG"/>
        </w:rPr>
        <w:t>ха приложими малко преди пълното влизане в сила на РСП, което отчасти обяснява защо някои заинтересовани страни имат впечатлението, че РСП е довел до радикални промени.</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За разлика от хармонизираните стандарти, разработвани съгласно законодателството на ЕС </w:t>
      </w:r>
      <w:r>
        <w:rPr>
          <w:rFonts w:ascii="Times New Roman" w:hAnsi="Times New Roman" w:cs="Times New Roman"/>
          <w:noProof/>
          <w:sz w:val="24"/>
          <w:szCs w:val="24"/>
          <w:lang w:val="bg-BG"/>
        </w:rPr>
        <w:t>за хармонизация изцяло въз основа на новата законодателна рамка</w:t>
      </w:r>
      <w:r>
        <w:rPr>
          <w:rStyle w:val="FootnoteReference"/>
          <w:rFonts w:ascii="Times New Roman" w:hAnsi="Times New Roman" w:cs="Times New Roman"/>
          <w:noProof/>
          <w:sz w:val="24"/>
          <w:szCs w:val="24"/>
          <w:lang w:val="bg-BG"/>
        </w:rPr>
        <w:footnoteReference w:id="23"/>
      </w:r>
      <w:r>
        <w:rPr>
          <w:rFonts w:ascii="Times New Roman" w:hAnsi="Times New Roman" w:cs="Times New Roman"/>
          <w:noProof/>
          <w:sz w:val="24"/>
          <w:szCs w:val="24"/>
          <w:lang w:val="bg-BG"/>
        </w:rPr>
        <w:t xml:space="preserve">, хармонизираните стандарти по РСП следва само да очертават методите и критериите за оценяване на експлоатационните показатели на продуктите във връзка с техните съществени характеристики. По </w:t>
      </w:r>
      <w:r>
        <w:rPr>
          <w:rFonts w:ascii="Times New Roman" w:hAnsi="Times New Roman" w:cs="Times New Roman"/>
          <w:noProof/>
          <w:sz w:val="24"/>
          <w:szCs w:val="24"/>
          <w:lang w:val="bg-BG"/>
        </w:rPr>
        <w:t>принцип, те не установяват изисквания към самите експлоатационни показатели на продуктите. Причината за това е разделението на правомощията между ЕС и държавите членки, описано по-горе.</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Една от особеностите на РСП е това, че регламентът предвижда задължите</w:t>
      </w:r>
      <w:r>
        <w:rPr>
          <w:rFonts w:ascii="Times New Roman" w:hAnsi="Times New Roman" w:cs="Times New Roman"/>
          <w:noProof/>
          <w:sz w:val="24"/>
          <w:szCs w:val="24"/>
          <w:lang w:val="bg-BG"/>
        </w:rPr>
        <w:t>лно използване на хармонизираните стандарти както от производителите при пускането на техните строителни продукти на пазара, така и от органите на държавите членки при определянето на изисквания към тяхното използване</w:t>
      </w:r>
      <w:r>
        <w:rPr>
          <w:rStyle w:val="FootnoteReference"/>
          <w:rFonts w:ascii="Times New Roman" w:hAnsi="Times New Roman" w:cs="Times New Roman"/>
          <w:noProof/>
          <w:sz w:val="24"/>
          <w:szCs w:val="24"/>
          <w:lang w:val="bg-BG"/>
        </w:rPr>
        <w:footnoteReference w:id="24"/>
      </w:r>
      <w:r>
        <w:rPr>
          <w:rFonts w:ascii="Times New Roman" w:hAnsi="Times New Roman" w:cs="Times New Roman"/>
          <w:noProof/>
          <w:sz w:val="24"/>
          <w:szCs w:val="24"/>
          <w:lang w:val="bg-BG"/>
        </w:rPr>
        <w:t>. Това означава, че всички заинтересов</w:t>
      </w:r>
      <w:r>
        <w:rPr>
          <w:rFonts w:ascii="Times New Roman" w:hAnsi="Times New Roman" w:cs="Times New Roman"/>
          <w:noProof/>
          <w:sz w:val="24"/>
          <w:szCs w:val="24"/>
          <w:lang w:val="bg-BG"/>
        </w:rPr>
        <w:t>ани страни могат да разчитат на наличието на единни правила и не е необходимо за тези цели да използват други (национални) инструменти</w:t>
      </w:r>
      <w:r>
        <w:rPr>
          <w:rStyle w:val="FootnoteReference"/>
          <w:rFonts w:ascii="Times New Roman" w:hAnsi="Times New Roman" w:cs="Times New Roman"/>
          <w:noProof/>
          <w:sz w:val="24"/>
          <w:szCs w:val="24"/>
          <w:lang w:val="bg-BG"/>
        </w:rPr>
        <w:footnoteReference w:id="25"/>
      </w:r>
      <w:r>
        <w:rPr>
          <w:rFonts w:ascii="Times New Roman" w:hAnsi="Times New Roman" w:cs="Times New Roman"/>
          <w:noProof/>
          <w:sz w:val="24"/>
          <w:szCs w:val="24"/>
          <w:lang w:val="bg-BG"/>
        </w:rPr>
        <w:t>.</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Тъй като за строителните продукти използването на хармонизирани стандарти е задължително и тези стандарти оказват </w:t>
      </w:r>
      <w:r>
        <w:rPr>
          <w:rFonts w:ascii="Times New Roman" w:hAnsi="Times New Roman" w:cs="Times New Roman"/>
          <w:noProof/>
          <w:sz w:val="24"/>
          <w:szCs w:val="24"/>
          <w:lang w:val="bg-BG"/>
        </w:rPr>
        <w:t>съществено въздействие върху пазара, необходимо е тези стандарти да са с високо качество. Процедурите за тяхното приемане следва да бъдат разработвани и прилагани с оглед на тази цел. Особено важно е различните категории заинтересовани страни</w:t>
      </w:r>
      <w:r>
        <w:rPr>
          <w:rStyle w:val="FootnoteReference"/>
          <w:rFonts w:ascii="Times New Roman" w:hAnsi="Times New Roman" w:cs="Times New Roman"/>
          <w:noProof/>
          <w:sz w:val="24"/>
          <w:szCs w:val="24"/>
          <w:lang w:val="bg-BG"/>
        </w:rPr>
        <w:footnoteReference w:id="26"/>
      </w:r>
      <w:r>
        <w:rPr>
          <w:rFonts w:ascii="Times New Roman" w:hAnsi="Times New Roman" w:cs="Times New Roman"/>
          <w:noProof/>
          <w:sz w:val="24"/>
          <w:szCs w:val="24"/>
          <w:lang w:val="bg-BG"/>
        </w:rPr>
        <w:t xml:space="preserve"> да бъдат пре</w:t>
      </w:r>
      <w:r>
        <w:rPr>
          <w:rFonts w:ascii="Times New Roman" w:hAnsi="Times New Roman" w:cs="Times New Roman"/>
          <w:noProof/>
          <w:sz w:val="24"/>
          <w:szCs w:val="24"/>
          <w:lang w:val="bg-BG"/>
        </w:rPr>
        <w:t>дставени справедливо и равностойно и да се спазват разпоредбите на член 3, параграф 3 и член 27 от РСП относно установяването на нови класове или гранични нива на експлоатационните показатели. При тези два аспекта има още какво да се желае.</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Тъй като повече</w:t>
      </w:r>
      <w:r>
        <w:rPr>
          <w:rFonts w:ascii="Times New Roman" w:hAnsi="Times New Roman" w:cs="Times New Roman"/>
          <w:noProof/>
          <w:sz w:val="24"/>
          <w:szCs w:val="24"/>
          <w:lang w:val="bg-BG"/>
        </w:rPr>
        <w:t xml:space="preserve">то хармонизирани стандарти датират от времето на ДСП и всички са разработвани по мандати за стандартизация, обикновено издадени преди 10—20 години, понастоящем някои от тях се нуждаят от преразглеждане в светлината на техническото развитие и развитието на </w:t>
      </w:r>
      <w:r>
        <w:rPr>
          <w:rFonts w:ascii="Times New Roman" w:hAnsi="Times New Roman" w:cs="Times New Roman"/>
          <w:noProof/>
          <w:sz w:val="24"/>
          <w:szCs w:val="24"/>
          <w:lang w:val="bg-BG"/>
        </w:rPr>
        <w:t>пазара. Освен това все още не са отчетени в пълна степен всички специфични аспекти на РСП. Преходът от ДСП към РСП изискваше от заинтересованите страни, европейските органи по стандартизация и органите на държавите членки да се научат да усвояват новите ас</w:t>
      </w:r>
      <w:r>
        <w:rPr>
          <w:rFonts w:ascii="Times New Roman" w:hAnsi="Times New Roman" w:cs="Times New Roman"/>
          <w:noProof/>
          <w:sz w:val="24"/>
          <w:szCs w:val="24"/>
          <w:lang w:val="bg-BG"/>
        </w:rPr>
        <w:t>пекти и да ги отразяват в хармонизираните стандарти. Този процес започна с известно забавяне и адаптацията все още продължава.</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Тези обстоятелства изискват засилено наблюдение и надзор от страна на Комисията. По тази причина множество проекти на хармонизира</w:t>
      </w:r>
      <w:r>
        <w:rPr>
          <w:rFonts w:ascii="Times New Roman" w:hAnsi="Times New Roman" w:cs="Times New Roman"/>
          <w:noProof/>
          <w:sz w:val="24"/>
          <w:szCs w:val="24"/>
          <w:lang w:val="bg-BG"/>
        </w:rPr>
        <w:t>ни стандарти не се цитират в ОВЕС преди въвеждането на подходящи корекции или приемането на делегирани актове за въвеждане на класове и/или гранични нива. Непрекъснатото сътрудничество с консултанти от Европейския комитет по стандартизация (CEN) ще бъде от</w:t>
      </w:r>
      <w:r>
        <w:rPr>
          <w:rFonts w:ascii="Times New Roman" w:hAnsi="Times New Roman" w:cs="Times New Roman"/>
          <w:noProof/>
          <w:sz w:val="24"/>
          <w:szCs w:val="24"/>
          <w:lang w:val="bg-BG"/>
        </w:rPr>
        <w:t xml:space="preserve"> съществено значение за подобряване на състоянието, преди хармонизираните стандарти да бъдат представяни на Комисията за публикуване на техните данни в ОВЕС.</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че РСП не доведе до мащабни промени в общата рамка на хармонизираните стандарти в тази обл</w:t>
      </w:r>
      <w:r>
        <w:rPr>
          <w:rFonts w:ascii="Times New Roman" w:hAnsi="Times New Roman" w:cs="Times New Roman"/>
          <w:noProof/>
          <w:sz w:val="24"/>
          <w:szCs w:val="24"/>
          <w:lang w:val="bg-BG"/>
        </w:rPr>
        <w:t xml:space="preserve">аст, напоследък заинтересованите страни настояват за по-бърз и по-рационализиран процес на стандартизация и за стандарти, които отговарят по-адекватно на потребностите на ползвателите. Изчерпателният характер на стандартите по РСП, потвърден от Съда на ЕС </w:t>
      </w:r>
      <w:r>
        <w:rPr>
          <w:rFonts w:ascii="Times New Roman" w:hAnsi="Times New Roman" w:cs="Times New Roman"/>
          <w:noProof/>
          <w:sz w:val="24"/>
          <w:szCs w:val="24"/>
          <w:lang w:val="bg-BG"/>
        </w:rPr>
        <w:t>с цитираното по-горе решение по дело С-100/13</w:t>
      </w:r>
      <w:r>
        <w:rPr>
          <w:rStyle w:val="FootnoteReference"/>
          <w:rFonts w:ascii="Times New Roman" w:hAnsi="Times New Roman" w:cs="Times New Roman"/>
          <w:noProof/>
          <w:sz w:val="24"/>
          <w:szCs w:val="24"/>
          <w:lang w:val="bg-BG"/>
        </w:rPr>
        <w:footnoteReference w:id="27"/>
      </w:r>
      <w:r>
        <w:rPr>
          <w:rFonts w:ascii="Times New Roman" w:hAnsi="Times New Roman" w:cs="Times New Roman"/>
          <w:noProof/>
          <w:sz w:val="24"/>
          <w:szCs w:val="24"/>
          <w:lang w:val="bg-BG"/>
        </w:rPr>
        <w:t>, също изисква адаптирането на редица стандарти</w:t>
      </w:r>
      <w:r>
        <w:rPr>
          <w:rStyle w:val="FootnoteReference"/>
          <w:rFonts w:ascii="Times New Roman" w:hAnsi="Times New Roman" w:cs="Times New Roman"/>
          <w:noProof/>
          <w:sz w:val="24"/>
          <w:szCs w:val="24"/>
          <w:lang w:val="bg-BG"/>
        </w:rPr>
        <w:footnoteReference w:id="28"/>
      </w:r>
      <w:r>
        <w:rPr>
          <w:rFonts w:ascii="Times New Roman" w:hAnsi="Times New Roman" w:cs="Times New Roman"/>
          <w:noProof/>
          <w:sz w:val="24"/>
          <w:szCs w:val="24"/>
          <w:lang w:val="bg-BG"/>
        </w:rPr>
        <w:t>. Освен това е необходимо да се издадат нови или преразгледани искания за стандартизация</w:t>
      </w:r>
      <w:r>
        <w:rPr>
          <w:rStyle w:val="FootnoteReference"/>
          <w:rFonts w:ascii="Times New Roman" w:hAnsi="Times New Roman" w:cs="Times New Roman"/>
          <w:noProof/>
          <w:sz w:val="24"/>
          <w:szCs w:val="24"/>
          <w:lang w:val="bg-BG"/>
        </w:rPr>
        <w:footnoteReference w:id="29"/>
      </w:r>
      <w:r>
        <w:rPr>
          <w:rFonts w:ascii="Times New Roman" w:hAnsi="Times New Roman" w:cs="Times New Roman"/>
          <w:noProof/>
          <w:sz w:val="24"/>
          <w:szCs w:val="24"/>
          <w:lang w:val="bg-BG"/>
        </w:rPr>
        <w:t xml:space="preserve"> и да се преодолее изоставането с хармонизираните стандарти, които все ощ</w:t>
      </w:r>
      <w:r>
        <w:rPr>
          <w:rFonts w:ascii="Times New Roman" w:hAnsi="Times New Roman" w:cs="Times New Roman"/>
          <w:noProof/>
          <w:sz w:val="24"/>
          <w:szCs w:val="24"/>
          <w:lang w:val="bg-BG"/>
        </w:rPr>
        <w:t>е не са цитирани в ОВЕС. Всичко това може да бъде постигнато само чрез по-интензивно сътрудничество между CEN, държавите членки, отрасъла, Комисията и съответните заинтересовани страни, особено чрез Съвместната инициатива за стандартизация</w:t>
      </w:r>
      <w:r>
        <w:rPr>
          <w:rStyle w:val="FootnoteReference"/>
          <w:rFonts w:ascii="Times New Roman" w:hAnsi="Times New Roman" w:cs="Times New Roman"/>
          <w:noProof/>
          <w:sz w:val="24"/>
          <w:szCs w:val="24"/>
          <w:lang w:val="bg-BG"/>
        </w:rPr>
        <w:footnoteReference w:id="30"/>
      </w:r>
      <w:r>
        <w:rPr>
          <w:rFonts w:ascii="Times New Roman" w:hAnsi="Times New Roman" w:cs="Times New Roman"/>
          <w:noProof/>
          <w:sz w:val="24"/>
          <w:szCs w:val="24"/>
          <w:lang w:val="bg-BG"/>
        </w:rPr>
        <w:t>.</w:t>
      </w:r>
    </w:p>
    <w:p w:rsidR="00CC6095" w:rsidRDefault="00CC6095">
      <w:pPr>
        <w:spacing w:after="120" w:line="240" w:lineRule="auto"/>
        <w:jc w:val="both"/>
        <w:rPr>
          <w:rFonts w:ascii="Times New Roman" w:hAnsi="Times New Roman" w:cs="Times New Roman"/>
          <w:noProof/>
          <w:sz w:val="24"/>
          <w:szCs w:val="24"/>
          <w:lang w:val="bg-BG"/>
        </w:rPr>
      </w:pPr>
    </w:p>
    <w:p w:rsidR="00CC6095" w:rsidRDefault="00F051A1">
      <w:pPr>
        <w:pStyle w:val="ListParagraph"/>
        <w:numPr>
          <w:ilvl w:val="0"/>
          <w:numId w:val="6"/>
        </w:numPr>
        <w:tabs>
          <w:tab w:val="left" w:leader="dot" w:pos="7088"/>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Европейска ор</w:t>
      </w:r>
      <w:r>
        <w:rPr>
          <w:rFonts w:ascii="Times New Roman" w:hAnsi="Times New Roman" w:cs="Times New Roman"/>
          <w:b/>
          <w:smallCaps/>
          <w:noProof/>
          <w:sz w:val="24"/>
          <w:szCs w:val="24"/>
          <w:lang w:val="bg-BG"/>
        </w:rPr>
        <w:t>ганизация за техническо оценяване (ЕОТО)</w:t>
      </w:r>
    </w:p>
    <w:p w:rsidR="00CC6095" w:rsidRDefault="00F051A1">
      <w:pPr>
        <w:pStyle w:val="CM1"/>
        <w:spacing w:after="120"/>
        <w:jc w:val="both"/>
        <w:rPr>
          <w:rFonts w:ascii="Times New Roman" w:hAnsi="Times New Roman"/>
          <w:noProof/>
          <w:lang w:val="bg-BG"/>
        </w:rPr>
      </w:pPr>
      <w:r>
        <w:rPr>
          <w:rFonts w:ascii="Times New Roman" w:hAnsi="Times New Roman"/>
          <w:noProof/>
          <w:lang w:val="bg-BG"/>
        </w:rPr>
        <w:t>По отношение на продуктите, чиито експлоатационни показатели не могат да бъдат цялостно оценени чрез хармонизирани стандарти, РСП</w:t>
      </w:r>
      <w:r>
        <w:rPr>
          <w:rStyle w:val="FootnoteReference"/>
          <w:rFonts w:ascii="Times New Roman" w:hAnsi="Times New Roman"/>
          <w:noProof/>
          <w:color w:val="000000"/>
          <w:lang w:val="bg-BG"/>
        </w:rPr>
        <w:footnoteReference w:id="31"/>
      </w:r>
      <w:r>
        <w:rPr>
          <w:rFonts w:ascii="Times New Roman" w:hAnsi="Times New Roman"/>
          <w:noProof/>
          <w:lang w:val="bg-BG"/>
        </w:rPr>
        <w:t xml:space="preserve"> установява специални процедури, включващи подаване от производителите на искане за европейска техническа оценка, както и изготвяне и приемане на ЕДО от ЕОТО в качеството ѝ на организация на органите за техническо оценяване (ОТО).</w:t>
      </w:r>
    </w:p>
    <w:p w:rsidR="00CC6095" w:rsidRDefault="00F051A1">
      <w:pPr>
        <w:pStyle w:val="CM1"/>
        <w:spacing w:after="120"/>
        <w:jc w:val="both"/>
        <w:rPr>
          <w:rFonts w:ascii="Times New Roman" w:hAnsi="Times New Roman"/>
          <w:noProof/>
          <w:lang w:val="bg-BG"/>
        </w:rPr>
      </w:pPr>
      <w:r>
        <w:rPr>
          <w:rFonts w:ascii="Times New Roman" w:hAnsi="Times New Roman"/>
          <w:noProof/>
          <w:lang w:val="bg-BG"/>
        </w:rPr>
        <w:t>Целите на политиката на Е</w:t>
      </w:r>
      <w:r>
        <w:rPr>
          <w:rFonts w:ascii="Times New Roman" w:hAnsi="Times New Roman"/>
          <w:noProof/>
          <w:lang w:val="bg-BG"/>
        </w:rPr>
        <w:t>ОТО, установени в РСП и произтичащи от опита и от критиката във връзка с ДСП, а именно — съкращаване и опростяване на процедурите, намаляване на разходите на производителите и увеличаване на прозрачността на тези процедури — са постигнати. Първата стъпка з</w:t>
      </w:r>
      <w:r>
        <w:rPr>
          <w:rFonts w:ascii="Times New Roman" w:hAnsi="Times New Roman"/>
          <w:noProof/>
          <w:lang w:val="bg-BG"/>
        </w:rPr>
        <w:t>а преминаване от издаването на одобрения за продукти към оценяване само на техните експлоатационни показатели беше въвеждането на набор от принципи</w:t>
      </w:r>
      <w:r>
        <w:rPr>
          <w:rFonts w:ascii="Times New Roman" w:hAnsi="Times New Roman"/>
          <w:noProof/>
          <w:vertAlign w:val="superscript"/>
          <w:lang w:val="bg-BG"/>
        </w:rPr>
        <w:footnoteReference w:id="32"/>
      </w:r>
      <w:r>
        <w:rPr>
          <w:rFonts w:ascii="Times New Roman" w:hAnsi="Times New Roman"/>
          <w:noProof/>
          <w:lang w:val="bg-BG"/>
        </w:rPr>
        <w:t>, които впоследствие бяха развити в специални процедури за разработване и приемане на ЕДО</w:t>
      </w:r>
      <w:r>
        <w:rPr>
          <w:rStyle w:val="FootnoteReference"/>
          <w:rFonts w:ascii="Times New Roman" w:hAnsi="Times New Roman"/>
          <w:noProof/>
          <w:color w:val="000000"/>
          <w:lang w:val="bg-BG"/>
        </w:rPr>
        <w:footnoteReference w:id="33"/>
      </w:r>
      <w:r>
        <w:rPr>
          <w:rFonts w:ascii="Times New Roman" w:hAnsi="Times New Roman"/>
          <w:noProof/>
          <w:lang w:val="bg-BG"/>
        </w:rPr>
        <w:t>. Спазването на те</w:t>
      </w:r>
      <w:r>
        <w:rPr>
          <w:rFonts w:ascii="Times New Roman" w:hAnsi="Times New Roman"/>
          <w:noProof/>
          <w:lang w:val="bg-BG"/>
        </w:rPr>
        <w:t>зи принципи беше постигнато благодарение на по-активното участие на съответните производители и на Комисията в посочените процедури.</w:t>
      </w:r>
    </w:p>
    <w:p w:rsidR="00CC6095" w:rsidRDefault="00F051A1">
      <w:pPr>
        <w:pStyle w:val="CM1"/>
        <w:spacing w:after="120"/>
        <w:jc w:val="both"/>
        <w:rPr>
          <w:rFonts w:ascii="Times New Roman" w:hAnsi="Times New Roman"/>
          <w:noProof/>
          <w:lang w:val="bg-BG"/>
        </w:rPr>
      </w:pPr>
      <w:r>
        <w:rPr>
          <w:rFonts w:ascii="Times New Roman" w:hAnsi="Times New Roman"/>
          <w:noProof/>
          <w:lang w:val="bg-BG"/>
        </w:rPr>
        <w:t>От ноември 2011 г. насетне повечето държави членки определят ОТО, като използват електронните инструменти на Комисията, при</w:t>
      </w:r>
      <w:r>
        <w:rPr>
          <w:rFonts w:ascii="Times New Roman" w:hAnsi="Times New Roman"/>
          <w:noProof/>
          <w:lang w:val="bg-BG"/>
        </w:rPr>
        <w:t xml:space="preserve"> стриктно спазване на критериите, установени в РСП и въз основа на РСП</w:t>
      </w:r>
      <w:r>
        <w:rPr>
          <w:rStyle w:val="FootnoteReference"/>
          <w:rFonts w:ascii="Times New Roman" w:hAnsi="Times New Roman"/>
          <w:noProof/>
          <w:color w:val="000000"/>
          <w:lang w:val="bg-BG"/>
        </w:rPr>
        <w:footnoteReference w:id="34"/>
      </w:r>
      <w:r>
        <w:rPr>
          <w:rFonts w:ascii="Times New Roman" w:hAnsi="Times New Roman"/>
          <w:noProof/>
          <w:lang w:val="bg-BG"/>
        </w:rPr>
        <w:t>. С искания за европейска техническа оценка (ЕТО) и съответно с изготвянето на проекти на ЕДО се занимават ограничен брой ОТО.</w:t>
      </w:r>
    </w:p>
    <w:p w:rsidR="00CC6095" w:rsidRDefault="00F051A1">
      <w:pPr>
        <w:pStyle w:val="CM1"/>
        <w:spacing w:after="120"/>
        <w:jc w:val="both"/>
        <w:rPr>
          <w:rFonts w:ascii="Times New Roman" w:hAnsi="Times New Roman"/>
          <w:noProof/>
          <w:lang w:val="bg-BG"/>
        </w:rPr>
      </w:pPr>
      <w:r>
        <w:rPr>
          <w:rFonts w:ascii="Times New Roman" w:hAnsi="Times New Roman"/>
          <w:noProof/>
          <w:lang w:val="bg-BG"/>
        </w:rPr>
        <w:t>При все това преходът от ДСП към РСП все още не е приключи</w:t>
      </w:r>
      <w:r>
        <w:rPr>
          <w:rFonts w:ascii="Times New Roman" w:hAnsi="Times New Roman"/>
          <w:noProof/>
          <w:lang w:val="bg-BG"/>
        </w:rPr>
        <w:t>л. Близо 90 % от всички ЕТО, издадени по РСП, все още използват ЕДО, изготвени на базата на Насоките за европейски технически одобрения (НЕТО)</w:t>
      </w:r>
      <w:r>
        <w:rPr>
          <w:rStyle w:val="FootnoteReference"/>
          <w:rFonts w:ascii="Times New Roman" w:hAnsi="Times New Roman"/>
          <w:noProof/>
          <w:color w:val="000000"/>
          <w:lang w:val="bg-BG"/>
        </w:rPr>
        <w:footnoteReference w:id="35"/>
      </w:r>
      <w:r>
        <w:rPr>
          <w:rFonts w:ascii="Times New Roman" w:hAnsi="Times New Roman"/>
          <w:noProof/>
          <w:lang w:val="bg-BG"/>
        </w:rPr>
        <w:t>. Принципите на тези практики са съгласувани с ЕОТО и трябва да бъдат спазвани, за да се избегнат усложнения, осо</w:t>
      </w:r>
      <w:r>
        <w:rPr>
          <w:rFonts w:ascii="Times New Roman" w:hAnsi="Times New Roman"/>
          <w:noProof/>
          <w:lang w:val="bg-BG"/>
        </w:rPr>
        <w:t>бено за засегнатите производители. В ход е преобразуването на НЕТО в ЕДО, като се започва с най-често използваните</w:t>
      </w:r>
      <w:r>
        <w:rPr>
          <w:rStyle w:val="FootnoteReference"/>
          <w:rFonts w:ascii="Times New Roman" w:hAnsi="Times New Roman"/>
          <w:noProof/>
          <w:lang w:val="bg-BG"/>
        </w:rPr>
        <w:footnoteReference w:id="36"/>
      </w:r>
      <w:r>
        <w:rPr>
          <w:rFonts w:ascii="Times New Roman" w:hAnsi="Times New Roman"/>
          <w:noProof/>
          <w:lang w:val="bg-BG"/>
        </w:rPr>
        <w:t xml:space="preserve">. Европейските технически одобрения, издадени по ДСП (до 30 юни 2013 г.), може да се използват от производителите до изтичането на тяхната </w:t>
      </w:r>
      <w:r>
        <w:rPr>
          <w:rFonts w:ascii="Times New Roman" w:hAnsi="Times New Roman"/>
          <w:noProof/>
          <w:lang w:val="bg-BG"/>
        </w:rPr>
        <w:t>валидност (максимум пет години, т.е. най-много до 30 юни 2018 г.)</w:t>
      </w:r>
      <w:r>
        <w:rPr>
          <w:rStyle w:val="FootnoteReference"/>
          <w:rFonts w:ascii="Times New Roman" w:hAnsi="Times New Roman"/>
          <w:noProof/>
          <w:color w:val="000000"/>
          <w:lang w:val="bg-BG"/>
        </w:rPr>
        <w:footnoteReference w:id="37"/>
      </w:r>
      <w:r>
        <w:rPr>
          <w:rFonts w:ascii="Times New Roman" w:hAnsi="Times New Roman"/>
          <w:noProof/>
          <w:lang w:val="bg-BG"/>
        </w:rPr>
        <w:t>.</w:t>
      </w:r>
    </w:p>
    <w:p w:rsidR="00CC6095" w:rsidRDefault="00F051A1">
      <w:pPr>
        <w:pStyle w:val="CM1"/>
        <w:spacing w:after="120"/>
        <w:jc w:val="both"/>
        <w:rPr>
          <w:rFonts w:ascii="Times New Roman" w:hAnsi="Times New Roman"/>
          <w:noProof/>
          <w:lang w:val="bg-BG"/>
        </w:rPr>
      </w:pPr>
      <w:r>
        <w:rPr>
          <w:rFonts w:ascii="Times New Roman" w:hAnsi="Times New Roman"/>
          <w:noProof/>
          <w:lang w:val="bg-BG"/>
        </w:rPr>
        <w:t>Промяната на парадигмата в ОТО от „одобрение на продукт“ към „оценяване на експлоатационните показатели“ е основното предизвикателство пред правилното прилагане на разпоредбите на РСП отно</w:t>
      </w:r>
      <w:r>
        <w:rPr>
          <w:rFonts w:ascii="Times New Roman" w:hAnsi="Times New Roman"/>
          <w:noProof/>
          <w:lang w:val="bg-BG"/>
        </w:rPr>
        <w:t>сно изготвянето и приемането на ЕДО. След приемането на Регламент за изпълнение (ЕС) № 1062/2013 на Комисията относно формата на европейската техническа оценка на строителните продукти</w:t>
      </w:r>
      <w:r>
        <w:rPr>
          <w:rStyle w:val="FootnoteReference"/>
          <w:rFonts w:ascii="Times New Roman" w:hAnsi="Times New Roman"/>
          <w:noProof/>
          <w:lang w:val="bg-BG"/>
        </w:rPr>
        <w:footnoteReference w:id="38"/>
      </w:r>
      <w:r>
        <w:rPr>
          <w:rFonts w:ascii="Times New Roman" w:hAnsi="Times New Roman"/>
          <w:noProof/>
          <w:lang w:val="bg-BG"/>
        </w:rPr>
        <w:t>, ЕОТО и Комисията съгласуваха водещите принципи при изготвянето на ЕДО</w:t>
      </w:r>
      <w:r>
        <w:rPr>
          <w:rFonts w:ascii="Times New Roman" w:hAnsi="Times New Roman"/>
          <w:noProof/>
          <w:lang w:val="bg-BG"/>
        </w:rPr>
        <w:t xml:space="preserve"> и разработиха подробни указания въз основа на придобития опит с тези процеси</w:t>
      </w:r>
      <w:r>
        <w:rPr>
          <w:rStyle w:val="FootnoteReference"/>
          <w:rFonts w:ascii="Times New Roman" w:hAnsi="Times New Roman"/>
          <w:noProof/>
          <w:color w:val="000000"/>
          <w:lang w:val="bg-BG"/>
        </w:rPr>
        <w:footnoteReference w:id="39"/>
      </w:r>
      <w:r>
        <w:rPr>
          <w:rFonts w:ascii="Times New Roman" w:hAnsi="Times New Roman"/>
          <w:noProof/>
          <w:lang w:val="bg-BG"/>
        </w:rPr>
        <w:t>. Всичко това направи възможно първото публикуване в ОВЕС на данни за ЕДО през юли 2015 г.</w:t>
      </w:r>
      <w:r>
        <w:rPr>
          <w:rStyle w:val="FootnoteReference"/>
          <w:rFonts w:ascii="Times New Roman" w:hAnsi="Times New Roman"/>
          <w:noProof/>
          <w:color w:val="000000"/>
          <w:lang w:val="bg-BG"/>
        </w:rPr>
        <w:footnoteReference w:id="40"/>
      </w:r>
      <w:r>
        <w:rPr>
          <w:rFonts w:ascii="Times New Roman" w:hAnsi="Times New Roman"/>
          <w:noProof/>
          <w:lang w:val="bg-BG"/>
        </w:rPr>
        <w:t>.</w:t>
      </w:r>
    </w:p>
    <w:p w:rsidR="00CC6095" w:rsidRDefault="00F051A1">
      <w:pPr>
        <w:spacing w:after="120" w:line="240" w:lineRule="auto"/>
        <w:jc w:val="both"/>
        <w:rPr>
          <w:rFonts w:ascii="Times New Roman" w:hAnsi="Times New Roman"/>
          <w:noProof/>
          <w:sz w:val="24"/>
          <w:szCs w:val="24"/>
          <w:lang w:val="bg-BG"/>
        </w:rPr>
      </w:pPr>
      <w:r>
        <w:rPr>
          <w:rFonts w:ascii="Times New Roman" w:hAnsi="Times New Roman"/>
          <w:noProof/>
          <w:sz w:val="24"/>
          <w:szCs w:val="24"/>
          <w:lang w:val="bg-BG"/>
        </w:rPr>
        <w:t>Комисията не е уведомявана от ЕОТО за потребност от уреждане на спорове в случай на р</w:t>
      </w:r>
      <w:r>
        <w:rPr>
          <w:rFonts w:ascii="Times New Roman" w:hAnsi="Times New Roman"/>
          <w:noProof/>
          <w:sz w:val="24"/>
          <w:szCs w:val="24"/>
          <w:lang w:val="bg-BG"/>
        </w:rPr>
        <w:t>азногласия между ОТО по член 23 от РСП. Това обаче не означава, че такива разногласия липсват, особено предвид забавянията при приемането на ЕДО в рамките на ЕОТО</w:t>
      </w:r>
      <w:r>
        <w:rPr>
          <w:rStyle w:val="FootnoteReference"/>
          <w:rFonts w:ascii="Times New Roman" w:hAnsi="Times New Roman"/>
          <w:noProof/>
          <w:color w:val="000000"/>
          <w:lang w:val="bg-BG"/>
        </w:rPr>
        <w:footnoteReference w:id="41"/>
      </w:r>
      <w:r>
        <w:rPr>
          <w:rFonts w:ascii="Times New Roman" w:hAnsi="Times New Roman"/>
          <w:noProof/>
          <w:sz w:val="24"/>
          <w:szCs w:val="24"/>
          <w:lang w:val="bg-BG"/>
        </w:rPr>
        <w:t>.</w:t>
      </w:r>
    </w:p>
    <w:p w:rsidR="00CC6095" w:rsidRDefault="00F051A1">
      <w:pPr>
        <w:spacing w:after="120" w:line="240" w:lineRule="auto"/>
        <w:jc w:val="both"/>
        <w:rPr>
          <w:rFonts w:ascii="Times New Roman" w:hAnsi="Times New Roman"/>
          <w:noProof/>
          <w:sz w:val="24"/>
          <w:szCs w:val="24"/>
          <w:lang w:val="bg-BG"/>
        </w:rPr>
      </w:pPr>
      <w:r>
        <w:rPr>
          <w:rFonts w:ascii="Times New Roman" w:hAnsi="Times New Roman"/>
          <w:noProof/>
          <w:sz w:val="24"/>
          <w:szCs w:val="24"/>
          <w:lang w:val="bg-BG"/>
        </w:rPr>
        <w:t>В заключение може да се каже, че членове 19, 20, 21 и 24 от РСП функционират в съответствие</w:t>
      </w:r>
      <w:r>
        <w:rPr>
          <w:rFonts w:ascii="Times New Roman" w:hAnsi="Times New Roman"/>
          <w:noProof/>
          <w:sz w:val="24"/>
          <w:szCs w:val="24"/>
          <w:lang w:val="bg-BG"/>
        </w:rPr>
        <w:t xml:space="preserve"> с поставените цели. Практическият преход от ДСП към РСП можеше да бъде по-бърз и съществуващите процедури може още да се рационализират. Като цяло обаче подобренията, необходими за по-бързото и по-прозрачното изготвяне на ЕДО, може да се направят, без да </w:t>
      </w:r>
      <w:r>
        <w:rPr>
          <w:rFonts w:ascii="Times New Roman" w:hAnsi="Times New Roman"/>
          <w:noProof/>
          <w:sz w:val="24"/>
          <w:szCs w:val="24"/>
          <w:lang w:val="bg-BG"/>
        </w:rPr>
        <w:t>се предлагат нормативни актове</w:t>
      </w:r>
      <w:r>
        <w:rPr>
          <w:rStyle w:val="FootnoteReference"/>
          <w:rFonts w:ascii="Times New Roman" w:hAnsi="Times New Roman"/>
          <w:noProof/>
          <w:color w:val="000000"/>
          <w:lang w:val="bg-BG"/>
        </w:rPr>
        <w:footnoteReference w:id="42"/>
      </w:r>
      <w:r>
        <w:rPr>
          <w:rFonts w:ascii="Times New Roman" w:hAnsi="Times New Roman"/>
          <w:noProof/>
          <w:sz w:val="24"/>
          <w:szCs w:val="24"/>
          <w:lang w:val="bg-BG"/>
        </w:rPr>
        <w:t>.</w:t>
      </w:r>
    </w:p>
    <w:p w:rsidR="00CC6095" w:rsidRDefault="00CC6095">
      <w:pPr>
        <w:pStyle w:val="CM1"/>
        <w:spacing w:after="120"/>
        <w:jc w:val="both"/>
        <w:rPr>
          <w:rFonts w:ascii="Times New Roman" w:hAnsi="Times New Roman"/>
          <w:noProof/>
          <w:lang w:val="bg-BG"/>
        </w:rPr>
      </w:pPr>
    </w:p>
    <w:p w:rsidR="00CC6095" w:rsidRDefault="00F051A1">
      <w:pPr>
        <w:pStyle w:val="ListParagraph"/>
        <w:numPr>
          <w:ilvl w:val="0"/>
          <w:numId w:val="6"/>
        </w:numPr>
        <w:tabs>
          <w:tab w:val="left" w:leader="dot" w:pos="7513"/>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Нотифицирани органи и нотифициращи органи</w:t>
      </w:r>
    </w:p>
    <w:p w:rsidR="00CC6095" w:rsidRDefault="00CC6095">
      <w:pPr>
        <w:pStyle w:val="ListParagraph"/>
        <w:spacing w:after="120" w:line="240" w:lineRule="auto"/>
        <w:ind w:left="360"/>
        <w:jc w:val="both"/>
        <w:rPr>
          <w:rFonts w:ascii="Times New Roman" w:hAnsi="Times New Roman" w:cs="Times New Roman"/>
          <w:smallCaps/>
          <w:noProof/>
          <w:sz w:val="24"/>
          <w:szCs w:val="24"/>
          <w:lang w:val="bg-BG"/>
        </w:rPr>
      </w:pP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Надеждността на системата, установена с РСП, се основава в голяма степен на нотифицираните органи (НО)</w:t>
      </w:r>
      <w:r>
        <w:rPr>
          <w:rStyle w:val="FootnoteReference"/>
          <w:rFonts w:ascii="Times New Roman" w:hAnsi="Times New Roman" w:cs="Times New Roman"/>
          <w:noProof/>
          <w:sz w:val="24"/>
          <w:szCs w:val="24"/>
          <w:lang w:val="bg-BG"/>
        </w:rPr>
        <w:footnoteReference w:id="43"/>
      </w:r>
      <w:r>
        <w:rPr>
          <w:rFonts w:ascii="Times New Roman" w:hAnsi="Times New Roman" w:cs="Times New Roman"/>
          <w:noProof/>
          <w:sz w:val="24"/>
          <w:szCs w:val="24"/>
          <w:lang w:val="bg-BG"/>
        </w:rPr>
        <w:t xml:space="preserve">, които трябва да отговарят на строги изисквания по отношение на своята </w:t>
      </w:r>
      <w:r>
        <w:rPr>
          <w:rFonts w:ascii="Times New Roman" w:hAnsi="Times New Roman" w:cs="Times New Roman"/>
          <w:noProof/>
          <w:sz w:val="24"/>
          <w:szCs w:val="24"/>
          <w:lang w:val="bg-BG"/>
        </w:rPr>
        <w:t>техническа компетентност, безпристрастност и отчетност</w:t>
      </w:r>
      <w:r>
        <w:rPr>
          <w:rStyle w:val="FootnoteReference"/>
          <w:rFonts w:ascii="Times New Roman" w:hAnsi="Times New Roman" w:cs="Times New Roman"/>
          <w:noProof/>
          <w:sz w:val="24"/>
          <w:szCs w:val="24"/>
          <w:lang w:val="bg-BG"/>
        </w:rPr>
        <w:footnoteReference w:id="44"/>
      </w:r>
      <w:r>
        <w:rPr>
          <w:rFonts w:ascii="Times New Roman" w:hAnsi="Times New Roman" w:cs="Times New Roman"/>
          <w:noProof/>
          <w:sz w:val="24"/>
          <w:szCs w:val="24"/>
          <w:lang w:val="bg-BG"/>
        </w:rPr>
        <w:t>. Особено внимание следва да се обръща на тяхната независимост — критерий, върху който беше акцентирано в процеса на приемането на РСП. Нотифициращите органи, определени от държавите членки</w:t>
      </w:r>
      <w:r>
        <w:rPr>
          <w:rStyle w:val="FootnoteReference"/>
          <w:rFonts w:ascii="Times New Roman" w:hAnsi="Times New Roman" w:cs="Times New Roman"/>
          <w:noProof/>
          <w:sz w:val="24"/>
          <w:szCs w:val="24"/>
          <w:lang w:val="bg-BG"/>
        </w:rPr>
        <w:footnoteReference w:id="45"/>
      </w:r>
      <w:r>
        <w:rPr>
          <w:rFonts w:ascii="Times New Roman" w:hAnsi="Times New Roman" w:cs="Times New Roman"/>
          <w:noProof/>
          <w:sz w:val="24"/>
          <w:szCs w:val="24"/>
          <w:lang w:val="bg-BG"/>
        </w:rPr>
        <w:t>, отговарят</w:t>
      </w:r>
      <w:r>
        <w:rPr>
          <w:rFonts w:ascii="Times New Roman" w:hAnsi="Times New Roman" w:cs="Times New Roman"/>
          <w:noProof/>
          <w:sz w:val="24"/>
          <w:szCs w:val="24"/>
          <w:lang w:val="bg-BG"/>
        </w:rPr>
        <w:t xml:space="preserve"> за националните процедури за нотифициране и наблюдение.</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Дейностите на Групата на нотифицираните органи и нейните подгрупи получиха стимул от засилената регулаторна подкрепа в РСП</w:t>
      </w:r>
      <w:r>
        <w:rPr>
          <w:rStyle w:val="FootnoteReference"/>
          <w:rFonts w:ascii="Times New Roman" w:hAnsi="Times New Roman" w:cs="Times New Roman"/>
          <w:noProof/>
          <w:sz w:val="24"/>
          <w:szCs w:val="24"/>
          <w:lang w:val="bg-BG"/>
        </w:rPr>
        <w:footnoteReference w:id="46"/>
      </w:r>
      <w:r>
        <w:rPr>
          <w:rFonts w:ascii="Times New Roman" w:hAnsi="Times New Roman" w:cs="Times New Roman"/>
          <w:noProof/>
          <w:sz w:val="24"/>
          <w:szCs w:val="24"/>
          <w:lang w:val="bg-BG"/>
        </w:rPr>
        <w:t>. Такава координация е необходима, за да се осигури еднаквото прилагане на д</w:t>
      </w:r>
      <w:r>
        <w:rPr>
          <w:rFonts w:ascii="Times New Roman" w:hAnsi="Times New Roman" w:cs="Times New Roman"/>
          <w:noProof/>
          <w:sz w:val="24"/>
          <w:szCs w:val="24"/>
          <w:lang w:val="bg-BG"/>
        </w:rPr>
        <w:t>ействащите правила, така че да се избегнат някои критики във връзка с различаващи се практики в тази област.</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По-голяма правна сигурност и последователност бяха постигнати с изменението на приложение V към РСП с Делегиран регламент (ЕС) № 568/2014 на Комиси</w:t>
      </w:r>
      <w:r>
        <w:rPr>
          <w:rFonts w:ascii="Times New Roman" w:hAnsi="Times New Roman" w:cs="Times New Roman"/>
          <w:noProof/>
          <w:sz w:val="24"/>
          <w:szCs w:val="24"/>
          <w:lang w:val="bg-BG"/>
        </w:rPr>
        <w:t>ята от 18 февруари 2014 г.</w:t>
      </w:r>
      <w:r>
        <w:rPr>
          <w:rStyle w:val="FootnoteReference"/>
          <w:rFonts w:ascii="Times New Roman" w:hAnsi="Times New Roman" w:cs="Times New Roman"/>
          <w:noProof/>
          <w:sz w:val="24"/>
          <w:szCs w:val="24"/>
          <w:lang w:val="bg-BG"/>
        </w:rPr>
        <w:footnoteReference w:id="47"/>
      </w:r>
      <w:r>
        <w:rPr>
          <w:rFonts w:ascii="Times New Roman" w:hAnsi="Times New Roman" w:cs="Times New Roman"/>
          <w:noProof/>
          <w:sz w:val="24"/>
          <w:szCs w:val="24"/>
          <w:lang w:val="bg-BG"/>
        </w:rPr>
        <w:t>. Посоченият регламент изясни степента на участие и ролята на НО при оценяването и проверката на постоянството на експлоатационните показатели на строителните продукти. В резултат на това сега НО разбират по-добре своите отговорн</w:t>
      </w:r>
      <w:r>
        <w:rPr>
          <w:rFonts w:ascii="Times New Roman" w:hAnsi="Times New Roman" w:cs="Times New Roman"/>
          <w:noProof/>
          <w:sz w:val="24"/>
          <w:szCs w:val="24"/>
          <w:lang w:val="bg-BG"/>
        </w:rPr>
        <w:t>ости.</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Преходът от ДСП към РСП доведе до промяна на парадигмата и за НО. Някои от тях все още предстои да се адаптират, да доизяснят функциите си и да отразят пълноценно напредъка в целенасочените дейности по сертифициране</w:t>
      </w:r>
      <w:r>
        <w:rPr>
          <w:rStyle w:val="FootnoteReference"/>
          <w:rFonts w:ascii="Times New Roman" w:hAnsi="Times New Roman" w:cs="Times New Roman"/>
          <w:noProof/>
          <w:sz w:val="24"/>
          <w:szCs w:val="24"/>
          <w:lang w:val="bg-BG"/>
        </w:rPr>
        <w:footnoteReference w:id="48"/>
      </w:r>
      <w:r>
        <w:rPr>
          <w:rFonts w:ascii="Times New Roman" w:hAnsi="Times New Roman" w:cs="Times New Roman"/>
          <w:noProof/>
          <w:sz w:val="24"/>
          <w:szCs w:val="24"/>
          <w:lang w:val="bg-BG"/>
        </w:rPr>
        <w:t>. Това има значение и за използван</w:t>
      </w:r>
      <w:r>
        <w:rPr>
          <w:rFonts w:ascii="Times New Roman" w:hAnsi="Times New Roman" w:cs="Times New Roman"/>
          <w:noProof/>
          <w:sz w:val="24"/>
          <w:szCs w:val="24"/>
          <w:lang w:val="bg-BG"/>
        </w:rPr>
        <w:t>ето на стандарти за акредитация за целите на нотифицирането.</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Получената обратна информация за прилагането на РСП в тази област показва, че някои правила може да бъдат прецизирани</w:t>
      </w:r>
      <w:r>
        <w:rPr>
          <w:rStyle w:val="FootnoteReference"/>
          <w:rFonts w:ascii="Times New Roman" w:hAnsi="Times New Roman" w:cs="Times New Roman"/>
          <w:noProof/>
          <w:sz w:val="24"/>
          <w:szCs w:val="24"/>
          <w:lang w:val="bg-BG"/>
        </w:rPr>
        <w:footnoteReference w:id="49"/>
      </w:r>
      <w:r>
        <w:rPr>
          <w:rFonts w:ascii="Times New Roman" w:hAnsi="Times New Roman" w:cs="Times New Roman"/>
          <w:noProof/>
          <w:sz w:val="24"/>
          <w:szCs w:val="24"/>
          <w:lang w:val="bg-BG"/>
        </w:rPr>
        <w:t>. В този смисъл въпросните разпоредби</w:t>
      </w:r>
      <w:r>
        <w:rPr>
          <w:rStyle w:val="FootnoteReference"/>
          <w:rFonts w:ascii="Times New Roman" w:eastAsia="Calibri" w:hAnsi="Times New Roman" w:cs="Times New Roman"/>
          <w:noProof/>
          <w:sz w:val="24"/>
          <w:szCs w:val="24"/>
          <w:lang w:val="bg-BG"/>
        </w:rPr>
        <w:footnoteReference w:id="50"/>
      </w:r>
      <w:r>
        <w:rPr>
          <w:rFonts w:ascii="Times New Roman" w:eastAsia="Calibri" w:hAnsi="Times New Roman" w:cs="Times New Roman"/>
          <w:noProof/>
          <w:sz w:val="24"/>
          <w:szCs w:val="24"/>
          <w:lang w:val="bg-BG"/>
        </w:rPr>
        <w:t xml:space="preserve"> биха спечелили от една по-задълбочена </w:t>
      </w:r>
      <w:r>
        <w:rPr>
          <w:rFonts w:ascii="Times New Roman" w:eastAsia="Calibri" w:hAnsi="Times New Roman" w:cs="Times New Roman"/>
          <w:noProof/>
          <w:sz w:val="24"/>
          <w:szCs w:val="24"/>
          <w:lang w:val="bg-BG"/>
        </w:rPr>
        <w:t>преценка за евентуалното им дистанциране от принципите на Новия подход</w:t>
      </w:r>
      <w:r>
        <w:rPr>
          <w:rStyle w:val="FootnoteReference"/>
          <w:rFonts w:ascii="Times New Roman" w:hAnsi="Times New Roman" w:cs="Times New Roman"/>
          <w:noProof/>
          <w:sz w:val="24"/>
          <w:szCs w:val="24"/>
          <w:lang w:val="bg-BG"/>
        </w:rPr>
        <w:footnoteReference w:id="51"/>
      </w:r>
      <w:r>
        <w:rPr>
          <w:rFonts w:ascii="Times New Roman" w:eastAsia="Calibri" w:hAnsi="Times New Roman" w:cs="Times New Roman"/>
          <w:noProof/>
          <w:sz w:val="24"/>
          <w:szCs w:val="24"/>
          <w:lang w:val="bg-BG"/>
        </w:rPr>
        <w:t>.</w:t>
      </w:r>
    </w:p>
    <w:p w:rsidR="00CC6095" w:rsidRDefault="00CC6095">
      <w:pPr>
        <w:pStyle w:val="ListParagraph"/>
        <w:spacing w:after="120" w:line="240" w:lineRule="auto"/>
        <w:ind w:left="0"/>
        <w:jc w:val="both"/>
        <w:rPr>
          <w:rFonts w:ascii="Times New Roman" w:hAnsi="Times New Roman" w:cs="Times New Roman"/>
          <w:noProof/>
          <w:sz w:val="24"/>
          <w:szCs w:val="24"/>
          <w:lang w:val="bg-BG"/>
        </w:rPr>
      </w:pPr>
    </w:p>
    <w:p w:rsidR="00CC6095" w:rsidRDefault="00F051A1">
      <w:pPr>
        <w:pStyle w:val="ListParagraph"/>
        <w:numPr>
          <w:ilvl w:val="0"/>
          <w:numId w:val="6"/>
        </w:numPr>
        <w:tabs>
          <w:tab w:val="left" w:leader="dot" w:pos="7655"/>
        </w:tabs>
        <w:spacing w:after="120" w:line="240" w:lineRule="auto"/>
        <w:jc w:val="both"/>
        <w:rPr>
          <w:rFonts w:ascii="Times New Roman" w:hAnsi="Times New Roman" w:cs="Times New Roman"/>
          <w:b/>
          <w:smallCaps/>
          <w:noProof/>
          <w:sz w:val="24"/>
          <w:szCs w:val="24"/>
          <w:lang w:val="bg-BG"/>
        </w:rPr>
      </w:pPr>
      <w:r>
        <w:rPr>
          <w:rFonts w:ascii="Times New Roman" w:hAnsi="Times New Roman" w:cs="Times New Roman"/>
          <w:b/>
          <w:smallCaps/>
          <w:noProof/>
          <w:sz w:val="24"/>
          <w:szCs w:val="24"/>
          <w:lang w:val="bg-BG"/>
        </w:rPr>
        <w:t>Микропредприятия и опростяване</w:t>
      </w:r>
    </w:p>
    <w:p w:rsidR="00CC6095" w:rsidRDefault="00CC6095">
      <w:pPr>
        <w:pStyle w:val="ListParagraph"/>
        <w:spacing w:after="120" w:line="240" w:lineRule="auto"/>
        <w:ind w:left="360"/>
        <w:jc w:val="both"/>
        <w:rPr>
          <w:rFonts w:ascii="Times New Roman" w:hAnsi="Times New Roman" w:cs="Times New Roman"/>
          <w:b/>
          <w:smallCaps/>
          <w:noProof/>
          <w:sz w:val="24"/>
          <w:szCs w:val="24"/>
          <w:lang w:val="bg-BG"/>
        </w:rPr>
      </w:pP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 оглед създаването на равни условия за МСП и микропредприятията, РСП предвижда дерогации от задължението за изготвяне на ДЕП</w:t>
      </w:r>
      <w:r>
        <w:rPr>
          <w:rStyle w:val="FootnoteReference"/>
          <w:rFonts w:ascii="Times New Roman" w:hAnsi="Times New Roman" w:cs="Times New Roman"/>
          <w:noProof/>
          <w:sz w:val="24"/>
          <w:szCs w:val="24"/>
          <w:lang w:val="bg-BG"/>
        </w:rPr>
        <w:footnoteReference w:id="52"/>
      </w:r>
      <w:r>
        <w:rPr>
          <w:rFonts w:ascii="Times New Roman" w:hAnsi="Times New Roman" w:cs="Times New Roman"/>
          <w:noProof/>
          <w:sz w:val="24"/>
          <w:szCs w:val="24"/>
          <w:lang w:val="bg-BG"/>
        </w:rPr>
        <w:t xml:space="preserve"> и опростени процедури за пускането на строителни продукти на пазара</w:t>
      </w:r>
      <w:r>
        <w:rPr>
          <w:rStyle w:val="FootnoteReference"/>
          <w:rFonts w:ascii="Times New Roman" w:hAnsi="Times New Roman" w:cs="Times New Roman"/>
          <w:noProof/>
          <w:sz w:val="24"/>
          <w:szCs w:val="24"/>
          <w:lang w:val="bg-BG"/>
        </w:rPr>
        <w:footnoteReference w:id="53"/>
      </w:r>
      <w:r>
        <w:rPr>
          <w:rFonts w:ascii="Times New Roman" w:hAnsi="Times New Roman" w:cs="Times New Roman"/>
          <w:noProof/>
          <w:sz w:val="24"/>
          <w:szCs w:val="24"/>
          <w:lang w:val="bg-BG"/>
        </w:rPr>
        <w:t>.</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сегашния етап на прилагане все още няма достатъчно опит от използването на тези възможности, с изключение на опростените процедури за класификация без изпитване, за споделяне и за пр</w:t>
      </w:r>
      <w:r>
        <w:rPr>
          <w:rFonts w:ascii="Times New Roman" w:hAnsi="Times New Roman" w:cs="Times New Roman"/>
          <w:noProof/>
          <w:sz w:val="24"/>
          <w:szCs w:val="24"/>
          <w:lang w:val="bg-BG"/>
        </w:rPr>
        <w:t>едаване на каскаден принцип</w:t>
      </w:r>
      <w:r>
        <w:rPr>
          <w:rStyle w:val="FootnoteReference"/>
          <w:rFonts w:ascii="Times New Roman" w:hAnsi="Times New Roman" w:cs="Times New Roman"/>
          <w:noProof/>
          <w:sz w:val="24"/>
          <w:szCs w:val="24"/>
          <w:lang w:val="bg-BG"/>
        </w:rPr>
        <w:footnoteReference w:id="54"/>
      </w:r>
      <w:r>
        <w:rPr>
          <w:rFonts w:ascii="Times New Roman" w:hAnsi="Times New Roman" w:cs="Times New Roman"/>
          <w:noProof/>
          <w:sz w:val="24"/>
          <w:szCs w:val="24"/>
          <w:lang w:val="bg-BG"/>
        </w:rPr>
        <w:t>. Тези процедури се използват често, където е приложимо.</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До момента обаче няма документални доказателства за използването на останалите налични възможности. Това може да означава, че очакваното облекчаване на финансовата и админ</w:t>
      </w:r>
      <w:r>
        <w:rPr>
          <w:rFonts w:ascii="Times New Roman" w:hAnsi="Times New Roman" w:cs="Times New Roman"/>
          <w:noProof/>
          <w:sz w:val="24"/>
          <w:szCs w:val="24"/>
          <w:lang w:val="bg-BG"/>
        </w:rPr>
        <w:t>истративната тежест върху фирмите не се е състояло. Причините, посочени от заинтересованите страни за това ограничено използване, включват:</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различни практики и тълкувания в държавите членки;</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недобро познаване на тези възможности от отрасъла;</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неясноти относ</w:t>
      </w:r>
      <w:r>
        <w:rPr>
          <w:rFonts w:ascii="Times New Roman" w:hAnsi="Times New Roman" w:cs="Times New Roman"/>
          <w:noProof/>
          <w:sz w:val="24"/>
          <w:szCs w:val="24"/>
          <w:lang w:val="bg-BG"/>
        </w:rPr>
        <w:t>но значението на основни понятия в РСП;</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трудности при доказването на „еквивалентност“ и/или с предоставянето на алтернативна техническа документация;</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съмнения относно реалния размер на съответните финансови икономии;</w:t>
      </w:r>
    </w:p>
    <w:p w:rsidR="00CC6095" w:rsidRDefault="00F051A1">
      <w:pPr>
        <w:pStyle w:val="ListParagraph"/>
        <w:numPr>
          <w:ilvl w:val="0"/>
          <w:numId w:val="24"/>
        </w:numPr>
        <w:spacing w:after="120" w:line="240" w:lineRule="auto"/>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опасения за неодобрение от органите или</w:t>
      </w:r>
      <w:r>
        <w:rPr>
          <w:rFonts w:ascii="Times New Roman" w:hAnsi="Times New Roman" w:cs="Times New Roman"/>
          <w:noProof/>
          <w:sz w:val="24"/>
          <w:szCs w:val="24"/>
          <w:lang w:val="bg-BG"/>
        </w:rPr>
        <w:t xml:space="preserve"> потребителите, ако процедурите не бъдат (правилно) приложени.</w:t>
      </w:r>
    </w:p>
    <w:p w:rsidR="00CC6095" w:rsidRDefault="00F051A1">
      <w:pPr>
        <w:pStyle w:val="ListParagraph"/>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Тези съмнения се отразиха в голяма степен върху възможностите за прилагане от микропредприятията на опростените процедури съгласно член 37, каквото беше намерението по време на регулаторния про</w:t>
      </w:r>
      <w:r>
        <w:rPr>
          <w:rFonts w:ascii="Times New Roman" w:hAnsi="Times New Roman" w:cs="Times New Roman"/>
          <w:noProof/>
          <w:sz w:val="24"/>
          <w:szCs w:val="24"/>
          <w:lang w:val="bg-BG"/>
        </w:rPr>
        <w:t>цес за РСП.</w:t>
      </w:r>
    </w:p>
    <w:p w:rsidR="00CC6095" w:rsidRDefault="00F051A1">
      <w:pPr>
        <w:pStyle w:val="ListParagraph"/>
        <w:spacing w:after="12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Изглежда има необходимост от комплексен подход и по-задълбочени разисквания относно бъдещото развитие, за да се отговори по-добре на очакванията на МСП, и особено на микропредприятията, работещи в строителния сектор на ЕС. Комисията следва да у</w:t>
      </w:r>
      <w:r>
        <w:rPr>
          <w:rFonts w:ascii="Times New Roman" w:hAnsi="Times New Roman" w:cs="Times New Roman"/>
          <w:noProof/>
          <w:sz w:val="24"/>
          <w:szCs w:val="24"/>
          <w:lang w:val="bg-BG"/>
        </w:rPr>
        <w:t>леснява този процес чрез дискусии в рамките на техническа платформа.</w:t>
      </w:r>
    </w:p>
    <w:p w:rsidR="00CC6095" w:rsidRDefault="00CC6095">
      <w:pPr>
        <w:pStyle w:val="ListParagraph"/>
        <w:spacing w:after="120" w:line="240" w:lineRule="auto"/>
        <w:ind w:left="1224"/>
        <w:jc w:val="both"/>
        <w:rPr>
          <w:rFonts w:ascii="Times New Roman" w:hAnsi="Times New Roman" w:cs="Times New Roman"/>
          <w:noProof/>
          <w:sz w:val="24"/>
          <w:szCs w:val="24"/>
          <w:lang w:val="bg-BG"/>
        </w:rPr>
      </w:pPr>
    </w:p>
    <w:p w:rsidR="00CC6095" w:rsidRDefault="00F051A1">
      <w:pPr>
        <w:pStyle w:val="ListParagraph"/>
        <w:numPr>
          <w:ilvl w:val="0"/>
          <w:numId w:val="6"/>
        </w:numPr>
        <w:tabs>
          <w:tab w:val="left" w:leader="dot" w:pos="6946"/>
        </w:tabs>
        <w:spacing w:after="120" w:line="240" w:lineRule="auto"/>
        <w:jc w:val="both"/>
        <w:rPr>
          <w:rFonts w:ascii="Times New Roman" w:eastAsia="Calibri" w:hAnsi="Times New Roman" w:cs="Times New Roman"/>
          <w:noProof/>
          <w:sz w:val="24"/>
          <w:szCs w:val="24"/>
          <w:lang w:val="bg-BG"/>
        </w:rPr>
      </w:pPr>
      <w:r>
        <w:rPr>
          <w:rFonts w:ascii="Times New Roman" w:hAnsi="Times New Roman" w:cs="Times New Roman"/>
          <w:b/>
          <w:smallCaps/>
          <w:noProof/>
          <w:sz w:val="24"/>
          <w:szCs w:val="24"/>
          <w:lang w:val="bg-BG"/>
        </w:rPr>
        <w:t>Надзор на пазара</w:t>
      </w:r>
    </w:p>
    <w:p w:rsidR="00CC6095" w:rsidRDefault="00CC6095">
      <w:pPr>
        <w:pStyle w:val="ListParagraph"/>
        <w:tabs>
          <w:tab w:val="left" w:leader="dot" w:pos="6946"/>
        </w:tabs>
        <w:spacing w:after="120" w:line="240" w:lineRule="auto"/>
        <w:ind w:left="360"/>
        <w:jc w:val="both"/>
        <w:rPr>
          <w:rFonts w:ascii="Times New Roman" w:eastAsia="Calibri" w:hAnsi="Times New Roman" w:cs="Times New Roman"/>
          <w:noProof/>
          <w:sz w:val="24"/>
          <w:szCs w:val="24"/>
          <w:lang w:val="bg-BG"/>
        </w:rPr>
      </w:pP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рамките на новата законодателна уредба, приета през 2008 г., Регламент (ЕО) № </w:t>
      </w:r>
      <w:r>
        <w:rPr>
          <w:rFonts w:ascii="Times New Roman" w:eastAsia="Calibri" w:hAnsi="Times New Roman" w:cs="Times New Roman"/>
          <w:noProof/>
          <w:sz w:val="24"/>
          <w:szCs w:val="24"/>
          <w:lang w:val="bg-BG"/>
        </w:rPr>
        <w:t>765/2008</w:t>
      </w:r>
      <w:r>
        <w:rPr>
          <w:rStyle w:val="FootnoteReference"/>
          <w:rFonts w:ascii="Times New Roman" w:eastAsia="Calibri" w:hAnsi="Times New Roman" w:cs="Times New Roman"/>
          <w:noProof/>
          <w:sz w:val="24"/>
          <w:szCs w:val="24"/>
          <w:lang w:val="bg-BG"/>
        </w:rPr>
        <w:footnoteReference w:id="55"/>
      </w:r>
      <w:r>
        <w:rPr>
          <w:rFonts w:ascii="Times New Roman" w:eastAsia="Calibri" w:hAnsi="Times New Roman" w:cs="Times New Roman"/>
          <w:noProof/>
          <w:sz w:val="24"/>
          <w:szCs w:val="24"/>
          <w:lang w:val="bg-BG"/>
        </w:rPr>
        <w:t xml:space="preserve"> установи основната административна рамка на надзора на пазара в държавите член</w:t>
      </w:r>
      <w:r>
        <w:rPr>
          <w:rFonts w:ascii="Times New Roman" w:eastAsia="Calibri" w:hAnsi="Times New Roman" w:cs="Times New Roman"/>
          <w:noProof/>
          <w:sz w:val="24"/>
          <w:szCs w:val="24"/>
          <w:lang w:val="bg-BG"/>
        </w:rPr>
        <w:t>ки, а Решение № 768/2008/EО съдържаше референтни разпоредби за отделните процедури по надзор на пазара, като тези разпоредби трябваше да бъдат въведени в секторното законодателство. Така например членове 56—59 от РСП, които се отнасят до надзора на пазара,</w:t>
      </w:r>
      <w:r>
        <w:rPr>
          <w:rFonts w:ascii="Times New Roman" w:eastAsia="Calibri" w:hAnsi="Times New Roman" w:cs="Times New Roman"/>
          <w:noProof/>
          <w:sz w:val="24"/>
          <w:szCs w:val="24"/>
          <w:lang w:val="bg-BG"/>
        </w:rPr>
        <w:t xml:space="preserve"> в голяма степен произтичат от членове R31—R34 от Решение № 768/2008/EО, но трябваше да бъдат адаптирани към съответния контекст. Тези адаптации може да се разглеждат отчасти като причина за някои предизвикателства пред надзора на пазара, възникнали при пр</w:t>
      </w:r>
      <w:r>
        <w:rPr>
          <w:rFonts w:ascii="Times New Roman" w:eastAsia="Calibri" w:hAnsi="Times New Roman" w:cs="Times New Roman"/>
          <w:noProof/>
          <w:sz w:val="24"/>
          <w:szCs w:val="24"/>
          <w:lang w:val="bg-BG"/>
        </w:rPr>
        <w:t>илагането на РСП</w:t>
      </w:r>
      <w:r>
        <w:rPr>
          <w:rStyle w:val="FootnoteReference"/>
          <w:rFonts w:ascii="Times New Roman" w:eastAsia="Calibri" w:hAnsi="Times New Roman" w:cs="Times New Roman"/>
          <w:noProof/>
          <w:sz w:val="24"/>
          <w:szCs w:val="24"/>
          <w:lang w:val="bg-BG"/>
        </w:rPr>
        <w:footnoteReference w:id="56"/>
      </w:r>
      <w:r>
        <w:rPr>
          <w:rFonts w:ascii="Times New Roman" w:eastAsia="Calibri" w:hAnsi="Times New Roman" w:cs="Times New Roman"/>
          <w:noProof/>
          <w:sz w:val="24"/>
          <w:szCs w:val="24"/>
          <w:lang w:val="bg-BG"/>
        </w:rPr>
        <w:t>.</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Органите за надзор на пазара в държавите членки осъществяват дейността си въз основа на Регламент (ЕО) № 765/2008 след влизането му в сила на 1 януари 2010 г., като всички държави членки са установили надлежно такива органи за строителни</w:t>
      </w:r>
      <w:r>
        <w:rPr>
          <w:rFonts w:ascii="Times New Roman" w:hAnsi="Times New Roman" w:cs="Times New Roman"/>
          <w:noProof/>
          <w:sz w:val="24"/>
          <w:szCs w:val="24"/>
          <w:lang w:val="bg-BG"/>
        </w:rPr>
        <w:t>те продукти, макар и с различна ресурсна осигуреност и различно реално въздействие на пазара. През последните няколко години тяхното сътрудничество в рамките на Групата за административно сътрудничество за надзор на пазара (AdCo-CPR) непрекъснато се интенз</w:t>
      </w:r>
      <w:r>
        <w:rPr>
          <w:rFonts w:ascii="Times New Roman" w:hAnsi="Times New Roman" w:cs="Times New Roman"/>
          <w:noProof/>
          <w:sz w:val="24"/>
          <w:szCs w:val="24"/>
          <w:lang w:val="bg-BG"/>
        </w:rPr>
        <w:t>ифицира, отчасти благодарение на новото финансово подпомагане от ЕС за дейностите им. Неотдавна AdCo-CPR организира няколко съвместни инициативи във връзка с надзора на пазара и допринесе ефективно за разработването на системата ICSMS</w:t>
      </w:r>
      <w:r>
        <w:rPr>
          <w:rFonts w:ascii="Times New Roman" w:hAnsi="Times New Roman" w:cs="Times New Roman"/>
          <w:noProof/>
          <w:sz w:val="24"/>
          <w:szCs w:val="24"/>
          <w:vertAlign w:val="superscript"/>
          <w:lang w:val="bg-BG"/>
        </w:rPr>
        <w:footnoteReference w:id="57"/>
      </w:r>
      <w:r>
        <w:rPr>
          <w:rFonts w:ascii="Times New Roman" w:hAnsi="Times New Roman" w:cs="Times New Roman"/>
          <w:noProof/>
          <w:sz w:val="24"/>
          <w:szCs w:val="24"/>
          <w:lang w:val="bg-BG"/>
        </w:rPr>
        <w:t xml:space="preserve"> с цел по-добро обслу</w:t>
      </w:r>
      <w:r>
        <w:rPr>
          <w:rFonts w:ascii="Times New Roman" w:hAnsi="Times New Roman" w:cs="Times New Roman"/>
          <w:noProof/>
          <w:sz w:val="24"/>
          <w:szCs w:val="24"/>
          <w:lang w:val="bg-BG"/>
        </w:rPr>
        <w:t>жване на потребностите на строителния сектор. Системата RAPEX, създадена съгласно Директива 2001/95/ЕС относно общата безопасност на продуктите, се използва и за строителните продукти с оглед да се гарантира безопасността при тяхната употреба.</w:t>
      </w:r>
    </w:p>
    <w:p w:rsidR="00CC6095" w:rsidRDefault="00F051A1">
      <w:pPr>
        <w:pStyle w:val="ListParagraph"/>
        <w:autoSpaceDE w:val="0"/>
        <w:autoSpaceDN w:val="0"/>
        <w:adjustRightInd w:val="0"/>
        <w:spacing w:after="120"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Други текущи</w:t>
      </w:r>
      <w:r>
        <w:rPr>
          <w:rFonts w:ascii="Times New Roman" w:hAnsi="Times New Roman" w:cs="Times New Roman"/>
          <w:noProof/>
          <w:sz w:val="24"/>
          <w:szCs w:val="24"/>
          <w:lang w:val="bg-BG"/>
        </w:rPr>
        <w:t xml:space="preserve"> новости в AdCo-CPR включват разработването на секторен подход към оценката на риска за строителни продукти. Освен това държавите членки вземат мерки за преодоляване на съществуващите предизвикателства при прилагането на членове 56—58 от РСП, които мерки с</w:t>
      </w:r>
      <w:r>
        <w:rPr>
          <w:rFonts w:ascii="Times New Roman" w:hAnsi="Times New Roman" w:cs="Times New Roman"/>
          <w:noProof/>
          <w:sz w:val="24"/>
          <w:szCs w:val="24"/>
          <w:lang w:val="bg-BG"/>
        </w:rPr>
        <w:t>а насочени към рационализиране на съответните процедури</w:t>
      </w:r>
      <w:r>
        <w:rPr>
          <w:rStyle w:val="FootnoteReference"/>
          <w:rFonts w:ascii="Times New Roman" w:eastAsia="Calibri" w:hAnsi="Times New Roman" w:cs="Times New Roman"/>
          <w:noProof/>
          <w:sz w:val="24"/>
          <w:szCs w:val="24"/>
          <w:lang w:val="bg-BG"/>
        </w:rPr>
        <w:footnoteReference w:id="58"/>
      </w:r>
      <w:r>
        <w:rPr>
          <w:rFonts w:ascii="Times New Roman" w:hAnsi="Times New Roman" w:cs="Times New Roman"/>
          <w:noProof/>
          <w:sz w:val="24"/>
          <w:szCs w:val="24"/>
          <w:lang w:val="bg-BG"/>
        </w:rPr>
        <w:t>. Тези новости са особено полезни за бъдещите решения относно подобряването на надзора на пазара в държавите членки.</w:t>
      </w:r>
    </w:p>
    <w:p w:rsidR="00CC6095" w:rsidRDefault="00CC6095">
      <w:pPr>
        <w:autoSpaceDE w:val="0"/>
        <w:autoSpaceDN w:val="0"/>
        <w:adjustRightInd w:val="0"/>
        <w:spacing w:after="120" w:line="240" w:lineRule="auto"/>
        <w:jc w:val="both"/>
        <w:rPr>
          <w:rFonts w:ascii="Times New Roman" w:hAnsi="Times New Roman" w:cs="Times New Roman"/>
          <w:smallCaps/>
          <w:noProof/>
          <w:sz w:val="24"/>
          <w:szCs w:val="24"/>
          <w:lang w:val="bg-BG"/>
        </w:rPr>
      </w:pPr>
    </w:p>
    <w:p w:rsidR="00CC6095" w:rsidRDefault="00F051A1">
      <w:pPr>
        <w:pStyle w:val="ListParagraph"/>
        <w:numPr>
          <w:ilvl w:val="0"/>
          <w:numId w:val="6"/>
        </w:numPr>
        <w:tabs>
          <w:tab w:val="left" w:leader="dot" w:pos="7513"/>
          <w:tab w:val="left" w:pos="7797"/>
        </w:tabs>
        <w:spacing w:after="120" w:line="240" w:lineRule="auto"/>
        <w:jc w:val="both"/>
        <w:rPr>
          <w:rFonts w:ascii="Times New Roman" w:hAnsi="Times New Roman" w:cs="Times New Roman"/>
          <w:b/>
          <w:smallCaps/>
          <w:noProof/>
          <w:sz w:val="24"/>
          <w:szCs w:val="24"/>
          <w:lang w:val="bg-BG"/>
        </w:rPr>
      </w:pPr>
      <w:bookmarkStart w:id="1" w:name="_GoBack"/>
      <w:bookmarkEnd w:id="1"/>
      <w:r>
        <w:rPr>
          <w:rFonts w:ascii="Times New Roman" w:hAnsi="Times New Roman" w:cs="Times New Roman"/>
          <w:b/>
          <w:smallCaps/>
          <w:noProof/>
          <w:sz w:val="24"/>
          <w:szCs w:val="24"/>
          <w:lang w:val="bg-BG"/>
        </w:rPr>
        <w:t>Заключения, препоръки и по-нататъшни действия</w:t>
      </w:r>
    </w:p>
    <w:p w:rsidR="00CC6095" w:rsidRDefault="00CC6095">
      <w:pPr>
        <w:pStyle w:val="ListParagraph"/>
        <w:spacing w:after="120" w:line="240" w:lineRule="auto"/>
        <w:ind w:left="360"/>
        <w:jc w:val="both"/>
        <w:rPr>
          <w:rFonts w:ascii="Times New Roman" w:hAnsi="Times New Roman" w:cs="Times New Roman"/>
          <w:smallCaps/>
          <w:noProof/>
          <w:sz w:val="24"/>
          <w:szCs w:val="24"/>
          <w:lang w:val="bg-BG"/>
        </w:rPr>
      </w:pP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РСП се прилага сравнително </w:t>
      </w:r>
      <w:r>
        <w:rPr>
          <w:rFonts w:ascii="Times New Roman" w:hAnsi="Times New Roman" w:cs="Times New Roman"/>
          <w:noProof/>
          <w:sz w:val="24"/>
          <w:szCs w:val="24"/>
          <w:lang w:val="bg-BG"/>
        </w:rPr>
        <w:t>отскоро, поради което все още не са постигнати всички цели, към които е насочен регламентът. Голяма част от докладваните по-горе предизвикателства са свързани с трудности по прилагането и забавяния в адаптацията на заинтересованите страни. Преди да се напр</w:t>
      </w:r>
      <w:r>
        <w:rPr>
          <w:rFonts w:ascii="Times New Roman" w:hAnsi="Times New Roman" w:cs="Times New Roman"/>
          <w:noProof/>
          <w:sz w:val="24"/>
          <w:szCs w:val="24"/>
          <w:lang w:val="bg-BG"/>
        </w:rPr>
        <w:t>авят окончателни изводи относно ефективността на законодателството, е необходимо да се подобри неговото прилагане, особено на национално равнище (например за уеднаквяване на тълкуването и за премахване на пречките пред свободното движение), а също така и о</w:t>
      </w:r>
      <w:r>
        <w:rPr>
          <w:rFonts w:ascii="Times New Roman" w:hAnsi="Times New Roman" w:cs="Times New Roman"/>
          <w:noProof/>
          <w:sz w:val="24"/>
          <w:szCs w:val="24"/>
          <w:lang w:val="bg-BG"/>
        </w:rPr>
        <w:t>т други участници като СEN и ЕОТО. По тази причина Комисията не счита за целесъобразно да предлага изменения на РСП на този етап.</w:t>
      </w: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Независимо от това Комисията вижда ясна потребност от продължаване на диалога с държавите членки и с други заинтересовани стра</w:t>
      </w:r>
      <w:r>
        <w:rPr>
          <w:rFonts w:ascii="Times New Roman" w:hAnsi="Times New Roman" w:cs="Times New Roman"/>
          <w:noProof/>
          <w:sz w:val="24"/>
          <w:szCs w:val="24"/>
          <w:lang w:val="bg-BG"/>
        </w:rPr>
        <w:t>ни, внимателно наблюдение на ситуацията и прилагане на съществуващите правила.</w:t>
      </w: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Надграждането върху вече положените усилия по отношение на изясняването с оглед по-нататъшно подпомагане на адекватното и еднообразното прилагане на РСП, както и акцентирането в</w:t>
      </w:r>
      <w:r>
        <w:rPr>
          <w:rFonts w:ascii="Times New Roman" w:hAnsi="Times New Roman"/>
          <w:noProof/>
          <w:sz w:val="24"/>
          <w:szCs w:val="24"/>
          <w:lang w:val="bg-BG"/>
        </w:rPr>
        <w:t>ърху областите, посочени в настоящия доклад, би могло по-специално да включва разработване на допълнителни тълкувателни материали и насоки, както и комуникационни и информационни дейности</w:t>
      </w:r>
      <w:r>
        <w:rPr>
          <w:rFonts w:ascii="Times New Roman" w:hAnsi="Times New Roman" w:cs="Times New Roman"/>
          <w:noProof/>
          <w:sz w:val="24"/>
          <w:szCs w:val="24"/>
          <w:lang w:val="bg-BG"/>
        </w:rPr>
        <w:t>.</w:t>
      </w:r>
    </w:p>
    <w:p w:rsidR="00CC6095" w:rsidRDefault="00F051A1">
      <w:pPr>
        <w:spacing w:after="120" w:line="240" w:lineRule="auto"/>
        <w:jc w:val="both"/>
        <w:rPr>
          <w:rFonts w:ascii="Times New Roman" w:hAnsi="Times New Roman"/>
          <w:noProof/>
          <w:sz w:val="24"/>
          <w:szCs w:val="24"/>
          <w:lang w:val="bg-BG"/>
        </w:rPr>
      </w:pPr>
      <w:r>
        <w:rPr>
          <w:rFonts w:ascii="Times New Roman" w:hAnsi="Times New Roman"/>
          <w:noProof/>
          <w:sz w:val="24"/>
          <w:szCs w:val="24"/>
          <w:lang w:val="bg-BG"/>
        </w:rPr>
        <w:t>Процесът на стандартизация може да се ускори и да се рационализира,</w:t>
      </w:r>
      <w:r>
        <w:rPr>
          <w:rFonts w:ascii="Times New Roman" w:hAnsi="Times New Roman"/>
          <w:noProof/>
          <w:sz w:val="24"/>
          <w:szCs w:val="24"/>
          <w:lang w:val="bg-BG"/>
        </w:rPr>
        <w:t xml:space="preserve"> а стандартите да отговарят по-адекватно на потребностите на ползвателите, ако СEN, държавите членки, отрасълът и Комисията си сътрудничат тясно и ефективно.</w:t>
      </w:r>
    </w:p>
    <w:p w:rsidR="00CC6095" w:rsidRDefault="00F051A1">
      <w:pPr>
        <w:spacing w:after="120" w:line="240" w:lineRule="auto"/>
        <w:jc w:val="both"/>
        <w:rPr>
          <w:rFonts w:ascii="Times New Roman" w:hAnsi="Times New Roman"/>
          <w:noProof/>
          <w:sz w:val="24"/>
          <w:szCs w:val="24"/>
          <w:lang w:val="bg-BG"/>
        </w:rPr>
      </w:pPr>
      <w:r>
        <w:rPr>
          <w:rFonts w:ascii="Times New Roman" w:hAnsi="Times New Roman"/>
          <w:noProof/>
          <w:sz w:val="24"/>
          <w:szCs w:val="24"/>
          <w:lang w:val="bg-BG"/>
        </w:rPr>
        <w:t>По отношение на ЕОТО процедурните правила, установени в приложение II към РСП, биха могли да се ра</w:t>
      </w:r>
      <w:r>
        <w:rPr>
          <w:rFonts w:ascii="Times New Roman" w:hAnsi="Times New Roman"/>
          <w:noProof/>
          <w:sz w:val="24"/>
          <w:szCs w:val="24"/>
          <w:lang w:val="bg-BG"/>
        </w:rPr>
        <w:t>ционализират чрез делегиран акт с цел по-бързо и прозрачно изготвяне на ЕДО.</w:t>
      </w: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този етап Комисията вижда необходимост от допълнително изясняване на някои разпоредби от РСП в помощ на еднаквото прилагане, по-специално на следните разпоредби:</w:t>
      </w:r>
    </w:p>
    <w:p w:rsidR="00CC6095" w:rsidRDefault="00F051A1">
      <w:pPr>
        <w:spacing w:after="120" w:line="240" w:lineRule="auto"/>
        <w:ind w:left="426"/>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 5 относ</w:t>
      </w:r>
      <w:r>
        <w:rPr>
          <w:rFonts w:ascii="Times New Roman" w:hAnsi="Times New Roman" w:cs="Times New Roman"/>
          <w:noProof/>
          <w:sz w:val="24"/>
          <w:szCs w:val="24"/>
          <w:lang w:val="bg-BG"/>
        </w:rPr>
        <w:t>но дерогациите от задължението за съставяне на ДЕП;</w:t>
      </w:r>
    </w:p>
    <w:p w:rsidR="00CC6095" w:rsidRDefault="00F051A1">
      <w:pPr>
        <w:spacing w:after="120" w:line="240" w:lineRule="auto"/>
        <w:ind w:left="426"/>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 6 относно съдържанието на ДЕП;</w:t>
      </w:r>
    </w:p>
    <w:p w:rsidR="00CC6095" w:rsidRDefault="00F051A1">
      <w:pPr>
        <w:spacing w:after="120" w:line="240" w:lineRule="auto"/>
        <w:ind w:left="426"/>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 9, параграф 2 относно данните, посочвани след маркировката „СЕ“;</w:t>
      </w:r>
    </w:p>
    <w:p w:rsidR="00CC6095" w:rsidRDefault="00F051A1">
      <w:pPr>
        <w:spacing w:after="120" w:line="240" w:lineRule="auto"/>
        <w:ind w:left="426"/>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 37 относно опростените процедури за микропредприятия;</w:t>
      </w:r>
    </w:p>
    <w:p w:rsidR="00CC6095" w:rsidRDefault="00F051A1">
      <w:pPr>
        <w:spacing w:after="120" w:line="240" w:lineRule="auto"/>
        <w:ind w:left="720" w:hanging="294"/>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 38 относно опростените про</w:t>
      </w:r>
      <w:r>
        <w:rPr>
          <w:rFonts w:ascii="Times New Roman" w:hAnsi="Times New Roman" w:cs="Times New Roman"/>
          <w:noProof/>
          <w:sz w:val="24"/>
          <w:szCs w:val="24"/>
          <w:lang w:val="bg-BG"/>
        </w:rPr>
        <w:t>цедури за продукти, които са произведени индивидуално или по желанието на клиент;</w:t>
      </w:r>
    </w:p>
    <w:p w:rsidR="00CC6095" w:rsidRDefault="00F051A1">
      <w:pPr>
        <w:spacing w:after="120" w:line="240" w:lineRule="auto"/>
        <w:ind w:left="426"/>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w:t>
      </w:r>
      <w:r>
        <w:rPr>
          <w:rFonts w:ascii="Times New Roman" w:hAnsi="Times New Roman" w:cs="Times New Roman"/>
          <w:noProof/>
          <w:sz w:val="24"/>
          <w:szCs w:val="24"/>
          <w:lang w:val="bg-BG"/>
        </w:rPr>
        <w:tab/>
        <w:t>членове 56—58 относно процедурите за надзор на пазара.</w:t>
      </w: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Комисията възнамерява да продължи да следи внимателно прилагането на регламента, за да набелязва евентуални други </w:t>
      </w:r>
      <w:r>
        <w:rPr>
          <w:rFonts w:ascii="Times New Roman" w:hAnsi="Times New Roman" w:cs="Times New Roman"/>
          <w:noProof/>
          <w:sz w:val="24"/>
          <w:szCs w:val="24"/>
          <w:lang w:val="bg-BG"/>
        </w:rPr>
        <w:t>проблеми, които все още не могат да бъдат решени на равнището на тълкуване.</w:t>
      </w:r>
    </w:p>
    <w:p w:rsidR="00CC6095" w:rsidRDefault="00F051A1">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ще се включи в по-нататъшния диалог със съответните заинтересовани страни по проблемите, констатирани чрез техническите платформи, който ще се състои преди края на 2016 г</w:t>
      </w:r>
      <w:r>
        <w:rPr>
          <w:rFonts w:ascii="Times New Roman" w:hAnsi="Times New Roman" w:cs="Times New Roman"/>
          <w:noProof/>
          <w:sz w:val="24"/>
          <w:szCs w:val="24"/>
          <w:lang w:val="bg-BG"/>
        </w:rPr>
        <w:t>. Когато може да се счита, че прилагането на РСП е достигнало по-зрял етап, и като вземе предвид резултатите от този диалог и от предстоящите проучвания, секторни оценки и доклади в тази връзка</w:t>
      </w:r>
      <w:r>
        <w:rPr>
          <w:rFonts w:ascii="Times New Roman" w:hAnsi="Times New Roman" w:cs="Times New Roman"/>
          <w:noProof/>
          <w:sz w:val="24"/>
          <w:szCs w:val="24"/>
          <w:vertAlign w:val="superscript"/>
          <w:lang w:val="bg-BG"/>
        </w:rPr>
        <w:footnoteReference w:id="59"/>
      </w:r>
      <w:r>
        <w:rPr>
          <w:rFonts w:ascii="Times New Roman" w:hAnsi="Times New Roman" w:cs="Times New Roman"/>
          <w:noProof/>
          <w:sz w:val="24"/>
          <w:szCs w:val="24"/>
          <w:lang w:val="bg-BG"/>
        </w:rPr>
        <w:t>, Комисията ще извърши преглед на ефективността на РСП.</w:t>
      </w:r>
    </w:p>
    <w:sectPr w:rsidR="00CC609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95" w:rsidRDefault="00F051A1">
      <w:pPr>
        <w:spacing w:after="0" w:line="240" w:lineRule="auto"/>
      </w:pPr>
      <w:r>
        <w:separator/>
      </w:r>
    </w:p>
  </w:endnote>
  <w:endnote w:type="continuationSeparator" w:id="0">
    <w:p w:rsidR="00CC6095" w:rsidRDefault="00F051A1">
      <w:pPr>
        <w:spacing w:after="0" w:line="240" w:lineRule="auto"/>
      </w:pPr>
      <w:r>
        <w:continuationSeparator/>
      </w:r>
    </w:p>
  </w:endnote>
  <w:endnote w:type="continuationNotice" w:id="1">
    <w:p w:rsidR="00CC6095" w:rsidRDefault="00CC6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1" w:rsidRDefault="00F05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5" w:rsidRDefault="00F051A1">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1" w:rsidRDefault="00F051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5" w:rsidRDefault="00CC60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9547"/>
      <w:docPartObj>
        <w:docPartGallery w:val="Page Numbers (Bottom of Page)"/>
        <w:docPartUnique/>
      </w:docPartObj>
    </w:sdtPr>
    <w:sdtEndPr>
      <w:rPr>
        <w:sz w:val="18"/>
        <w:szCs w:val="18"/>
      </w:rPr>
    </w:sdtEndPr>
    <w:sdtContent>
      <w:p w:rsidR="00CC6095" w:rsidRDefault="00F051A1">
        <w:pPr>
          <w:pStyle w:val="Footer"/>
          <w:jc w:val="right"/>
          <w:rPr>
            <w:sz w:val="18"/>
            <w:szCs w:val="18"/>
          </w:rPr>
        </w:pPr>
        <w:r>
          <w:rPr>
            <w:sz w:val="18"/>
            <w:szCs w:val="18"/>
          </w:rPr>
          <w:fldChar w:fldCharType="begin"/>
        </w:r>
        <w:r>
          <w:rPr>
            <w:sz w:val="18"/>
            <w:szCs w:val="18"/>
          </w:rPr>
          <w:instrText xml:space="preserve"> PA</w:instrText>
        </w:r>
        <w:r>
          <w:rPr>
            <w:sz w:val="18"/>
            <w:szCs w:val="18"/>
          </w:rPr>
          <w:instrText xml:space="preserve">GE   \* MERGEFORMAT </w:instrText>
        </w:r>
        <w:r>
          <w:rPr>
            <w:sz w:val="18"/>
            <w:szCs w:val="18"/>
          </w:rPr>
          <w:fldChar w:fldCharType="separate"/>
        </w:r>
        <w:r>
          <w:rPr>
            <w:noProof/>
            <w:sz w:val="18"/>
            <w:szCs w:val="18"/>
          </w:rPr>
          <w:t>6</w:t>
        </w:r>
        <w:r>
          <w:rPr>
            <w:sz w:val="18"/>
            <w:szCs w:val="18"/>
          </w:rPr>
          <w:fldChar w:fldCharType="end"/>
        </w:r>
      </w:p>
    </w:sdtContent>
  </w:sdt>
  <w:p w:rsidR="00CC6095" w:rsidRDefault="00CC60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16138"/>
      <w:docPartObj>
        <w:docPartGallery w:val="Page Numbers (Bottom of Page)"/>
        <w:docPartUnique/>
      </w:docPartObj>
    </w:sdtPr>
    <w:sdtEndPr>
      <w:rPr>
        <w:noProof/>
      </w:rPr>
    </w:sdtEndPr>
    <w:sdtContent>
      <w:p w:rsidR="00CC6095" w:rsidRDefault="00F051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C6095" w:rsidRDefault="00CC6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95" w:rsidRDefault="00F051A1">
      <w:pPr>
        <w:spacing w:after="0" w:line="240" w:lineRule="auto"/>
      </w:pPr>
      <w:r>
        <w:separator/>
      </w:r>
    </w:p>
  </w:footnote>
  <w:footnote w:type="continuationSeparator" w:id="0">
    <w:p w:rsidR="00CC6095" w:rsidRDefault="00F051A1">
      <w:pPr>
        <w:spacing w:after="0" w:line="240" w:lineRule="auto"/>
      </w:pPr>
      <w:r>
        <w:continuationSeparator/>
      </w:r>
    </w:p>
  </w:footnote>
  <w:footnote w:type="continuationNotice" w:id="1">
    <w:p w:rsidR="00CC6095" w:rsidRDefault="00CC6095">
      <w:pPr>
        <w:spacing w:after="0" w:line="240" w:lineRule="auto"/>
      </w:pPr>
    </w:p>
  </w:footnote>
  <w:footnote w:id="2">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w:t>
      </w:r>
      <w:r>
        <w:rPr>
          <w:lang w:val="bg-BG"/>
        </w:rPr>
        <w:t>Директива 89/106/ЕИО на Съвета (ОВ L 88, 4.4.2011 г., стр. 5).</w:t>
      </w:r>
    </w:p>
  </w:footnote>
  <w:footnote w:id="3">
    <w:p w:rsidR="00CC6095" w:rsidRDefault="00F051A1">
      <w:pPr>
        <w:pStyle w:val="FootnoteText"/>
        <w:ind w:left="284" w:hanging="284"/>
        <w:rPr>
          <w:lang w:val="bg-BG"/>
        </w:rPr>
      </w:pPr>
      <w:r>
        <w:rPr>
          <w:rStyle w:val="FootnoteReference"/>
          <w:lang w:val="bg-BG"/>
        </w:rPr>
        <w:footnoteRef/>
      </w:r>
      <w:r>
        <w:rPr>
          <w:lang w:val="bg-BG"/>
        </w:rPr>
        <w:t xml:space="preserve"> </w:t>
      </w:r>
      <w:r>
        <w:rPr>
          <w:lang w:val="bg-BG"/>
        </w:rPr>
        <w:tab/>
        <w:t>http://bookshop.europa.eu/en/analysis-of-the-implementation-of-the-construction-products-regulation-pbET0415686/, http://bookshop.europa.eu/en/analysis-of-the-implementation-of-the-construct</w:t>
      </w:r>
      <w:r>
        <w:rPr>
          <w:lang w:val="bg-BG"/>
        </w:rPr>
        <w:t>ion-products-regulation-pbET0415688/, http://bookshop.europa.eu/en/analysis-of-the-implementation-of-the-construction-products-regulation-pbET0115716/</w:t>
      </w:r>
      <w:r>
        <w:rPr>
          <w:rStyle w:val="Hyperlink"/>
          <w:u w:val="none"/>
          <w:lang w:val="bg-BG"/>
        </w:rPr>
        <w:t>.</w:t>
      </w:r>
    </w:p>
  </w:footnote>
  <w:footnote w:id="4">
    <w:p w:rsidR="00CC6095" w:rsidRDefault="00F051A1">
      <w:pPr>
        <w:pStyle w:val="FootnoteText"/>
        <w:ind w:left="284" w:hanging="284"/>
        <w:rPr>
          <w:lang w:val="bg-BG"/>
        </w:rPr>
      </w:pPr>
      <w:r>
        <w:rPr>
          <w:rStyle w:val="FootnoteReference"/>
          <w:lang w:val="bg-BG"/>
        </w:rPr>
        <w:footnoteRef/>
      </w:r>
      <w:r>
        <w:rPr>
          <w:lang w:val="bg-BG"/>
        </w:rPr>
        <w:t xml:space="preserve"> </w:t>
      </w:r>
      <w:r>
        <w:rPr>
          <w:lang w:val="bg-BG"/>
        </w:rPr>
        <w:tab/>
        <w:t>COM(2014) 511, 7.8.2014 г., изискван съгласно член 67, параграф 1.</w:t>
      </w:r>
    </w:p>
  </w:footnote>
  <w:footnote w:id="5">
    <w:p w:rsidR="00CC6095" w:rsidRDefault="00F051A1">
      <w:pPr>
        <w:pStyle w:val="FootnoteText"/>
        <w:ind w:left="284" w:hanging="284"/>
        <w:rPr>
          <w:lang w:val="bg-BG"/>
        </w:rPr>
      </w:pPr>
      <w:r>
        <w:rPr>
          <w:rStyle w:val="FootnoteReference"/>
          <w:lang w:val="bg-BG"/>
        </w:rPr>
        <w:footnoteRef/>
      </w:r>
      <w:r>
        <w:rPr>
          <w:lang w:val="bg-BG"/>
        </w:rPr>
        <w:t xml:space="preserve"> </w:t>
      </w:r>
      <w:r>
        <w:rPr>
          <w:lang w:val="bg-BG"/>
        </w:rPr>
        <w:tab/>
        <w:t>COM(2015) 449, 16.9.2015 г., из</w:t>
      </w:r>
      <w:r>
        <w:rPr>
          <w:lang w:val="bg-BG"/>
        </w:rPr>
        <w:t>искван съгласно член 61, параграф 1.</w:t>
      </w:r>
    </w:p>
  </w:footnote>
  <w:footnote w:id="6">
    <w:p w:rsidR="00CC6095" w:rsidRDefault="00F051A1">
      <w:pPr>
        <w:pStyle w:val="FootnoteText"/>
        <w:ind w:left="284" w:hanging="284"/>
        <w:rPr>
          <w:lang w:val="bg-BG"/>
        </w:rPr>
      </w:pPr>
      <w:r>
        <w:rPr>
          <w:rStyle w:val="FootnoteReference"/>
          <w:lang w:val="bg-BG"/>
        </w:rPr>
        <w:footnoteRef/>
      </w:r>
      <w:r>
        <w:rPr>
          <w:lang w:val="bg-BG"/>
        </w:rPr>
        <w:t xml:space="preserve"> </w:t>
      </w:r>
      <w:r>
        <w:rPr>
          <w:lang w:val="bg-BG"/>
        </w:rPr>
        <w:tab/>
        <w:t>В съответствие с изискването в член 34, параграф 2 от РСП.</w:t>
      </w:r>
    </w:p>
  </w:footnote>
  <w:footnote w:id="7">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Във връзка с това РСП е включен в постоянната програма на Европейската комисия за актуализация и опростяване на достиженията на европейското право, а през</w:t>
      </w:r>
      <w:r>
        <w:rPr>
          <w:lang w:val="bg-BG"/>
        </w:rPr>
        <w:t xml:space="preserve"> 2014 г. беше заложен в програмата </w:t>
      </w:r>
      <w:r>
        <w:rPr>
          <w:lang w:val="en-US"/>
        </w:rPr>
        <w:t>REFIT</w:t>
      </w:r>
      <w:r>
        <w:rPr>
          <w:lang w:val="bg-BG"/>
        </w:rPr>
        <w:t xml:space="preserve"> (Програмата за пригодност и резултатност на регулаторната рамка).</w:t>
      </w:r>
    </w:p>
  </w:footnote>
  <w:footnote w:id="8">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r>
      <w:r>
        <w:t>http</w:t>
      </w:r>
      <w:r>
        <w:rPr>
          <w:lang w:val="bg-BG"/>
        </w:rPr>
        <w:t>://</w:t>
      </w:r>
      <w:r>
        <w:t>ec</w:t>
      </w:r>
      <w:r>
        <w:rPr>
          <w:lang w:val="bg-BG"/>
        </w:rPr>
        <w:t>.</w:t>
      </w:r>
      <w:r>
        <w:t>europa</w:t>
      </w:r>
      <w:r>
        <w:rPr>
          <w:lang w:val="bg-BG"/>
        </w:rPr>
        <w:t>.</w:t>
      </w:r>
      <w:r>
        <w:t>eu</w:t>
      </w:r>
      <w:r>
        <w:rPr>
          <w:lang w:val="bg-BG"/>
        </w:rPr>
        <w:t>/</w:t>
      </w:r>
      <w:r>
        <w:t>europe</w:t>
      </w:r>
      <w:r>
        <w:rPr>
          <w:lang w:val="bg-BG"/>
        </w:rPr>
        <w:t>2020/</w:t>
      </w:r>
      <w:r>
        <w:t>index</w:t>
      </w:r>
      <w:r>
        <w:rPr>
          <w:lang w:val="bg-BG"/>
        </w:rPr>
        <w:t>_</w:t>
      </w:r>
      <w:r>
        <w:t>bg</w:t>
      </w:r>
      <w:r>
        <w:rPr>
          <w:lang w:val="bg-BG"/>
        </w:rPr>
        <w:t>.</w:t>
      </w:r>
      <w:r>
        <w:t>htm</w:t>
      </w:r>
      <w:r>
        <w:rPr>
          <w:lang w:val="bg-BG"/>
        </w:rPr>
        <w:t>.</w:t>
      </w:r>
    </w:p>
  </w:footnote>
  <w:footnote w:id="9">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Съобщение на Комисията до Европейския парламент и до Съвета „Стратегия за устойчивата </w:t>
      </w:r>
      <w:r>
        <w:rPr>
          <w:lang w:val="bg-BG"/>
        </w:rPr>
        <w:t>конкурентоспособност на строителния сектор и предприятията от него“ (</w:t>
      </w:r>
      <w:r>
        <w:t>COM</w:t>
      </w:r>
      <w:r>
        <w:rPr>
          <w:lang w:val="bg-BG"/>
        </w:rPr>
        <w:t>(2012) 433, 31.7.2012 г.).</w:t>
      </w:r>
    </w:p>
  </w:footnote>
  <w:footnote w:id="10">
    <w:p w:rsidR="00CC6095" w:rsidRDefault="00F051A1">
      <w:pPr>
        <w:pStyle w:val="FootnoteText"/>
        <w:ind w:left="284" w:hanging="284"/>
        <w:rPr>
          <w:lang w:val="bg-BG"/>
        </w:rPr>
      </w:pPr>
      <w:r>
        <w:rPr>
          <w:rStyle w:val="FootnoteReference"/>
        </w:rPr>
        <w:footnoteRef/>
      </w:r>
      <w:r>
        <w:rPr>
          <w:lang w:val="bg-BG"/>
        </w:rPr>
        <w:t xml:space="preserve"> </w:t>
      </w:r>
      <w:r>
        <w:rPr>
          <w:lang w:val="bg-BG"/>
        </w:rPr>
        <w:tab/>
        <w:t xml:space="preserve">Посочени в приложение </w:t>
      </w:r>
      <w:r>
        <w:rPr>
          <w:lang w:val="en-US"/>
        </w:rPr>
        <w:t>I</w:t>
      </w:r>
      <w:r>
        <w:rPr>
          <w:lang w:val="bg-BG"/>
        </w:rPr>
        <w:t xml:space="preserve"> към РСП.</w:t>
      </w:r>
    </w:p>
  </w:footnote>
  <w:footnote w:id="11">
    <w:p w:rsidR="00CC6095" w:rsidRDefault="00F051A1">
      <w:pPr>
        <w:pStyle w:val="FootnoteText"/>
        <w:ind w:left="284" w:hanging="284"/>
        <w:rPr>
          <w:lang w:val="bg-BG"/>
        </w:rPr>
      </w:pPr>
      <w:r>
        <w:rPr>
          <w:rStyle w:val="FootnoteReference"/>
        </w:rPr>
        <w:footnoteRef/>
      </w:r>
      <w:r>
        <w:rPr>
          <w:lang w:val="bg-BG"/>
        </w:rPr>
        <w:t xml:space="preserve"> </w:t>
      </w:r>
      <w:r>
        <w:rPr>
          <w:lang w:val="bg-BG"/>
        </w:rPr>
        <w:tab/>
        <w:t>Съгласно определението в член 2, параграф 1 от РСП.</w:t>
      </w:r>
    </w:p>
  </w:footnote>
  <w:footnote w:id="12">
    <w:p w:rsidR="00CC6095" w:rsidRDefault="00F051A1">
      <w:pPr>
        <w:pStyle w:val="FootnoteText"/>
        <w:ind w:left="284" w:hanging="284"/>
        <w:rPr>
          <w:lang w:val="bg-BG"/>
        </w:rPr>
      </w:pPr>
      <w:r>
        <w:rPr>
          <w:rStyle w:val="FootnoteReference"/>
        </w:rPr>
        <w:footnoteRef/>
      </w:r>
      <w:r>
        <w:rPr>
          <w:lang w:val="bg-BG"/>
        </w:rPr>
        <w:t xml:space="preserve"> </w:t>
      </w:r>
      <w:r>
        <w:rPr>
          <w:lang w:val="bg-BG"/>
        </w:rPr>
        <w:tab/>
        <w:t xml:space="preserve">Решение на Съвета от 7 май 1985 г. (ОВ </w:t>
      </w:r>
      <w:r>
        <w:t>C</w:t>
      </w:r>
      <w:r>
        <w:rPr>
          <w:lang w:val="bg-BG"/>
        </w:rPr>
        <w:t xml:space="preserve"> 136, 4.8.1985 г.).</w:t>
      </w:r>
    </w:p>
  </w:footnote>
  <w:footnote w:id="13">
    <w:p w:rsidR="00CC6095" w:rsidRDefault="00F051A1">
      <w:pPr>
        <w:pStyle w:val="FootnoteText"/>
        <w:ind w:left="284" w:hanging="284"/>
        <w:rPr>
          <w:lang w:val="bg-BG"/>
        </w:rPr>
      </w:pPr>
      <w:r>
        <w:rPr>
          <w:rStyle w:val="FootnoteReference"/>
        </w:rPr>
        <w:footnoteRef/>
      </w:r>
      <w:r>
        <w:rPr>
          <w:lang w:val="bg-BG"/>
        </w:rPr>
        <w:t xml:space="preserve"> </w:t>
      </w:r>
      <w:r>
        <w:rPr>
          <w:lang w:val="bg-BG"/>
        </w:rPr>
        <w:tab/>
      </w:r>
      <w:r>
        <w:rPr>
          <w:lang w:val="bg-BG"/>
        </w:rPr>
        <w:t xml:space="preserve">ОВ </w:t>
      </w:r>
      <w:r>
        <w:t>L</w:t>
      </w:r>
      <w:r>
        <w:rPr>
          <w:lang w:val="bg-BG"/>
        </w:rPr>
        <w:t xml:space="preserve"> 218, 13.8.2008 г., стр. 82.</w:t>
      </w:r>
    </w:p>
  </w:footnote>
  <w:footnote w:id="14">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Конференция през юни 2012 г., видеофилм през 2014 г. и брошура през 2015 г. („Маркировката „СЕ“ за строителни продукти — стъпка по стъпка“, </w:t>
      </w:r>
      <w:r>
        <w:t>http</w:t>
      </w:r>
      <w:r>
        <w:rPr>
          <w:lang w:val="bg-BG"/>
        </w:rPr>
        <w:t>://</w:t>
      </w:r>
      <w:r>
        <w:t>ec</w:t>
      </w:r>
      <w:r>
        <w:rPr>
          <w:lang w:val="bg-BG"/>
        </w:rPr>
        <w:t>.</w:t>
      </w:r>
      <w:r>
        <w:t>europa</w:t>
      </w:r>
      <w:r>
        <w:rPr>
          <w:lang w:val="bg-BG"/>
        </w:rPr>
        <w:t>.</w:t>
      </w:r>
      <w:r>
        <w:t>eu</w:t>
      </w:r>
      <w:r>
        <w:rPr>
          <w:lang w:val="bg-BG"/>
        </w:rPr>
        <w:t>/</w:t>
      </w:r>
      <w:r>
        <w:t>DocsRoom</w:t>
      </w:r>
      <w:r>
        <w:rPr>
          <w:lang w:val="bg-BG"/>
        </w:rPr>
        <w:t>/</w:t>
      </w:r>
      <w:r>
        <w:t>documents</w:t>
      </w:r>
      <w:r>
        <w:rPr>
          <w:lang w:val="bg-BG"/>
        </w:rPr>
        <w:t>?</w:t>
      </w:r>
      <w:r>
        <w:t>tags</w:t>
      </w:r>
      <w:r>
        <w:rPr>
          <w:lang w:val="bg-BG"/>
        </w:rPr>
        <w:t>=</w:t>
      </w:r>
      <w:r>
        <w:t>ce</w:t>
      </w:r>
      <w:r>
        <w:rPr>
          <w:lang w:val="bg-BG"/>
        </w:rPr>
        <w:t>-</w:t>
      </w:r>
      <w:r>
        <w:t>guide</w:t>
      </w:r>
      <w:r>
        <w:rPr>
          <w:lang w:val="bg-BG"/>
        </w:rPr>
        <w:t>).</w:t>
      </w:r>
    </w:p>
  </w:footnote>
  <w:footnote w:id="15">
    <w:p w:rsidR="00CC6095" w:rsidRDefault="00F051A1">
      <w:pPr>
        <w:pStyle w:val="FootnoteText"/>
        <w:ind w:left="284" w:hanging="284"/>
        <w:rPr>
          <w:lang w:val="bg-BG"/>
        </w:rPr>
      </w:pPr>
      <w:r>
        <w:rPr>
          <w:rStyle w:val="FootnoteReference"/>
        </w:rPr>
        <w:footnoteRef/>
      </w:r>
      <w:r>
        <w:rPr>
          <w:lang w:val="bg-BG"/>
        </w:rPr>
        <w:t xml:space="preserve"> </w:t>
      </w:r>
      <w:r>
        <w:rPr>
          <w:lang w:val="bg-BG"/>
        </w:rPr>
        <w:tab/>
      </w:r>
      <w:r>
        <w:rPr>
          <w:lang w:val="pt-PT"/>
        </w:rPr>
        <w:t>Nando</w:t>
      </w:r>
      <w:r>
        <w:rPr>
          <w:lang w:val="bg-BG"/>
        </w:rPr>
        <w:t xml:space="preserve"> на адрес: </w:t>
      </w:r>
      <w:r>
        <w:rPr>
          <w:lang w:val="pt-PT"/>
        </w:rPr>
        <w:t>http</w:t>
      </w:r>
      <w:r>
        <w:rPr>
          <w:lang w:val="bg-BG"/>
        </w:rPr>
        <w:t>://</w:t>
      </w:r>
      <w:r>
        <w:rPr>
          <w:lang w:val="pt-PT"/>
        </w:rPr>
        <w:t>ec</w:t>
      </w:r>
      <w:r>
        <w:rPr>
          <w:lang w:val="bg-BG"/>
        </w:rPr>
        <w:t>.</w:t>
      </w:r>
      <w:r>
        <w:rPr>
          <w:lang w:val="pt-PT"/>
        </w:rPr>
        <w:t>europa</w:t>
      </w:r>
      <w:r>
        <w:rPr>
          <w:lang w:val="bg-BG"/>
        </w:rPr>
        <w:t>.</w:t>
      </w:r>
      <w:r>
        <w:rPr>
          <w:lang w:val="pt-PT"/>
        </w:rPr>
        <w:t>eu</w:t>
      </w:r>
      <w:r>
        <w:rPr>
          <w:lang w:val="bg-BG"/>
        </w:rPr>
        <w:t>/</w:t>
      </w:r>
      <w:r>
        <w:rPr>
          <w:lang w:val="pt-PT"/>
        </w:rPr>
        <w:t>growth</w:t>
      </w:r>
      <w:r>
        <w:rPr>
          <w:lang w:val="bg-BG"/>
        </w:rPr>
        <w:t>/</w:t>
      </w:r>
      <w:r>
        <w:rPr>
          <w:lang w:val="pt-PT"/>
        </w:rPr>
        <w:t>tools</w:t>
      </w:r>
      <w:r>
        <w:rPr>
          <w:lang w:val="bg-BG"/>
        </w:rPr>
        <w:t>-</w:t>
      </w:r>
      <w:r>
        <w:rPr>
          <w:lang w:val="pt-PT"/>
        </w:rPr>
        <w:t>databases</w:t>
      </w:r>
      <w:r>
        <w:rPr>
          <w:lang w:val="bg-BG"/>
        </w:rPr>
        <w:t>/</w:t>
      </w:r>
      <w:r>
        <w:rPr>
          <w:lang w:val="pt-PT"/>
        </w:rPr>
        <w:t>nando</w:t>
      </w:r>
      <w:r>
        <w:rPr>
          <w:lang w:val="bg-BG"/>
        </w:rPr>
        <w:t>/</w:t>
      </w:r>
      <w:r>
        <w:rPr>
          <w:lang w:val="pt-PT"/>
        </w:rPr>
        <w:t>index</w:t>
      </w:r>
      <w:r>
        <w:rPr>
          <w:lang w:val="bg-BG"/>
        </w:rPr>
        <w:t>.</w:t>
      </w:r>
      <w:r>
        <w:rPr>
          <w:lang w:val="pt-PT"/>
        </w:rPr>
        <w:t>cfm</w:t>
      </w:r>
      <w:r>
        <w:rPr>
          <w:lang w:val="bg-BG"/>
        </w:rPr>
        <w:t>?</w:t>
      </w:r>
      <w:r>
        <w:rPr>
          <w:lang w:val="pt-PT"/>
        </w:rPr>
        <w:t>fuseaction</w:t>
      </w:r>
      <w:r>
        <w:rPr>
          <w:lang w:val="bg-BG"/>
        </w:rPr>
        <w:t>=</w:t>
      </w:r>
      <w:r>
        <w:rPr>
          <w:lang w:val="pt-PT"/>
        </w:rPr>
        <w:t>directive</w:t>
      </w:r>
      <w:r>
        <w:rPr>
          <w:lang w:val="bg-BG"/>
        </w:rPr>
        <w:t>.</w:t>
      </w:r>
      <w:r>
        <w:rPr>
          <w:lang w:val="pt-PT"/>
        </w:rPr>
        <w:t>notifiedbody</w:t>
      </w:r>
      <w:r>
        <w:rPr>
          <w:lang w:val="bg-BG"/>
        </w:rPr>
        <w:t>&amp;</w:t>
      </w:r>
      <w:r>
        <w:rPr>
          <w:lang w:val="pt-PT"/>
        </w:rPr>
        <w:t>dir</w:t>
      </w:r>
      <w:r>
        <w:rPr>
          <w:lang w:val="bg-BG"/>
        </w:rPr>
        <w:t>_</w:t>
      </w:r>
      <w:r>
        <w:rPr>
          <w:lang w:val="pt-PT"/>
        </w:rPr>
        <w:t>id</w:t>
      </w:r>
      <w:r>
        <w:rPr>
          <w:lang w:val="bg-BG"/>
        </w:rPr>
        <w:t>=33</w:t>
      </w:r>
      <w:r>
        <w:rPr>
          <w:rStyle w:val="Hyperlink"/>
          <w:u w:val="none"/>
          <w:lang w:val="bg-BG"/>
        </w:rPr>
        <w:t>.</w:t>
      </w:r>
    </w:p>
  </w:footnote>
  <w:footnote w:id="16">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Съгласно член 4, параграф 1 тази сфера включва продуктите, които са обхванати от хармонизирани стандарти или отговарят на издадени за тях европейски техн</w:t>
      </w:r>
      <w:r>
        <w:rPr>
          <w:lang w:val="bg-BG"/>
        </w:rPr>
        <w:t>ически оценки.</w:t>
      </w:r>
    </w:p>
  </w:footnote>
  <w:footnote w:id="17">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След приемането на Делегиран регламент (ЕС) № 157/2014 на Комисията от 30 октомври 2013 г. относно условията за предоставяне на разположение на уебсайт на декларация за експлоатационни показатели относно строителни продукти, производители</w:t>
      </w:r>
      <w:r>
        <w:rPr>
          <w:lang w:val="bg-BG"/>
        </w:rPr>
        <w:t>те могат да предоставят на разположение ДЕП по електронен път. Данните сочат, че този подход се използва и се възприема положително от отрасъла.</w:t>
      </w:r>
    </w:p>
  </w:footnote>
  <w:footnote w:id="18">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член 4, параграф 2 от РСП.</w:t>
      </w:r>
    </w:p>
  </w:footnote>
  <w:footnote w:id="19">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Маркировки (или по-общо — процедури, създаващи предварителни изисквания къ</w:t>
      </w:r>
      <w:r>
        <w:rPr>
          <w:lang w:val="bg-BG"/>
        </w:rPr>
        <w:t>м производителите) с национална конотация.</w:t>
      </w:r>
    </w:p>
  </w:footnote>
  <w:footnote w:id="20">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Областта на основните изисквания към строежите, които изисквания са посочени в приложение </w:t>
      </w:r>
      <w:r>
        <w:rPr>
          <w:lang w:val="en-US"/>
        </w:rPr>
        <w:t>I</w:t>
      </w:r>
      <w:r>
        <w:rPr>
          <w:lang w:val="bg-BG"/>
        </w:rPr>
        <w:t xml:space="preserve"> към РСП.</w:t>
      </w:r>
    </w:p>
  </w:footnote>
  <w:footnote w:id="21">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r>
      <w:r>
        <w:t>http</w:t>
      </w:r>
      <w:r>
        <w:rPr>
          <w:lang w:val="bg-BG"/>
        </w:rPr>
        <w:t>://</w:t>
      </w:r>
      <w:r>
        <w:t>curia</w:t>
      </w:r>
      <w:r>
        <w:rPr>
          <w:lang w:val="bg-BG"/>
        </w:rPr>
        <w:t>.</w:t>
      </w:r>
      <w:r>
        <w:t>europa</w:t>
      </w:r>
      <w:r>
        <w:rPr>
          <w:lang w:val="bg-BG"/>
        </w:rPr>
        <w:t>.</w:t>
      </w:r>
      <w:r>
        <w:t>eu</w:t>
      </w:r>
      <w:r>
        <w:rPr>
          <w:lang w:val="bg-BG"/>
        </w:rPr>
        <w:t>/</w:t>
      </w:r>
      <w:r>
        <w:t>juris</w:t>
      </w:r>
      <w:r>
        <w:rPr>
          <w:lang w:val="bg-BG"/>
        </w:rPr>
        <w:t>/</w:t>
      </w:r>
      <w:r>
        <w:t>liste</w:t>
      </w:r>
      <w:r>
        <w:rPr>
          <w:lang w:val="bg-BG"/>
        </w:rPr>
        <w:t>.</w:t>
      </w:r>
      <w:r>
        <w:t>jsf</w:t>
      </w:r>
      <w:r>
        <w:rPr>
          <w:lang w:val="bg-BG"/>
        </w:rPr>
        <w:t>?</w:t>
      </w:r>
      <w:r>
        <w:t>td</w:t>
      </w:r>
      <w:r>
        <w:rPr>
          <w:lang w:val="bg-BG"/>
        </w:rPr>
        <w:t>=</w:t>
      </w:r>
      <w:r>
        <w:t>ALL</w:t>
      </w:r>
      <w:r>
        <w:rPr>
          <w:lang w:val="bg-BG"/>
        </w:rPr>
        <w:t>&amp;</w:t>
      </w:r>
      <w:r>
        <w:t>language</w:t>
      </w:r>
      <w:r>
        <w:rPr>
          <w:lang w:val="bg-BG"/>
        </w:rPr>
        <w:t>=</w:t>
      </w:r>
      <w:r>
        <w:t>bg</w:t>
      </w:r>
      <w:r>
        <w:rPr>
          <w:lang w:val="bg-BG"/>
        </w:rPr>
        <w:t>&amp;</w:t>
      </w:r>
      <w:r>
        <w:t>jur</w:t>
      </w:r>
      <w:r>
        <w:rPr>
          <w:lang w:val="bg-BG"/>
        </w:rPr>
        <w:t>=</w:t>
      </w:r>
      <w:r>
        <w:t>C</w:t>
      </w:r>
      <w:r>
        <w:rPr>
          <w:lang w:val="bg-BG"/>
        </w:rPr>
        <w:t>,</w:t>
      </w:r>
      <w:r>
        <w:t>T</w:t>
      </w:r>
      <w:r>
        <w:rPr>
          <w:lang w:val="bg-BG"/>
        </w:rPr>
        <w:t>,</w:t>
      </w:r>
      <w:r>
        <w:t>F</w:t>
      </w:r>
      <w:r>
        <w:rPr>
          <w:lang w:val="bg-BG"/>
        </w:rPr>
        <w:t>&amp;</w:t>
      </w:r>
      <w:r>
        <w:t>num</w:t>
      </w:r>
      <w:r>
        <w:rPr>
          <w:lang w:val="bg-BG"/>
        </w:rPr>
        <w:t>=</w:t>
      </w:r>
      <w:r>
        <w:t>c</w:t>
      </w:r>
      <w:r>
        <w:rPr>
          <w:lang w:val="bg-BG"/>
        </w:rPr>
        <w:t>-100/13</w:t>
      </w:r>
      <w:r>
        <w:t> </w:t>
      </w:r>
      <w:r>
        <w:rPr>
          <w:lang w:val="bg-BG"/>
        </w:rPr>
        <w:t>%23</w:t>
      </w:r>
      <w:r>
        <w:rPr>
          <w:rStyle w:val="Hyperlink"/>
          <w:u w:val="none"/>
          <w:lang w:val="bg-BG"/>
        </w:rPr>
        <w:t>.</w:t>
      </w:r>
    </w:p>
  </w:footnote>
  <w:footnote w:id="22">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По смисъла на </w:t>
      </w:r>
      <w:r>
        <w:rPr>
          <w:lang w:val="bg-BG"/>
        </w:rPr>
        <w:t>точка 62 от решението по дело </w:t>
      </w:r>
      <w:r>
        <w:t>C</w:t>
      </w:r>
      <w:r>
        <w:rPr>
          <w:lang w:val="bg-BG"/>
        </w:rPr>
        <w:t>-100/13.</w:t>
      </w:r>
    </w:p>
  </w:footnote>
  <w:footnote w:id="23">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Решение № 768/2008/ЕО на Европейския парламент и на Съвета от 9 юли 2008 г. относно обща рамка за предлагането на пазара на продукти и за отмяна на Решение 93/465/ЕИО (ОВ </w:t>
      </w:r>
      <w:r>
        <w:t>L</w:t>
      </w:r>
      <w:r>
        <w:rPr>
          <w:lang w:val="bg-BG"/>
        </w:rPr>
        <w:t xml:space="preserve"> 218, 13.8.2008 г., стр. 82).</w:t>
      </w:r>
    </w:p>
  </w:footnote>
  <w:footnote w:id="24">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член</w:t>
      </w:r>
      <w:r>
        <w:rPr>
          <w:lang w:val="bg-BG"/>
        </w:rPr>
        <w:t> 4, параграф 2, член 8, параграф 3, член 8, параграф 6 и член 17, параграф 5.</w:t>
      </w:r>
    </w:p>
  </w:footnote>
  <w:footnote w:id="25">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 xml:space="preserve">Достъпът до хармонизирани стандарти е важен въпрос, както посочва генералният адвокат на Съда на ЕС в своето заключение по дело </w:t>
      </w:r>
      <w:r>
        <w:t>C</w:t>
      </w:r>
      <w:r>
        <w:rPr>
          <w:rFonts w:ascii="MS Gothic" w:eastAsia="MS Gothic" w:hAnsi="MS Gothic" w:cs="MS Gothic" w:hint="eastAsia"/>
          <w:lang w:val="bg-BG"/>
        </w:rPr>
        <w:t>‑</w:t>
      </w:r>
      <w:r>
        <w:rPr>
          <w:lang w:val="bg-BG"/>
        </w:rPr>
        <w:t>613/14 от 28 януари 2016 г. (по-конкретно точ</w:t>
      </w:r>
      <w:r>
        <w:rPr>
          <w:lang w:val="bg-BG"/>
        </w:rPr>
        <w:t>ка 51). В цитираното заключение се изтъква също така значението на стандартите като част от механизма на ЕС за хармонизация. Европейският омбудсман също наскоро приключи проучване на тази тема (</w:t>
      </w:r>
      <w:r>
        <w:t>Q</w:t>
      </w:r>
      <w:r>
        <w:rPr>
          <w:lang w:val="bg-BG"/>
        </w:rPr>
        <w:t>2/2013/</w:t>
      </w:r>
      <w:r>
        <w:t>EIS</w:t>
      </w:r>
      <w:r>
        <w:rPr>
          <w:lang w:val="bg-BG"/>
        </w:rPr>
        <w:t>) с доклада си от 11.12.2015 г.</w:t>
      </w:r>
    </w:p>
  </w:footnote>
  <w:footnote w:id="26">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член 17, пар</w:t>
      </w:r>
      <w:r>
        <w:rPr>
          <w:lang w:val="bg-BG"/>
        </w:rPr>
        <w:t>аграф 2 от РСП.</w:t>
      </w:r>
    </w:p>
  </w:footnote>
  <w:footnote w:id="27">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бележка под линия 16.</w:t>
      </w:r>
    </w:p>
  </w:footnote>
  <w:footnote w:id="28">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По-конкретно някои основни изисквания към строежите.</w:t>
      </w:r>
    </w:p>
  </w:footnote>
  <w:footnote w:id="29">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Тъй като изменения на съществуващи стандарти следва да се приемат по ускорена процедура за издаване на мандат.</w:t>
      </w:r>
    </w:p>
  </w:footnote>
  <w:footnote w:id="30">
    <w:p w:rsidR="00CC6095" w:rsidRDefault="00F051A1">
      <w:pPr>
        <w:pStyle w:val="FootnoteText"/>
        <w:ind w:left="284" w:hanging="284"/>
        <w:jc w:val="both"/>
        <w:rPr>
          <w:lang w:val="bg-BG"/>
        </w:rPr>
      </w:pPr>
      <w:r>
        <w:rPr>
          <w:rStyle w:val="FootnoteReference"/>
        </w:rPr>
        <w:footnoteRef/>
      </w:r>
      <w:r>
        <w:rPr>
          <w:lang w:val="bg-BG"/>
        </w:rPr>
        <w:t xml:space="preserve"> Решение на Комисията от 1.6.2016 г. отн</w:t>
      </w:r>
      <w:r>
        <w:rPr>
          <w:lang w:val="bg-BG"/>
        </w:rPr>
        <w:t xml:space="preserve">осно одобряването и подписването на Съвместната инициатива за стандартизация, </w:t>
      </w:r>
      <w:r>
        <w:t>C</w:t>
      </w:r>
      <w:r>
        <w:rPr>
          <w:lang w:val="bg-BG"/>
        </w:rPr>
        <w:t>(2016) 3211.</w:t>
      </w:r>
    </w:p>
  </w:footnote>
  <w:footnote w:id="31">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член 19, параграф 1, където е определен обхватът на тези дейности.</w:t>
      </w:r>
    </w:p>
  </w:footnote>
  <w:footnote w:id="32">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20.</w:t>
      </w:r>
    </w:p>
  </w:footnote>
  <w:footnote w:id="33">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19, параграфи 2 и 3 и приложение II към РСП; вж. също член 21</w:t>
      </w:r>
      <w:r>
        <w:rPr>
          <w:lang w:val="bg-BG"/>
        </w:rPr>
        <w:t>.</w:t>
      </w:r>
    </w:p>
  </w:footnote>
  <w:footnote w:id="34">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членове 29 и 30 и таблица 2 от приложение IV към РСП; насоките на Комисията съгласно член 29, параграф 4 също са надлежно оповестени на държавите членки. До май 2016 г. са определени 50 ОТО в 25 държави, включително три държави от ЕАСТ. Шест държа</w:t>
      </w:r>
      <w:r>
        <w:rPr>
          <w:lang w:val="bg-BG"/>
        </w:rPr>
        <w:t>ви членки не са определили нито един ОТО.</w:t>
      </w:r>
    </w:p>
  </w:footnote>
  <w:footnote w:id="35">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66, параграф 3 от РСП.</w:t>
      </w:r>
    </w:p>
  </w:footnote>
  <w:footnote w:id="36">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Данните на първия преобразуван ЕДО от този вид бяха публикувани в ОВЕС през май 2016 г.</w:t>
      </w:r>
    </w:p>
  </w:footnote>
  <w:footnote w:id="37">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66, параграф 4 от РСП.</w:t>
      </w:r>
    </w:p>
  </w:footnote>
  <w:footnote w:id="38">
    <w:p w:rsidR="00CC6095" w:rsidRDefault="00F051A1">
      <w:pPr>
        <w:pStyle w:val="FootnoteText"/>
        <w:ind w:left="284" w:hanging="284"/>
        <w:jc w:val="both"/>
        <w:rPr>
          <w:i/>
          <w:lang w:val="bg-BG"/>
        </w:rPr>
      </w:pPr>
      <w:r>
        <w:rPr>
          <w:rStyle w:val="FootnoteReference"/>
          <w:lang w:val="bg-BG"/>
        </w:rPr>
        <w:footnoteRef/>
      </w:r>
      <w:r>
        <w:rPr>
          <w:lang w:val="bg-BG"/>
        </w:rPr>
        <w:t xml:space="preserve">  </w:t>
      </w:r>
      <w:r>
        <w:rPr>
          <w:lang w:val="bg-BG"/>
        </w:rPr>
        <w:tab/>
        <w:t xml:space="preserve">ОВ L 289, 31.10.2013 г., стр. 42—43; този акт е </w:t>
      </w:r>
      <w:r>
        <w:rPr>
          <w:lang w:val="bg-BG"/>
        </w:rPr>
        <w:t>приет на основание член 26, параграф 3 от РСП.</w:t>
      </w:r>
    </w:p>
  </w:footnote>
  <w:footnote w:id="39">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24 от РСП.</w:t>
      </w:r>
    </w:p>
  </w:footnote>
  <w:footnote w:id="40">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Към май 2016 г. в ОВЕС са цитирани 40 ЕДО.</w:t>
      </w:r>
    </w:p>
  </w:footnote>
  <w:footnote w:id="41">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До момента ЕОТО не е докладвала на Комисията за забавяния при изготвянето на ЕДО съгласно изискването в точка 6 от приложение II към РС</w:t>
      </w:r>
      <w:r>
        <w:rPr>
          <w:lang w:val="bg-BG"/>
        </w:rPr>
        <w:t>П.</w:t>
      </w:r>
    </w:p>
  </w:footnote>
  <w:footnote w:id="42">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Процедурните правила, определени в приложение II към РСП, може да бъдат рационализирани с приемането на делегиран акт (вж. член 19, параграф 3 и член 60, буква г).</w:t>
      </w:r>
    </w:p>
  </w:footnote>
  <w:footnote w:id="43">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От тези органи се изисква да осъществяват задачи като трети страни в процеса на ОПП</w:t>
      </w:r>
      <w:r>
        <w:rPr>
          <w:lang w:val="bg-BG"/>
        </w:rPr>
        <w:t>ЕП за строителни продукти. Към май 2016 г. са нотифицирани 623 НО.</w:t>
      </w:r>
    </w:p>
  </w:footnote>
  <w:footnote w:id="44">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Изискванията към НО са определени в член 43 от РСП.</w:t>
      </w:r>
    </w:p>
  </w:footnote>
  <w:footnote w:id="45">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40 от РСП.</w:t>
      </w:r>
    </w:p>
  </w:footnote>
  <w:footnote w:id="46">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Вж. член 43, параграф 11 и член 55 от РСП.</w:t>
      </w:r>
    </w:p>
  </w:footnote>
  <w:footnote w:id="47">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ОВ L 157, 27.5.2014 г., стр. 76—79.</w:t>
      </w:r>
    </w:p>
  </w:footnote>
  <w:footnote w:id="48">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За разлика от сертифици</w:t>
      </w:r>
      <w:r>
        <w:rPr>
          <w:lang w:val="bg-BG"/>
        </w:rPr>
        <w:t xml:space="preserve">рането на продукти РСП и, по-конкретно, новото приложение </w:t>
      </w:r>
      <w:r>
        <w:rPr>
          <w:lang w:val="en-US"/>
        </w:rPr>
        <w:t>V</w:t>
      </w:r>
      <w:r>
        <w:rPr>
          <w:lang w:val="bg-BG"/>
        </w:rPr>
        <w:t xml:space="preserve"> към регламента са насочени основно към сертифицирането на постоянството на експлоатационните показатели.</w:t>
      </w:r>
    </w:p>
  </w:footnote>
  <w:footnote w:id="49">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по-специално членове 43, 45, 46, член 52, параграф 2 и член 55 от РСП.</w:t>
      </w:r>
    </w:p>
  </w:footnote>
  <w:footnote w:id="50">
    <w:p w:rsidR="00CC6095" w:rsidRDefault="00F051A1">
      <w:pPr>
        <w:autoSpaceDE w:val="0"/>
        <w:autoSpaceDN w:val="0"/>
        <w:adjustRightInd w:val="0"/>
        <w:spacing w:after="0" w:line="240" w:lineRule="auto"/>
        <w:ind w:left="284" w:hanging="284"/>
        <w:jc w:val="both"/>
        <w:rPr>
          <w:i/>
          <w:sz w:val="20"/>
          <w:szCs w:val="20"/>
          <w:lang w:val="bg-BG"/>
        </w:rPr>
      </w:pPr>
      <w:r>
        <w:rPr>
          <w:rStyle w:val="FootnoteReference"/>
        </w:rPr>
        <w:footnoteRef/>
      </w:r>
      <w:r>
        <w:rPr>
          <w:lang w:val="bg-BG"/>
        </w:rPr>
        <w:t xml:space="preserve"> </w:t>
      </w:r>
      <w:r>
        <w:rPr>
          <w:lang w:val="bg-BG"/>
        </w:rPr>
        <w:tab/>
      </w:r>
      <w:r>
        <w:rPr>
          <w:sz w:val="20"/>
          <w:lang w:val="bg-BG"/>
        </w:rPr>
        <w:t>От Решение</w:t>
      </w:r>
      <w:r>
        <w:rPr>
          <w:sz w:val="20"/>
          <w:lang w:val="bg-BG"/>
        </w:rPr>
        <w:t xml:space="preserve"> № </w:t>
      </w:r>
      <w:r>
        <w:rPr>
          <w:sz w:val="20"/>
          <w:szCs w:val="20"/>
          <w:lang w:val="bg-BG"/>
        </w:rPr>
        <w:t>768/2008/</w:t>
      </w:r>
      <w:r>
        <w:rPr>
          <w:sz w:val="20"/>
          <w:szCs w:val="20"/>
        </w:rPr>
        <w:t>E</w:t>
      </w:r>
      <w:r>
        <w:rPr>
          <w:sz w:val="20"/>
          <w:szCs w:val="20"/>
          <w:lang w:val="bg-BG"/>
        </w:rPr>
        <w:t>О.</w:t>
      </w:r>
    </w:p>
  </w:footnote>
  <w:footnote w:id="51">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Вж. по-специално член 44, член 50, параграф 1, член 51 и член 53, параграф 2 от РСП.</w:t>
      </w:r>
    </w:p>
  </w:footnote>
  <w:footnote w:id="52">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Член 5.</w:t>
      </w:r>
    </w:p>
  </w:footnote>
  <w:footnote w:id="53">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Членове 36—38. От тях член 37 се отнася конкретно до микропредприятията.</w:t>
      </w:r>
    </w:p>
  </w:footnote>
  <w:footnote w:id="54">
    <w:p w:rsidR="00CC6095" w:rsidRDefault="00F051A1">
      <w:pPr>
        <w:pStyle w:val="FootnoteText"/>
        <w:ind w:left="284" w:hanging="284"/>
        <w:rPr>
          <w:lang w:val="bg-BG"/>
        </w:rPr>
      </w:pPr>
      <w:r>
        <w:rPr>
          <w:rStyle w:val="FootnoteReference"/>
        </w:rPr>
        <w:footnoteRef/>
      </w:r>
      <w:r>
        <w:rPr>
          <w:lang w:val="bg-BG"/>
        </w:rPr>
        <w:t xml:space="preserve"> </w:t>
      </w:r>
      <w:r>
        <w:rPr>
          <w:lang w:val="bg-BG"/>
        </w:rPr>
        <w:tab/>
        <w:t>Член 36.</w:t>
      </w:r>
    </w:p>
  </w:footnote>
  <w:footnote w:id="55">
    <w:p w:rsidR="00CC6095" w:rsidRDefault="00F051A1">
      <w:pPr>
        <w:autoSpaceDE w:val="0"/>
        <w:autoSpaceDN w:val="0"/>
        <w:adjustRightInd w:val="0"/>
        <w:spacing w:after="0" w:line="240" w:lineRule="auto"/>
        <w:ind w:left="284" w:hanging="284"/>
        <w:jc w:val="both"/>
        <w:rPr>
          <w:i/>
          <w:sz w:val="20"/>
          <w:szCs w:val="20"/>
          <w:lang w:val="bg-BG"/>
        </w:rPr>
      </w:pPr>
      <w:r>
        <w:rPr>
          <w:rStyle w:val="FootnoteReference"/>
          <w:lang w:val="bg-BG"/>
        </w:rPr>
        <w:footnoteRef/>
      </w:r>
      <w:r>
        <w:rPr>
          <w:sz w:val="20"/>
          <w:szCs w:val="20"/>
          <w:lang w:val="bg-BG"/>
        </w:rPr>
        <w:t xml:space="preserve"> Регламент (ЕО) № 765/2008 на Европейския парламент </w:t>
      </w:r>
      <w:r>
        <w:rPr>
          <w:sz w:val="20"/>
          <w:szCs w:val="20"/>
          <w:lang w:val="bg-BG"/>
        </w:rPr>
        <w:t>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56">
    <w:p w:rsidR="00CC6095" w:rsidRDefault="00F051A1">
      <w:pPr>
        <w:pStyle w:val="FootnoteText"/>
        <w:ind w:left="284" w:hanging="284"/>
        <w:jc w:val="both"/>
        <w:rPr>
          <w:lang w:val="bg-BG"/>
        </w:rPr>
      </w:pPr>
      <w:r>
        <w:rPr>
          <w:rStyle w:val="FootnoteReference"/>
          <w:lang w:val="bg-BG"/>
        </w:rPr>
        <w:footnoteRef/>
      </w:r>
      <w:r>
        <w:rPr>
          <w:lang w:val="bg-BG"/>
        </w:rPr>
        <w:t xml:space="preserve"> </w:t>
      </w:r>
      <w:r>
        <w:rPr>
          <w:lang w:val="bg-BG"/>
        </w:rPr>
        <w:tab/>
        <w:t>На 13 февруари 2013 г. Комисията прие</w:t>
      </w:r>
      <w:r>
        <w:rPr>
          <w:lang w:val="bg-BG"/>
        </w:rPr>
        <w:t xml:space="preserve"> пакет от предложения за подобряване на безопасността на потребителските продукти и на надзора на пазара за строителни продукти (</w:t>
      </w:r>
      <w:r>
        <w:t>COM</w:t>
      </w:r>
      <w:r>
        <w:rPr>
          <w:lang w:val="bg-BG"/>
        </w:rPr>
        <w:t xml:space="preserve">(2013) 75, </w:t>
      </w:r>
      <w:r>
        <w:t>COM</w:t>
      </w:r>
      <w:r>
        <w:rPr>
          <w:lang w:val="bg-BG"/>
        </w:rPr>
        <w:t xml:space="preserve">(2013) 78, </w:t>
      </w:r>
      <w:r>
        <w:t>COM</w:t>
      </w:r>
      <w:r>
        <w:rPr>
          <w:lang w:val="bg-BG"/>
        </w:rPr>
        <w:t>(2013) 76), които понастоящем са внесени за приемане от Европейския парламент и от Съвета.</w:t>
      </w:r>
    </w:p>
  </w:footnote>
  <w:footnote w:id="57">
    <w:p w:rsidR="00CC6095" w:rsidRDefault="00F051A1">
      <w:pPr>
        <w:pStyle w:val="FootnoteText"/>
        <w:ind w:left="284" w:hanging="284"/>
        <w:jc w:val="both"/>
        <w:rPr>
          <w:lang w:val="bg-BG"/>
        </w:rPr>
      </w:pPr>
      <w:r>
        <w:rPr>
          <w:rStyle w:val="FootnoteReference"/>
          <w:sz w:val="22"/>
          <w:szCs w:val="22"/>
        </w:rPr>
        <w:footnoteRef/>
      </w:r>
      <w:r>
        <w:rPr>
          <w:lang w:val="bg-BG"/>
        </w:rPr>
        <w:t xml:space="preserve"> </w:t>
      </w:r>
      <w:r>
        <w:rPr>
          <w:lang w:val="bg-BG"/>
        </w:rPr>
        <w:tab/>
        <w:t>Си</w:t>
      </w:r>
      <w:r>
        <w:rPr>
          <w:lang w:val="bg-BG"/>
        </w:rPr>
        <w:t>стема за обща информация и комуникационна поддръжка на надзора на пазара.</w:t>
      </w:r>
    </w:p>
  </w:footnote>
  <w:footnote w:id="58">
    <w:p w:rsidR="00CC6095" w:rsidRDefault="00F051A1">
      <w:pPr>
        <w:pStyle w:val="FootnoteText"/>
        <w:ind w:left="284" w:hanging="284"/>
        <w:jc w:val="both"/>
        <w:rPr>
          <w:lang w:val="bg-BG"/>
        </w:rPr>
      </w:pPr>
      <w:r>
        <w:rPr>
          <w:rStyle w:val="FootnoteReference"/>
          <w:sz w:val="22"/>
          <w:szCs w:val="22"/>
        </w:rPr>
        <w:footnoteRef/>
      </w:r>
      <w:r>
        <w:rPr>
          <w:lang w:val="bg-BG"/>
        </w:rPr>
        <w:t xml:space="preserve"> </w:t>
      </w:r>
      <w:r>
        <w:rPr>
          <w:lang w:val="bg-BG"/>
        </w:rPr>
        <w:tab/>
        <w:t xml:space="preserve">Досега Комисията не е информирана за образуването на официални производства от държавите членки по тези разпоредби; съгласно член 56, параграф 2 такава информация следва да бъде </w:t>
      </w:r>
      <w:r>
        <w:rPr>
          <w:lang w:val="bg-BG"/>
        </w:rPr>
        <w:t>изпратена в самото начало на производството.</w:t>
      </w:r>
    </w:p>
  </w:footnote>
  <w:footnote w:id="59">
    <w:p w:rsidR="00CC6095" w:rsidRDefault="00F051A1">
      <w:pPr>
        <w:pStyle w:val="FootnoteText"/>
        <w:ind w:left="284" w:hanging="284"/>
        <w:jc w:val="both"/>
        <w:rPr>
          <w:lang w:val="bg-BG"/>
        </w:rPr>
      </w:pPr>
      <w:r>
        <w:rPr>
          <w:rStyle w:val="FootnoteReference"/>
        </w:rPr>
        <w:footnoteRef/>
      </w:r>
      <w:r>
        <w:rPr>
          <w:lang w:val="bg-BG"/>
        </w:rPr>
        <w:t xml:space="preserve"> </w:t>
      </w:r>
      <w:r>
        <w:rPr>
          <w:lang w:val="bg-BG"/>
        </w:rPr>
        <w:tab/>
        <w:t>Например горепосочената проверка за годност в строителния сектор, проучването на икономическите въздействия на РСП, доклада за финансирането на ЕОТО, инициативите във връзка с надзора на пазара и Единния цифр</w:t>
      </w:r>
      <w:r>
        <w:rPr>
          <w:lang w:val="bg-BG"/>
        </w:rPr>
        <w:t>ов портал.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1" w:rsidRDefault="00F05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1" w:rsidRDefault="00F051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A1" w:rsidRDefault="00F051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5" w:rsidRDefault="00CC60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5" w:rsidRDefault="00CC60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5" w:rsidRDefault="00CC6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EF"/>
    <w:multiLevelType w:val="hybridMultilevel"/>
    <w:tmpl w:val="7D5CAA18"/>
    <w:lvl w:ilvl="0" w:tplc="D92632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EA19E8"/>
    <w:multiLevelType w:val="hybridMultilevel"/>
    <w:tmpl w:val="F864B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F3EDF"/>
    <w:multiLevelType w:val="hybridMultilevel"/>
    <w:tmpl w:val="3ED287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A9278E"/>
    <w:multiLevelType w:val="hybridMultilevel"/>
    <w:tmpl w:val="3F94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A2E74"/>
    <w:multiLevelType w:val="hybridMultilevel"/>
    <w:tmpl w:val="93EC29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64B4CF1"/>
    <w:multiLevelType w:val="hybridMultilevel"/>
    <w:tmpl w:val="FE4A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36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486F52"/>
    <w:multiLevelType w:val="hybridMultilevel"/>
    <w:tmpl w:val="B6848A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1E446AF"/>
    <w:multiLevelType w:val="hybridMultilevel"/>
    <w:tmpl w:val="BF607A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33004CF5"/>
    <w:multiLevelType w:val="hybridMultilevel"/>
    <w:tmpl w:val="13AC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5E7678"/>
    <w:multiLevelType w:val="hybridMultilevel"/>
    <w:tmpl w:val="46F4737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3E632BF8"/>
    <w:multiLevelType w:val="hybridMultilevel"/>
    <w:tmpl w:val="D3E0E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517461"/>
    <w:multiLevelType w:val="hybridMultilevel"/>
    <w:tmpl w:val="12A46F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4E5A228D"/>
    <w:multiLevelType w:val="hybridMultilevel"/>
    <w:tmpl w:val="64E88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226674"/>
    <w:multiLevelType w:val="hybridMultilevel"/>
    <w:tmpl w:val="32A40DE6"/>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5">
    <w:nsid w:val="525F4671"/>
    <w:multiLevelType w:val="hybridMultilevel"/>
    <w:tmpl w:val="383C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095794"/>
    <w:multiLevelType w:val="hybridMultilevel"/>
    <w:tmpl w:val="00CC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30516B"/>
    <w:multiLevelType w:val="hybridMultilevel"/>
    <w:tmpl w:val="64C0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C819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3273D"/>
    <w:multiLevelType w:val="hybridMultilevel"/>
    <w:tmpl w:val="FD7A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D368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4775BA"/>
    <w:multiLevelType w:val="hybridMultilevel"/>
    <w:tmpl w:val="6DA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1808E2"/>
    <w:multiLevelType w:val="hybridMultilevel"/>
    <w:tmpl w:val="1A00D5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2E9369D"/>
    <w:multiLevelType w:val="hybridMultilevel"/>
    <w:tmpl w:val="B9CC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6D3532"/>
    <w:multiLevelType w:val="hybridMultilevel"/>
    <w:tmpl w:val="02E0A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F524B39"/>
    <w:multiLevelType w:val="hybridMultilevel"/>
    <w:tmpl w:val="06D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0"/>
  </w:num>
  <w:num w:numId="5">
    <w:abstractNumId w:val="20"/>
  </w:num>
  <w:num w:numId="6">
    <w:abstractNumId w:val="1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
  </w:num>
  <w:num w:numId="10">
    <w:abstractNumId w:val="7"/>
  </w:num>
  <w:num w:numId="11">
    <w:abstractNumId w:val="12"/>
  </w:num>
  <w:num w:numId="12">
    <w:abstractNumId w:val="8"/>
  </w:num>
  <w:num w:numId="13">
    <w:abstractNumId w:val="10"/>
  </w:num>
  <w:num w:numId="14">
    <w:abstractNumId w:val="17"/>
  </w:num>
  <w:num w:numId="15">
    <w:abstractNumId w:val="24"/>
  </w:num>
  <w:num w:numId="16">
    <w:abstractNumId w:val="14"/>
  </w:num>
  <w:num w:numId="17">
    <w:abstractNumId w:val="19"/>
  </w:num>
  <w:num w:numId="18">
    <w:abstractNumId w:val="11"/>
  </w:num>
  <w:num w:numId="19">
    <w:abstractNumId w:val="15"/>
  </w:num>
  <w:num w:numId="20">
    <w:abstractNumId w:val="16"/>
  </w:num>
  <w:num w:numId="21">
    <w:abstractNumId w:val="5"/>
  </w:num>
  <w:num w:numId="22">
    <w:abstractNumId w:val="21"/>
  </w:num>
  <w:num w:numId="23">
    <w:abstractNumId w:val="3"/>
  </w:num>
  <w:num w:numId="24">
    <w:abstractNumId w:val="2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7852F0302C742DF84B0FBBAF5FC7516"/>
    <w:docVar w:name="LW_CROSSREFERENCE" w:val="&lt;UNUSED&gt;"/>
    <w:docVar w:name="LW_DocType" w:val="NORMAL"/>
    <w:docVar w:name="LW_EMISSION" w:val="7.7.2016"/>
    <w:docVar w:name="LW_EMISSION_ISODATE" w:val="2016-07-0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45"/>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7?) 305/2011 \u1085?\u1072? \u1045?\u1074?\u1088?\u1086?\u1087?\u1077?\u1081?\u1089?\u1082?\u1080?\u1103? \u1087?\u1072?\u1088?\u1083?\u1072?\u1084?\u1077?\u1085?\u1090? \u1080? \u1085?\u1072? \u1057?\u1098?\u1074?\u1077?\u1090?\u1072? \u1086?\u1090? 9 \u1084?\u1072?\u1088?\u1090? 2011 \u1075?\u1086?\u1076?\u1080?\u1085?\u1072? \u1079?\u1072? \u1086?\u1087?\u1088?\u1077?\u1076?\u1077?\u1083?\u1103?\u1085?\u1077? \u1085?\u1072? \u1093?\u1072?\u1088?\u1084?\u1086?\u1085?\u1080?\u1079?\u1080?\u1088?\u1072?\u1085?\u1080? \u1091?\u1089?\u1083?\u1086?\u1074?\u1080?\u1103? \u1079?\u1072? \u1087?\u1088?\u1077?\u1076?\u1083?\u1072?\u1075?\u1072?\u1085?\u1077?\u1090?\u1086? \u1085?\u1072? \u1087?\u1072?\u1079?\u1072?\u1088?\u1072? \u1085?\u1072? \u1089?\u1090?\u1088?\u1086?\u1080?\u1090?\u1077?\u1083?\u1085?\u1080? \u1087?\u1088?\u1086?\u1076?\u1091?\u1082?\u1090?\u1080? \u1080? \u1079?\u1072? \u1086?\u1090?\u1084?\u1103?\u1085?\u1072? \u1085?\u1072? \u1044?\u1080?\u1088?\u1077?\u1082?\u1090?\u1080?\u1074?\u1072? 89/106/\u1045?\u1048?\u1054?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GROW\GROW-2016-00621\GROW-2016-00621-00-00-EN-REV-00.DOCX"/>
  </w:docVars>
  <w:rsids>
    <w:rsidRoot w:val="00CC6095"/>
    <w:rsid w:val="00CC6095"/>
    <w:rsid w:val="00F05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7805">
      <w:bodyDiv w:val="1"/>
      <w:marLeft w:val="0"/>
      <w:marRight w:val="0"/>
      <w:marTop w:val="0"/>
      <w:marBottom w:val="0"/>
      <w:divBdr>
        <w:top w:val="none" w:sz="0" w:space="0" w:color="auto"/>
        <w:left w:val="none" w:sz="0" w:space="0" w:color="auto"/>
        <w:bottom w:val="none" w:sz="0" w:space="0" w:color="auto"/>
        <w:right w:val="none" w:sz="0" w:space="0" w:color="auto"/>
      </w:divBdr>
    </w:div>
    <w:div w:id="1221021845">
      <w:bodyDiv w:val="1"/>
      <w:marLeft w:val="0"/>
      <w:marRight w:val="0"/>
      <w:marTop w:val="0"/>
      <w:marBottom w:val="0"/>
      <w:divBdr>
        <w:top w:val="none" w:sz="0" w:space="0" w:color="auto"/>
        <w:left w:val="none" w:sz="0" w:space="0" w:color="auto"/>
        <w:bottom w:val="none" w:sz="0" w:space="0" w:color="auto"/>
        <w:right w:val="none" w:sz="0" w:space="0" w:color="auto"/>
      </w:divBdr>
    </w:div>
    <w:div w:id="18514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8D90-2493-4922-9499-C1D641CF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4040</Words>
  <Characters>23029</Characters>
  <Application>Microsoft Office Word</Application>
  <DocSecurity>0</DocSecurity>
  <Lines>191</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Manager/>
  <Company/>
  <LinksUpToDate>false</LinksUpToDate>
  <CharactersWithSpaces>27015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47</cp:revision>
  <cp:lastPrinted>2016-06-19T10:25:00Z</cp:lastPrinted>
  <dcterms:created xsi:type="dcterms:W3CDTF">2016-06-30T05:58:00Z</dcterms:created>
  <dcterms:modified xsi:type="dcterms:W3CDTF">2016-07-04T08:24:00Z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