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978AFC3D6049BCAC15565E583F8FF4" style="width:450.75pt;height:321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240" w:line="240" w:lineRule="auto"/>
        <w:ind w:left="431" w:hanging="431"/>
        <w:jc w:val="both"/>
        <w:outlineLvl w:val="0"/>
        <w:rPr>
          <w:rFonts w:ascii="Times New Roman" w:eastAsia="Times New Roman" w:hAnsi="Times New Roman"/>
          <w:b/>
          <w:bCs/>
          <w:caps/>
          <w:noProof/>
          <w:kern w:val="32"/>
          <w:sz w:val="24"/>
          <w:szCs w:val="24"/>
        </w:rPr>
      </w:pPr>
      <w:bookmarkStart w:id="1" w:name="_Toc435784245"/>
      <w:bookmarkStart w:id="2" w:name="_Toc440227504"/>
      <w:bookmarkStart w:id="3" w:name="_Toc451796323"/>
      <w:bookmarkStart w:id="4" w:name="_GoBack"/>
      <w:bookmarkEnd w:id="4"/>
      <w:r>
        <w:rPr>
          <w:rFonts w:ascii="Times New Roman" w:hAnsi="Times New Roman"/>
          <w:b/>
          <w:caps/>
          <w:noProof/>
          <w:kern w:val="32"/>
          <w:sz w:val="24"/>
        </w:rPr>
        <w:lastRenderedPageBreak/>
        <w:t xml:space="preserve">1. </w:t>
      </w:r>
      <w:r>
        <w:rPr>
          <w:noProof/>
        </w:rPr>
        <w:tab/>
      </w:r>
      <w:r>
        <w:rPr>
          <w:rFonts w:ascii="Times New Roman" w:hAnsi="Times New Roman"/>
          <w:b/>
          <w:caps/>
          <w:noProof/>
          <w:kern w:val="32"/>
          <w:sz w:val="24"/>
        </w:rPr>
        <w:t>Обосновка</w:t>
      </w:r>
      <w:bookmarkEnd w:id="1"/>
      <w:bookmarkEnd w:id="2"/>
      <w:r>
        <w:rPr>
          <w:rFonts w:ascii="Times New Roman" w:hAnsi="Times New Roman"/>
          <w:b/>
          <w:caps/>
          <w:noProof/>
          <w:kern w:val="32"/>
          <w:sz w:val="24"/>
        </w:rPr>
        <w:t xml:space="preserve"> и приложно поле</w:t>
      </w:r>
      <w:bookmarkEnd w:id="3"/>
    </w:p>
    <w:p>
      <w:pPr>
        <w:spacing w:after="240" w:line="240" w:lineRule="auto"/>
        <w:jc w:val="both"/>
        <w:rPr>
          <w:rFonts w:ascii="Times New Roman" w:hAnsi="Times New Roman"/>
          <w:noProof/>
          <w:sz w:val="24"/>
          <w:szCs w:val="24"/>
        </w:rPr>
      </w:pPr>
      <w:r>
        <w:rPr>
          <w:rFonts w:ascii="Times New Roman" w:hAnsi="Times New Roman"/>
          <w:noProof/>
          <w:sz w:val="24"/>
        </w:rPr>
        <w:t>Реформата в сектора на сигурността (РСС) е процесът на преобразуване на системата за сигурност</w:t>
      </w:r>
      <w:r>
        <w:rPr>
          <w:rFonts w:ascii="Times New Roman" w:hAnsi="Times New Roman"/>
          <w:noProof/>
          <w:sz w:val="24"/>
          <w:vertAlign w:val="superscript"/>
        </w:rPr>
        <w:footnoteReference w:id="2"/>
      </w:r>
      <w:r>
        <w:rPr>
          <w:rFonts w:ascii="Times New Roman" w:hAnsi="Times New Roman"/>
          <w:noProof/>
          <w:sz w:val="24"/>
        </w:rPr>
        <w:t xml:space="preserve"> на дадена държава така, че тя постепенно да осигури на гражданите и държавата по-ефективна, основана на отчетност система на сигурност, която е съвместима със зачитането на правата на човека, демокрацията, върховенството на закона и принципите на добро управление. РСС е дългосрочен политически процес, тъй като обхваща същността на властовите отношения в дадена държава. Той трябва да се ръководи на национално равнище и изисква политически ангажимент и лидерство, междуинституционално сътрудничество и широко участие на заинтересованите страни, за да се постигне възможно най-широк консенсус. </w:t>
      </w:r>
    </w:p>
    <w:p>
      <w:pPr>
        <w:spacing w:after="240" w:line="240" w:lineRule="auto"/>
        <w:jc w:val="both"/>
        <w:rPr>
          <w:rFonts w:ascii="Times New Roman" w:hAnsi="Times New Roman"/>
          <w:noProof/>
          <w:sz w:val="24"/>
          <w:szCs w:val="24"/>
        </w:rPr>
      </w:pPr>
      <w:r>
        <w:rPr>
          <w:rFonts w:ascii="Times New Roman" w:hAnsi="Times New Roman"/>
          <w:noProof/>
          <w:sz w:val="24"/>
        </w:rPr>
        <w:t>Конфликтите, несигурността и нестабилността са широкоразпространени явления, включително в държави в непосредствено съседство с ЕС</w:t>
      </w:r>
      <w:r>
        <w:rPr>
          <w:rFonts w:ascii="Times New Roman" w:hAnsi="Times New Roman"/>
          <w:noProof/>
          <w:sz w:val="24"/>
          <w:vertAlign w:val="superscript"/>
        </w:rPr>
        <w:footnoteReference w:id="3"/>
      </w:r>
      <w:r>
        <w:rPr>
          <w:rFonts w:ascii="Times New Roman" w:hAnsi="Times New Roman"/>
          <w:noProof/>
          <w:sz w:val="24"/>
        </w:rPr>
        <w:t>. Те причиняват страдание на хората, насилствено разселване, тежки последици за развитието</w:t>
      </w:r>
      <w:r>
        <w:rPr>
          <w:rFonts w:ascii="Times New Roman" w:hAnsi="Times New Roman"/>
          <w:noProof/>
          <w:sz w:val="24"/>
          <w:vertAlign w:val="superscript"/>
        </w:rPr>
        <w:footnoteReference w:id="4"/>
      </w:r>
      <w:r>
        <w:rPr>
          <w:rFonts w:ascii="Times New Roman" w:hAnsi="Times New Roman"/>
          <w:noProof/>
          <w:sz w:val="24"/>
        </w:rPr>
        <w:t>, както е признато в политиката на ЕС за развитие</w:t>
      </w:r>
      <w:r>
        <w:rPr>
          <w:rFonts w:ascii="Times New Roman" w:hAnsi="Times New Roman"/>
          <w:noProof/>
          <w:sz w:val="24"/>
          <w:vertAlign w:val="superscript"/>
        </w:rPr>
        <w:footnoteReference w:id="5"/>
      </w:r>
      <w:r>
        <w:rPr>
          <w:rFonts w:ascii="Times New Roman" w:hAnsi="Times New Roman"/>
          <w:noProof/>
          <w:sz w:val="24"/>
        </w:rPr>
        <w:t>, в работата в областта на сигурността и развитието като цяло и в Резолюцията на Организацията на Обединените нации, озаглавена „</w:t>
      </w:r>
      <w:r>
        <w:rPr>
          <w:rFonts w:ascii="Times New Roman" w:hAnsi="Times New Roman"/>
          <w:i/>
          <w:noProof/>
          <w:sz w:val="24"/>
        </w:rPr>
        <w:t>Да преобразим нашия свят</w:t>
      </w:r>
      <w:r>
        <w:rPr>
          <w:rFonts w:ascii="Times New Roman" w:hAnsi="Times New Roman"/>
          <w:noProof/>
          <w:sz w:val="24"/>
        </w:rPr>
        <w:t xml:space="preserve">: </w:t>
      </w:r>
      <w:r>
        <w:rPr>
          <w:rFonts w:ascii="Times New Roman" w:hAnsi="Times New Roman"/>
          <w:i/>
          <w:noProof/>
          <w:sz w:val="24"/>
        </w:rPr>
        <w:t>програма за устойчиво развитие до 2030 г.</w:t>
      </w:r>
      <w:r>
        <w:rPr>
          <w:rFonts w:ascii="Times New Roman" w:hAnsi="Times New Roman"/>
          <w:noProof/>
          <w:sz w:val="24"/>
        </w:rPr>
        <w:t>“, включително цел 16</w:t>
      </w:r>
      <w:r>
        <w:rPr>
          <w:rFonts w:ascii="Times New Roman" w:hAnsi="Times New Roman"/>
          <w:noProof/>
          <w:sz w:val="24"/>
          <w:vertAlign w:val="superscript"/>
        </w:rPr>
        <w:footnoteReference w:id="6"/>
      </w:r>
      <w:r>
        <w:rPr>
          <w:rFonts w:ascii="Times New Roman" w:hAnsi="Times New Roman"/>
          <w:noProof/>
          <w:sz w:val="24"/>
        </w:rPr>
        <w:t xml:space="preserve"> и нейните задачи, свързани със сигурността. </w:t>
      </w:r>
    </w:p>
    <w:p>
      <w:pPr>
        <w:spacing w:after="240" w:line="240" w:lineRule="auto"/>
        <w:jc w:val="both"/>
        <w:rPr>
          <w:rFonts w:ascii="Times New Roman" w:hAnsi="Times New Roman"/>
          <w:noProof/>
          <w:sz w:val="24"/>
          <w:szCs w:val="24"/>
        </w:rPr>
      </w:pPr>
      <w:r>
        <w:rPr>
          <w:rFonts w:ascii="Times New Roman" w:hAnsi="Times New Roman"/>
          <w:noProof/>
          <w:sz w:val="24"/>
        </w:rPr>
        <w:t>Липсата на ефективни и отговорни системи за сигурност често поражда или изостря несигурността и нестабилността. Подкрепата за държавите партньори за реформиране на техните системи за сигурност подпомага целите на ЕС за мир и стабилност, приобщаващо и устойчиво развитие, изграждане на държавни структури и демокрация, върховенство на закона, правата на човека и принципите на международното право</w:t>
      </w:r>
      <w:r>
        <w:rPr>
          <w:rFonts w:ascii="Times New Roman" w:hAnsi="Times New Roman"/>
          <w:noProof/>
          <w:sz w:val="24"/>
          <w:vertAlign w:val="superscript"/>
        </w:rPr>
        <w:footnoteReference w:id="7"/>
      </w:r>
      <w:r>
        <w:rPr>
          <w:rFonts w:ascii="Times New Roman" w:hAnsi="Times New Roman"/>
          <w:noProof/>
          <w:sz w:val="24"/>
        </w:rPr>
        <w:t xml:space="preserve">. Както е признато в </w:t>
      </w:r>
      <w:r>
        <w:rPr>
          <w:rFonts w:ascii="Times New Roman" w:hAnsi="Times New Roman"/>
          <w:i/>
          <w:noProof/>
          <w:sz w:val="24"/>
        </w:rPr>
        <w:t>Европейската програма за сигурност за 2015 г.</w:t>
      </w:r>
      <w:r>
        <w:rPr>
          <w:rFonts w:ascii="Times New Roman" w:hAnsi="Times New Roman"/>
          <w:noProof/>
          <w:sz w:val="24"/>
          <w:vertAlign w:val="superscript"/>
        </w:rPr>
        <w:footnoteReference w:id="8"/>
      </w:r>
      <w:r>
        <w:rPr>
          <w:rFonts w:ascii="Times New Roman" w:hAnsi="Times New Roman"/>
          <w:noProof/>
          <w:sz w:val="24"/>
        </w:rPr>
        <w:t xml:space="preserve">, в която се подчертава силната връзка между вътрешната и външната сигурност на ЕС, конфликтите и несигурността в държавите партньори, понякога свързани с насилнически екстремизъм, засягат също вътрешната сигурност на ЕС и тази на гражданите на ЕС, както и търговските и инвестиционните интереси на ЕС в чужбина. </w:t>
      </w:r>
    </w:p>
    <w:p>
      <w:pPr>
        <w:spacing w:after="240" w:line="240" w:lineRule="auto"/>
        <w:jc w:val="both"/>
        <w:rPr>
          <w:rFonts w:ascii="Times New Roman" w:hAnsi="Times New Roman"/>
          <w:noProof/>
          <w:sz w:val="24"/>
          <w:szCs w:val="24"/>
        </w:rPr>
      </w:pPr>
      <w:r>
        <w:rPr>
          <w:rFonts w:ascii="Times New Roman" w:hAnsi="Times New Roman"/>
          <w:noProof/>
          <w:sz w:val="24"/>
        </w:rPr>
        <w:t>Ангажиментът на ЕС по отношение на РСС до този момент е оценен в съвместния работен документ на службите на Комисията</w:t>
      </w:r>
      <w:r>
        <w:rPr>
          <w:rStyle w:val="FootnoteReference"/>
          <w:rFonts w:ascii="Times New Roman" w:hAnsi="Times New Roman"/>
          <w:noProof/>
          <w:sz w:val="24"/>
        </w:rPr>
        <w:footnoteReference w:id="9"/>
      </w:r>
      <w:r>
        <w:rPr>
          <w:rFonts w:ascii="Times New Roman" w:hAnsi="Times New Roman"/>
          <w:noProof/>
          <w:sz w:val="24"/>
        </w:rPr>
        <w:t xml:space="preserve">, придружаващ настоящото съвместно съобщение, в който са обобщени резултатите от различни оценки, доклади за </w:t>
      </w:r>
      <w:r>
        <w:rPr>
          <w:rFonts w:ascii="Times New Roman" w:hAnsi="Times New Roman"/>
          <w:i/>
          <w:noProof/>
          <w:sz w:val="24"/>
        </w:rPr>
        <w:t>направените изводи</w:t>
      </w:r>
      <w:r>
        <w:rPr>
          <w:rFonts w:ascii="Times New Roman" w:hAnsi="Times New Roman"/>
          <w:noProof/>
          <w:sz w:val="24"/>
        </w:rPr>
        <w:t>, проучвания и консултации със заинтересованите страни през последните 15 години. Съгласно заключението от оценката има възможност за подобрение на съгласуваността, взаимното допълване и координацията на капацитета и инструментите на ЕС. В него се подчертава също така, че задълбочената РСС е сложен процес, изискващ дългосрочен ангажимент, без да се засягат по-краткосрочните инициативи, които може да са необходими, за да се преодолеят непосредствените заплахи за сигурността.</w:t>
      </w:r>
    </w:p>
    <w:p>
      <w:pPr>
        <w:spacing w:after="240" w:line="240" w:lineRule="auto"/>
        <w:jc w:val="both"/>
        <w:rPr>
          <w:rFonts w:ascii="Times New Roman" w:hAnsi="Times New Roman"/>
          <w:noProof/>
          <w:color w:val="000000"/>
          <w:sz w:val="24"/>
          <w:szCs w:val="24"/>
        </w:rPr>
      </w:pPr>
      <w:r>
        <w:rPr>
          <w:rFonts w:ascii="Times New Roman" w:hAnsi="Times New Roman"/>
          <w:noProof/>
          <w:sz w:val="24"/>
        </w:rPr>
        <w:t>Дипломатическите и финансовите, военните и гражданските, краткосрочните и дългосрочните мерки на ЕС следва да бъдат по-стабилно обвързани с единна обща за ЕС рамка за подкрепа на РСС, при която се отчитат взаимовръзките между политиката, сигурността, правосъдието, хуманитарните действия</w:t>
      </w:r>
      <w:r>
        <w:rPr>
          <w:rFonts w:ascii="Times New Roman" w:hAnsi="Times New Roman"/>
          <w:noProof/>
          <w:sz w:val="24"/>
          <w:vertAlign w:val="superscript"/>
        </w:rPr>
        <w:footnoteReference w:id="10"/>
      </w:r>
      <w:r>
        <w:rPr>
          <w:rFonts w:ascii="Times New Roman" w:hAnsi="Times New Roman"/>
          <w:noProof/>
          <w:sz w:val="24"/>
        </w:rPr>
        <w:t xml:space="preserve">, развитието, конфликтите и нестабилността. РСС изисква политическа, финансова и техническа подкрепа от международните партньори, особено в нестабилните и развиващите се държави и държавите в преход. </w:t>
      </w:r>
      <w:r>
        <w:rPr>
          <w:rFonts w:ascii="Times New Roman" w:hAnsi="Times New Roman"/>
          <w:noProof/>
          <w:color w:val="000000"/>
          <w:sz w:val="24"/>
        </w:rPr>
        <w:t>Със своето световно въздействие, широкообхватни външни политики, инструменти, механизми и добре установено присъствие и опит, ЕС е в добра позиция да подпомага държавите партньори в това отношение, в сътрудничество с други международни участници, включително ООН.</w:t>
      </w:r>
    </w:p>
    <w:p>
      <w:pPr>
        <w:shd w:val="clear" w:color="auto" w:fill="FFFFFF"/>
        <w:spacing w:after="240" w:line="240" w:lineRule="auto"/>
        <w:jc w:val="both"/>
        <w:rPr>
          <w:rFonts w:ascii="Times New Roman" w:hAnsi="Times New Roman"/>
          <w:noProof/>
          <w:sz w:val="24"/>
          <w:szCs w:val="24"/>
        </w:rPr>
      </w:pPr>
      <w:r>
        <w:rPr>
          <w:rFonts w:ascii="Times New Roman" w:hAnsi="Times New Roman"/>
          <w:noProof/>
          <w:sz w:val="24"/>
        </w:rPr>
        <w:t>С настоящото съвместно съобщение</w:t>
      </w:r>
      <w:r>
        <w:rPr>
          <w:rFonts w:ascii="Times New Roman" w:hAnsi="Times New Roman"/>
          <w:noProof/>
          <w:sz w:val="24"/>
          <w:vertAlign w:val="superscript"/>
        </w:rPr>
        <w:footnoteReference w:id="11"/>
      </w:r>
      <w:r>
        <w:rPr>
          <w:rFonts w:ascii="Times New Roman" w:hAnsi="Times New Roman"/>
          <w:noProof/>
          <w:sz w:val="24"/>
        </w:rPr>
        <w:t xml:space="preserve"> се предоставят елементите за такава рамка, както е посочено в заключенията на Съвета</w:t>
      </w:r>
      <w:r>
        <w:rPr>
          <w:rFonts w:ascii="Times New Roman" w:hAnsi="Times New Roman"/>
          <w:noProof/>
          <w:sz w:val="24"/>
          <w:vertAlign w:val="superscript"/>
        </w:rPr>
        <w:footnoteReference w:id="12"/>
      </w:r>
      <w:r>
        <w:rPr>
          <w:rFonts w:ascii="Times New Roman" w:hAnsi="Times New Roman"/>
          <w:noProof/>
          <w:sz w:val="24"/>
        </w:rPr>
        <w:t xml:space="preserve"> от месец май 2015 г., включително насока на работата на ЕС по изграждане на капацитет за сигурност и развитие</w:t>
      </w:r>
      <w:r>
        <w:rPr>
          <w:rFonts w:ascii="Times New Roman" w:hAnsi="Times New Roman"/>
          <w:noProof/>
          <w:sz w:val="24"/>
          <w:vertAlign w:val="superscript"/>
        </w:rPr>
        <w:footnoteReference w:id="13"/>
      </w:r>
      <w:r>
        <w:rPr>
          <w:rFonts w:ascii="Times New Roman" w:hAnsi="Times New Roman"/>
          <w:noProof/>
          <w:sz w:val="24"/>
        </w:rPr>
        <w:t xml:space="preserve"> (ИКСР). То отразява „всеобхватния подход“ към външни конфликти и кризи</w:t>
      </w:r>
      <w:r>
        <w:rPr>
          <w:rFonts w:ascii="Times New Roman" w:hAnsi="Times New Roman"/>
          <w:noProof/>
          <w:sz w:val="24"/>
          <w:vertAlign w:val="superscript"/>
        </w:rPr>
        <w:footnoteReference w:id="14"/>
      </w:r>
      <w:r>
        <w:rPr>
          <w:rFonts w:ascii="Times New Roman" w:hAnsi="Times New Roman"/>
          <w:noProof/>
          <w:sz w:val="24"/>
        </w:rPr>
        <w:t>, като обединява общата политика за сигурност и отбрана (ОПСО) с всички други съответни инструменти на общата външна политика и политика на сигурност (ОВППС), инструментите за външна дейност и участниците в областта на свободата, сигурността и правосъдието, като по този начин се сливат и актуализират две концепции на политиката на ЕС за подкрепа на РСС</w:t>
      </w:r>
      <w:r>
        <w:rPr>
          <w:rFonts w:ascii="Times New Roman" w:hAnsi="Times New Roman"/>
          <w:noProof/>
          <w:sz w:val="24"/>
          <w:vertAlign w:val="superscript"/>
        </w:rPr>
        <w:footnoteReference w:id="15"/>
      </w:r>
      <w:r>
        <w:rPr>
          <w:rFonts w:ascii="Times New Roman" w:hAnsi="Times New Roman"/>
          <w:noProof/>
          <w:sz w:val="24"/>
        </w:rPr>
        <w:t xml:space="preserve">, които преди това са били отделни. Съобщението ще допринесе за ефективността на </w:t>
      </w:r>
      <w:r>
        <w:rPr>
          <w:rFonts w:ascii="Times New Roman" w:hAnsi="Times New Roman"/>
          <w:i/>
          <w:noProof/>
          <w:sz w:val="24"/>
        </w:rPr>
        <w:t>глобалната стратегия</w:t>
      </w:r>
      <w:r>
        <w:rPr>
          <w:noProof/>
        </w:rPr>
        <w:t xml:space="preserve"> </w:t>
      </w:r>
      <w:r>
        <w:rPr>
          <w:rFonts w:ascii="Times New Roman" w:hAnsi="Times New Roman"/>
          <w:noProof/>
          <w:sz w:val="24"/>
        </w:rPr>
        <w:t>за външна политика и политика на сигурност</w:t>
      </w:r>
      <w:r>
        <w:rPr>
          <w:rStyle w:val="FootnoteReference"/>
          <w:rFonts w:ascii="Times New Roman" w:hAnsi="Times New Roman"/>
          <w:noProof/>
          <w:sz w:val="24"/>
        </w:rPr>
        <w:footnoteReference w:id="16"/>
      </w:r>
      <w:r>
        <w:rPr>
          <w:rFonts w:ascii="Times New Roman" w:hAnsi="Times New Roman"/>
          <w:noProof/>
          <w:sz w:val="24"/>
        </w:rPr>
        <w:t xml:space="preserve">, както и за </w:t>
      </w:r>
      <w:r>
        <w:rPr>
          <w:rFonts w:ascii="Times New Roman" w:hAnsi="Times New Roman"/>
          <w:i/>
          <w:noProof/>
          <w:sz w:val="24"/>
        </w:rPr>
        <w:t>Европейската програма за сигурност</w:t>
      </w:r>
      <w:r>
        <w:rPr>
          <w:rStyle w:val="FootnoteReference"/>
          <w:rFonts w:ascii="Times New Roman" w:hAnsi="Times New Roman"/>
          <w:noProof/>
          <w:sz w:val="24"/>
        </w:rPr>
        <w:footnoteReference w:id="17"/>
      </w:r>
      <w:r>
        <w:rPr>
          <w:rFonts w:ascii="Times New Roman" w:hAnsi="Times New Roman"/>
          <w:noProof/>
          <w:sz w:val="24"/>
        </w:rPr>
        <w:t>. В него са взети предвид също така съответните решения</w:t>
      </w:r>
      <w:r>
        <w:rPr>
          <w:rFonts w:ascii="Times New Roman" w:hAnsi="Times New Roman"/>
          <w:noProof/>
          <w:sz w:val="24"/>
          <w:vertAlign w:val="superscript"/>
        </w:rPr>
        <w:footnoteReference w:id="18"/>
      </w:r>
      <w:r>
        <w:rPr>
          <w:rFonts w:ascii="Times New Roman" w:hAnsi="Times New Roman"/>
          <w:noProof/>
          <w:sz w:val="24"/>
        </w:rPr>
        <w:t xml:space="preserve"> на КПР към ОИСР и, когато е приложимо, насоките на КПР към ОИСР.</w:t>
      </w:r>
    </w:p>
    <w:p>
      <w:pPr>
        <w:keepNext/>
        <w:keepLines/>
        <w:shd w:val="clear" w:color="auto" w:fill="FFFFFF"/>
        <w:spacing w:after="240" w:line="240" w:lineRule="auto"/>
        <w:jc w:val="both"/>
        <w:rPr>
          <w:rFonts w:ascii="Times New Roman" w:hAnsi="Times New Roman"/>
          <w:noProof/>
          <w:sz w:val="24"/>
          <w:szCs w:val="24"/>
        </w:rPr>
      </w:pPr>
      <w:r>
        <w:rPr>
          <w:rFonts w:ascii="Times New Roman" w:hAnsi="Times New Roman"/>
          <w:noProof/>
          <w:sz w:val="24"/>
        </w:rPr>
        <w:t>Тази рамка:</w:t>
      </w:r>
    </w:p>
    <w:p>
      <w:pPr>
        <w:numPr>
          <w:ilvl w:val="0"/>
          <w:numId w:val="15"/>
        </w:numPr>
        <w:shd w:val="clear" w:color="auto" w:fill="FFFFFF"/>
        <w:tabs>
          <w:tab w:val="left" w:pos="851"/>
        </w:tabs>
        <w:spacing w:after="240" w:line="240" w:lineRule="auto"/>
        <w:ind w:left="851" w:hanging="431"/>
        <w:jc w:val="both"/>
        <w:rPr>
          <w:rFonts w:ascii="Times New Roman" w:hAnsi="Times New Roman"/>
          <w:noProof/>
          <w:sz w:val="24"/>
          <w:szCs w:val="24"/>
        </w:rPr>
      </w:pPr>
      <w:r>
        <w:rPr>
          <w:rFonts w:ascii="Times New Roman" w:hAnsi="Times New Roman"/>
          <w:b/>
          <w:noProof/>
          <w:sz w:val="24"/>
        </w:rPr>
        <w:t>се прилага за всички участници от ЕС и инструменти на ЕС</w:t>
      </w:r>
      <w:r>
        <w:rPr>
          <w:rFonts w:ascii="Times New Roman" w:hAnsi="Times New Roman"/>
          <w:noProof/>
          <w:sz w:val="24"/>
        </w:rPr>
        <w:t>:</w:t>
      </w:r>
      <w:r>
        <w:rPr>
          <w:noProof/>
        </w:rPr>
        <w:t xml:space="preserve"> </w:t>
      </w:r>
      <w:r>
        <w:rPr>
          <w:rFonts w:ascii="Times New Roman" w:hAnsi="Times New Roman"/>
          <w:noProof/>
          <w:sz w:val="24"/>
        </w:rPr>
        <w:t>политически/дипломатически, инструменти за външна дейност, граждански и военни организации за реакция</w:t>
      </w:r>
      <w:r>
        <w:rPr>
          <w:rFonts w:ascii="Times New Roman" w:hAnsi="Times New Roman"/>
          <w:noProof/>
          <w:sz w:val="24"/>
          <w:vertAlign w:val="superscript"/>
        </w:rPr>
        <w:footnoteReference w:id="19"/>
      </w:r>
      <w:r>
        <w:rPr>
          <w:rFonts w:ascii="Times New Roman" w:hAnsi="Times New Roman"/>
          <w:noProof/>
          <w:sz w:val="24"/>
        </w:rPr>
        <w:t xml:space="preserve"> при кризи и такива в областта на ОПСО на всички равнища. Държавите — членки на ЕС, се насърчават да изготвят своите двустранни програми за РСС в контекста на тази рамка, наред с другото, чрез дейности за съвместно програмиране в съответствие със заключенията на Съвета за „засилване на съвместното програмиране“</w:t>
      </w:r>
      <w:r>
        <w:rPr>
          <w:rStyle w:val="FootnoteReference"/>
          <w:rFonts w:ascii="Times New Roman" w:hAnsi="Times New Roman"/>
          <w:noProof/>
          <w:sz w:val="24"/>
        </w:rPr>
        <w:footnoteReference w:id="20"/>
      </w:r>
      <w:r>
        <w:rPr>
          <w:rFonts w:ascii="Times New Roman" w:hAnsi="Times New Roman"/>
          <w:noProof/>
          <w:sz w:val="24"/>
        </w:rPr>
        <w:t>;</w:t>
      </w:r>
    </w:p>
    <w:p>
      <w:pPr>
        <w:numPr>
          <w:ilvl w:val="0"/>
          <w:numId w:val="15"/>
        </w:numPr>
        <w:shd w:val="clear" w:color="auto" w:fill="FFFFFF"/>
        <w:tabs>
          <w:tab w:val="left" w:pos="851"/>
        </w:tabs>
        <w:spacing w:after="240" w:line="240" w:lineRule="auto"/>
        <w:ind w:left="851" w:hanging="431"/>
        <w:jc w:val="both"/>
        <w:rPr>
          <w:rFonts w:ascii="Times New Roman" w:hAnsi="Times New Roman"/>
          <w:noProof/>
          <w:sz w:val="24"/>
          <w:szCs w:val="24"/>
        </w:rPr>
      </w:pPr>
      <w:r>
        <w:rPr>
          <w:rFonts w:ascii="Times New Roman" w:hAnsi="Times New Roman"/>
          <w:b/>
          <w:noProof/>
          <w:sz w:val="24"/>
        </w:rPr>
        <w:t xml:space="preserve"> ще направлява определянето, планирането и/или изпълнението/прилагането на всички инструменти/програми/проекти на ЕС за външна дейност, свързани с РСС</w:t>
      </w:r>
      <w:r>
        <w:rPr>
          <w:noProof/>
        </w:rPr>
        <w:t xml:space="preserve">, </w:t>
      </w:r>
      <w:r>
        <w:rPr>
          <w:rFonts w:ascii="Times New Roman" w:hAnsi="Times New Roman"/>
          <w:noProof/>
          <w:sz w:val="24"/>
        </w:rPr>
        <w:t>включително инструменти на ОПСО със специфични и/или частични мандати, включващи дейности, свързани с РСС. Въпреки че акцентът е върху подкрепата на ЕС за секторите на сигурността в други държави, с настоящото съобщение се признава взаимозависимостта между сигурност и правосъдие. Принципите, определени в него, могат да се приложат и за участници в областта на правосъдието, когато техните роли и функции имат ясни последици за сектора на сигурността;</w:t>
      </w:r>
    </w:p>
    <w:p>
      <w:pPr>
        <w:numPr>
          <w:ilvl w:val="0"/>
          <w:numId w:val="15"/>
        </w:numPr>
        <w:shd w:val="clear" w:color="auto" w:fill="FFFFFF"/>
        <w:tabs>
          <w:tab w:val="left" w:pos="851"/>
        </w:tabs>
        <w:spacing w:after="240" w:line="240" w:lineRule="auto"/>
        <w:ind w:left="851" w:hanging="431"/>
        <w:jc w:val="both"/>
        <w:rPr>
          <w:rFonts w:ascii="Times New Roman" w:hAnsi="Times New Roman"/>
          <w:noProof/>
          <w:sz w:val="24"/>
          <w:szCs w:val="24"/>
        </w:rPr>
      </w:pPr>
      <w:r>
        <w:rPr>
          <w:rFonts w:ascii="Times New Roman" w:hAnsi="Times New Roman"/>
          <w:b/>
          <w:noProof/>
          <w:sz w:val="24"/>
        </w:rPr>
        <w:t>се прилага във всякакъв контекст</w:t>
      </w:r>
      <w:r>
        <w:rPr>
          <w:noProof/>
        </w:rPr>
        <w:t xml:space="preserve">, </w:t>
      </w:r>
      <w:r>
        <w:rPr>
          <w:rFonts w:ascii="Times New Roman" w:hAnsi="Times New Roman"/>
          <w:noProof/>
          <w:sz w:val="24"/>
        </w:rPr>
        <w:t>не само при ситуации на конфликти и ситуации след конфликт</w:t>
      </w:r>
      <w:r>
        <w:rPr>
          <w:rFonts w:ascii="Times New Roman" w:hAnsi="Times New Roman"/>
          <w:noProof/>
          <w:sz w:val="24"/>
          <w:vertAlign w:val="superscript"/>
        </w:rPr>
        <w:footnoteReference w:id="21"/>
      </w:r>
      <w:r>
        <w:rPr>
          <w:rFonts w:ascii="Times New Roman" w:hAnsi="Times New Roman"/>
          <w:noProof/>
          <w:sz w:val="24"/>
        </w:rPr>
        <w:t>, като тя е достатъчно широка, което позволява да бъде приспособена към нуждите при всяка конкретна ситуация</w:t>
      </w:r>
      <w:r>
        <w:rPr>
          <w:noProof/>
        </w:rPr>
        <w:t>.</w:t>
      </w:r>
    </w:p>
    <w:p>
      <w:pPr>
        <w:keepNext/>
        <w:spacing w:before="360" w:after="240" w:line="240" w:lineRule="auto"/>
        <w:ind w:left="431" w:hanging="431"/>
        <w:jc w:val="both"/>
        <w:outlineLvl w:val="0"/>
        <w:rPr>
          <w:rFonts w:ascii="Times New Roman" w:eastAsia="Times New Roman" w:hAnsi="Times New Roman"/>
          <w:b/>
          <w:bCs/>
          <w:caps/>
          <w:noProof/>
          <w:kern w:val="32"/>
          <w:sz w:val="24"/>
          <w:szCs w:val="24"/>
        </w:rPr>
      </w:pPr>
      <w:bookmarkStart w:id="5" w:name="_Toc451796324"/>
      <w:r>
        <w:rPr>
          <w:rFonts w:ascii="Times New Roman" w:hAnsi="Times New Roman"/>
          <w:b/>
          <w:caps/>
          <w:noProof/>
          <w:kern w:val="32"/>
          <w:sz w:val="24"/>
        </w:rPr>
        <w:t xml:space="preserve">2. </w:t>
      </w:r>
      <w:r>
        <w:rPr>
          <w:noProof/>
        </w:rPr>
        <w:tab/>
      </w:r>
      <w:r>
        <w:rPr>
          <w:rFonts w:ascii="Times New Roman" w:hAnsi="Times New Roman"/>
          <w:b/>
          <w:caps/>
          <w:noProof/>
          <w:kern w:val="32"/>
          <w:sz w:val="24"/>
        </w:rPr>
        <w:t>Какво желаем да постигнем?</w:t>
      </w:r>
      <w:bookmarkEnd w:id="5"/>
    </w:p>
    <w:p>
      <w:pPr>
        <w:spacing w:after="240" w:line="240" w:lineRule="auto"/>
        <w:jc w:val="both"/>
        <w:rPr>
          <w:rFonts w:ascii="Times New Roman" w:hAnsi="Times New Roman"/>
          <w:noProof/>
          <w:sz w:val="24"/>
          <w:szCs w:val="24"/>
        </w:rPr>
      </w:pPr>
      <w:r>
        <w:rPr>
          <w:rFonts w:ascii="Times New Roman" w:hAnsi="Times New Roman"/>
          <w:noProof/>
          <w:sz w:val="24"/>
        </w:rPr>
        <w:t xml:space="preserve">Основната цел на тази стратегическа рамка на ЕС е да се подпомогне повишаването на стабилността на държавите и сигурността на гражданите. Поради това тя е предназначена да подобри ефективността на ЕС при насърчаване и подпомагане на: </w:t>
      </w:r>
    </w:p>
    <w:p>
      <w:pPr>
        <w:numPr>
          <w:ilvl w:val="0"/>
          <w:numId w:val="7"/>
        </w:numPr>
        <w:tabs>
          <w:tab w:val="left" w:pos="851"/>
        </w:tabs>
        <w:spacing w:after="120" w:line="240" w:lineRule="auto"/>
        <w:ind w:left="850" w:hanging="425"/>
        <w:jc w:val="both"/>
        <w:rPr>
          <w:rFonts w:ascii="Times New Roman" w:hAnsi="Times New Roman"/>
          <w:noProof/>
          <w:sz w:val="24"/>
          <w:szCs w:val="24"/>
        </w:rPr>
      </w:pPr>
      <w:r>
        <w:rPr>
          <w:rFonts w:ascii="Times New Roman" w:hAnsi="Times New Roman"/>
          <w:noProof/>
          <w:sz w:val="24"/>
        </w:rPr>
        <w:t>усилията на държавите партньори да осигурят сигурност за гражданите и държавата и</w:t>
      </w:r>
    </w:p>
    <w:p>
      <w:pPr>
        <w:numPr>
          <w:ilvl w:val="0"/>
          <w:numId w:val="7"/>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законосъобразността, доброто управление, почтеността и устойчивостта на сектора на сигурността на държавите партньори.</w:t>
      </w:r>
    </w:p>
    <w:p>
      <w:pPr>
        <w:keepNext/>
        <w:spacing w:after="240" w:line="240" w:lineRule="auto"/>
        <w:ind w:left="426" w:hanging="426"/>
        <w:jc w:val="both"/>
        <w:rPr>
          <w:rFonts w:ascii="Times New Roman" w:hAnsi="Times New Roman"/>
          <w:b/>
          <w:i/>
          <w:smallCaps/>
          <w:noProof/>
          <w:sz w:val="24"/>
          <w:szCs w:val="24"/>
        </w:rPr>
      </w:pPr>
      <w:r>
        <w:rPr>
          <w:rFonts w:ascii="Times New Roman" w:hAnsi="Times New Roman"/>
          <w:b/>
          <w:i/>
          <w:smallCaps/>
          <w:noProof/>
          <w:sz w:val="24"/>
        </w:rPr>
        <w:t>A.</w:t>
      </w:r>
      <w:r>
        <w:rPr>
          <w:noProof/>
        </w:rPr>
        <w:tab/>
      </w:r>
      <w:r>
        <w:rPr>
          <w:rFonts w:ascii="Times New Roman" w:hAnsi="Times New Roman"/>
          <w:b/>
          <w:i/>
          <w:smallCaps/>
          <w:noProof/>
          <w:sz w:val="24"/>
        </w:rPr>
        <w:t>Гарантиране на сигурност за гражданите и държавата</w:t>
      </w:r>
    </w:p>
    <w:p>
      <w:pPr>
        <w:spacing w:after="240" w:line="240" w:lineRule="auto"/>
        <w:jc w:val="both"/>
        <w:rPr>
          <w:rFonts w:ascii="Times New Roman" w:hAnsi="Times New Roman"/>
          <w:noProof/>
          <w:sz w:val="24"/>
          <w:szCs w:val="24"/>
        </w:rPr>
      </w:pPr>
      <w:r>
        <w:rPr>
          <w:rFonts w:ascii="Times New Roman" w:hAnsi="Times New Roman"/>
          <w:noProof/>
          <w:sz w:val="24"/>
        </w:rPr>
        <w:t>За да бъде ефективен, секторът на националната сигурност трябва:</w:t>
      </w:r>
    </w:p>
    <w:p>
      <w:pPr>
        <w:numPr>
          <w:ilvl w:val="0"/>
          <w:numId w:val="13"/>
        </w:numPr>
        <w:tabs>
          <w:tab w:val="left" w:pos="851"/>
        </w:tabs>
        <w:spacing w:after="120" w:line="240" w:lineRule="auto"/>
        <w:ind w:left="851" w:hanging="431"/>
        <w:jc w:val="both"/>
        <w:rPr>
          <w:rFonts w:ascii="Times New Roman" w:hAnsi="Times New Roman"/>
          <w:noProof/>
          <w:sz w:val="24"/>
          <w:szCs w:val="24"/>
        </w:rPr>
      </w:pPr>
      <w:r>
        <w:rPr>
          <w:rFonts w:ascii="Times New Roman" w:hAnsi="Times New Roman"/>
          <w:noProof/>
          <w:sz w:val="24"/>
        </w:rPr>
        <w:t xml:space="preserve">да се подпомага от ясна и подходяща </w:t>
      </w:r>
      <w:r>
        <w:rPr>
          <w:rFonts w:ascii="Times New Roman" w:hAnsi="Times New Roman"/>
          <w:b/>
          <w:noProof/>
          <w:sz w:val="24"/>
        </w:rPr>
        <w:t>правна уредба</w:t>
      </w:r>
      <w:r>
        <w:rPr>
          <w:rFonts w:ascii="Times New Roman" w:hAnsi="Times New Roman"/>
          <w:noProof/>
          <w:sz w:val="24"/>
        </w:rPr>
        <w:t xml:space="preserve">; </w:t>
      </w:r>
    </w:p>
    <w:p>
      <w:pPr>
        <w:numPr>
          <w:ilvl w:val="0"/>
          <w:numId w:val="13"/>
        </w:numPr>
        <w:tabs>
          <w:tab w:val="left" w:pos="851"/>
        </w:tabs>
        <w:spacing w:after="120" w:line="240" w:lineRule="auto"/>
        <w:ind w:left="851" w:hanging="431"/>
        <w:jc w:val="both"/>
        <w:rPr>
          <w:rFonts w:ascii="Times New Roman" w:hAnsi="Times New Roman"/>
          <w:noProof/>
          <w:sz w:val="24"/>
          <w:szCs w:val="24"/>
        </w:rPr>
      </w:pPr>
      <w:r>
        <w:rPr>
          <w:rFonts w:ascii="Times New Roman" w:hAnsi="Times New Roman"/>
          <w:noProof/>
          <w:sz w:val="24"/>
        </w:rPr>
        <w:t xml:space="preserve">да се ръководи от подходящи </w:t>
      </w:r>
      <w:r>
        <w:rPr>
          <w:rFonts w:ascii="Times New Roman" w:hAnsi="Times New Roman"/>
          <w:b/>
          <w:noProof/>
          <w:sz w:val="24"/>
        </w:rPr>
        <w:t>политики и стратегии</w:t>
      </w:r>
      <w:r>
        <w:rPr>
          <w:rFonts w:ascii="Times New Roman" w:hAnsi="Times New Roman"/>
          <w:noProof/>
          <w:sz w:val="24"/>
        </w:rPr>
        <w:t xml:space="preserve"> за сигурност и правосъдие и </w:t>
      </w:r>
    </w:p>
    <w:p>
      <w:pPr>
        <w:numPr>
          <w:ilvl w:val="0"/>
          <w:numId w:val="13"/>
        </w:numPr>
        <w:tabs>
          <w:tab w:val="left" w:pos="851"/>
        </w:tabs>
        <w:spacing w:after="240" w:line="240" w:lineRule="auto"/>
        <w:ind w:left="851" w:hanging="431"/>
        <w:jc w:val="both"/>
        <w:rPr>
          <w:rFonts w:ascii="Times New Roman" w:hAnsi="Times New Roman"/>
          <w:noProof/>
          <w:sz w:val="24"/>
          <w:szCs w:val="24"/>
        </w:rPr>
      </w:pPr>
      <w:r>
        <w:rPr>
          <w:rFonts w:ascii="Times New Roman" w:hAnsi="Times New Roman"/>
          <w:noProof/>
          <w:sz w:val="24"/>
        </w:rPr>
        <w:t xml:space="preserve">да е съставен от добре координирани </w:t>
      </w:r>
      <w:r>
        <w:rPr>
          <w:rFonts w:ascii="Times New Roman" w:hAnsi="Times New Roman"/>
          <w:b/>
          <w:noProof/>
          <w:sz w:val="24"/>
        </w:rPr>
        <w:t>институции</w:t>
      </w:r>
      <w:r>
        <w:rPr>
          <w:rFonts w:ascii="Times New Roman" w:hAnsi="Times New Roman"/>
          <w:noProof/>
          <w:sz w:val="24"/>
        </w:rPr>
        <w:t xml:space="preserve">, които си сътрудничат помежду си, като всяка една от тях следва да бъде правилно структурирана и организирана с ясно определена роля, подходящи процедури, квалифициран персонал и ресурси. </w:t>
      </w:r>
    </w:p>
    <w:p>
      <w:pPr>
        <w:spacing w:after="240" w:line="240" w:lineRule="auto"/>
        <w:jc w:val="both"/>
        <w:rPr>
          <w:rFonts w:ascii="Times New Roman" w:hAnsi="Times New Roman"/>
          <w:noProof/>
          <w:sz w:val="24"/>
          <w:szCs w:val="24"/>
        </w:rPr>
      </w:pPr>
      <w:r>
        <w:rPr>
          <w:rFonts w:ascii="Times New Roman" w:hAnsi="Times New Roman"/>
          <w:noProof/>
          <w:sz w:val="24"/>
        </w:rPr>
        <w:t>Той трябва да взема под внимание съществуващите неформални и неправителствени доставчици на услуги в областта на сигурността и да поддържа върховенството на закона.</w:t>
      </w:r>
    </w:p>
    <w:p>
      <w:pPr>
        <w:keepNext/>
        <w:spacing w:after="240" w:line="240" w:lineRule="auto"/>
        <w:jc w:val="both"/>
        <w:rPr>
          <w:rFonts w:ascii="Times New Roman" w:hAnsi="Times New Roman"/>
          <w:b/>
          <w:noProof/>
          <w:sz w:val="24"/>
          <w:szCs w:val="24"/>
        </w:rPr>
      </w:pPr>
      <w:r>
        <w:rPr>
          <w:rFonts w:ascii="Times New Roman" w:hAnsi="Times New Roman"/>
          <w:b/>
          <w:noProof/>
          <w:sz w:val="24"/>
        </w:rPr>
        <w:t>Сигурност на хората</w:t>
      </w:r>
    </w:p>
    <w:p>
      <w:pPr>
        <w:tabs>
          <w:tab w:val="left" w:pos="1177"/>
        </w:tabs>
        <w:spacing w:after="240" w:line="240" w:lineRule="auto"/>
        <w:jc w:val="both"/>
        <w:rPr>
          <w:rFonts w:ascii="Times New Roman" w:hAnsi="Times New Roman"/>
          <w:noProof/>
          <w:sz w:val="24"/>
          <w:szCs w:val="24"/>
        </w:rPr>
      </w:pPr>
      <w:r>
        <w:rPr>
          <w:rFonts w:ascii="Times New Roman" w:hAnsi="Times New Roman"/>
          <w:noProof/>
          <w:sz w:val="24"/>
        </w:rPr>
        <w:t xml:space="preserve">Първата цел на всяка система за национална сигурност трябва да бъде гарантирането на сигурността на </w:t>
      </w:r>
      <w:r>
        <w:rPr>
          <w:rFonts w:ascii="Times New Roman" w:hAnsi="Times New Roman"/>
          <w:b/>
          <w:noProof/>
          <w:sz w:val="24"/>
        </w:rPr>
        <w:t>гражданите</w:t>
      </w:r>
      <w:r>
        <w:rPr>
          <w:rFonts w:ascii="Times New Roman" w:hAnsi="Times New Roman"/>
          <w:noProof/>
          <w:sz w:val="24"/>
        </w:rPr>
        <w:t xml:space="preserve"> съобразно техните възприятия и опит. Това включва утвърждаване на техните основни свободи</w:t>
      </w:r>
      <w:r>
        <w:rPr>
          <w:rFonts w:ascii="Times New Roman" w:hAnsi="Times New Roman"/>
          <w:noProof/>
          <w:sz w:val="24"/>
          <w:vertAlign w:val="superscript"/>
        </w:rPr>
        <w:footnoteReference w:id="22"/>
      </w:r>
      <w:r>
        <w:rPr>
          <w:rFonts w:ascii="Times New Roman" w:hAnsi="Times New Roman"/>
          <w:noProof/>
          <w:sz w:val="24"/>
        </w:rPr>
        <w:t xml:space="preserve"> и правилно оценяване с участието на заинтересованите страни на свързаните със сигурността потребности на различни </w:t>
      </w:r>
      <w:r>
        <w:rPr>
          <w:rFonts w:ascii="Times New Roman" w:hAnsi="Times New Roman"/>
          <w:b/>
          <w:noProof/>
          <w:sz w:val="24"/>
        </w:rPr>
        <w:t>групи</w:t>
      </w:r>
      <w:r>
        <w:rPr>
          <w:rFonts w:ascii="Times New Roman" w:hAnsi="Times New Roman"/>
          <w:noProof/>
          <w:sz w:val="24"/>
        </w:rPr>
        <w:t xml:space="preserve">, включително най-уязвимите. Системата следва да обхваща свързаните със сигурността специфични потребности на жените, непълнолетните и малолетните лица, възрастните хора и малцинствата. </w:t>
      </w:r>
    </w:p>
    <w:p>
      <w:pPr>
        <w:tabs>
          <w:tab w:val="left" w:pos="1177"/>
        </w:tabs>
        <w:spacing w:after="240" w:line="240" w:lineRule="auto"/>
        <w:jc w:val="both"/>
        <w:rPr>
          <w:rFonts w:ascii="Times New Roman" w:hAnsi="Times New Roman"/>
          <w:noProof/>
          <w:sz w:val="24"/>
          <w:szCs w:val="24"/>
        </w:rPr>
      </w:pPr>
      <w:r>
        <w:rPr>
          <w:rFonts w:ascii="Times New Roman" w:hAnsi="Times New Roman"/>
          <w:noProof/>
          <w:sz w:val="24"/>
        </w:rPr>
        <w:t xml:space="preserve">Дейностите, свързани с реформата, трябва да вземат под внимание </w:t>
      </w:r>
      <w:r>
        <w:rPr>
          <w:rFonts w:ascii="Times New Roman" w:hAnsi="Times New Roman"/>
          <w:b/>
          <w:noProof/>
          <w:sz w:val="24"/>
        </w:rPr>
        <w:t>аспектите, свързани с пола</w:t>
      </w:r>
      <w:r>
        <w:rPr>
          <w:rFonts w:ascii="Times New Roman" w:hAnsi="Times New Roman"/>
          <w:noProof/>
          <w:sz w:val="24"/>
          <w:vertAlign w:val="superscript"/>
        </w:rPr>
        <w:footnoteReference w:id="23"/>
      </w:r>
      <w:r>
        <w:rPr>
          <w:rFonts w:ascii="Times New Roman" w:hAnsi="Times New Roman"/>
          <w:noProof/>
          <w:sz w:val="24"/>
        </w:rPr>
        <w:t>, за да се гарантира, че жените и мъжете имат ефективен и равен достъп до съдебни услуги и услуги за сигурност. За тази цел изготвянето или преразглеждането на политиките за национална сигурност следва да се извършва въз основа на анализ, съобразен с въпросите на пола. Освен това подкрепата за жертвите на насилие следва да бъде съчетана с превантивни мерки (например законодателство, повишаване на информираността относно въпросите на пола в полицейските и военните структури, борба срещу безнаказаността на извършителите).</w:t>
      </w:r>
    </w:p>
    <w:p>
      <w:pPr>
        <w:keepNext/>
        <w:spacing w:after="240" w:line="240" w:lineRule="auto"/>
        <w:jc w:val="both"/>
        <w:rPr>
          <w:rFonts w:ascii="Times New Roman" w:hAnsi="Times New Roman"/>
          <w:b/>
          <w:noProof/>
          <w:sz w:val="24"/>
          <w:szCs w:val="24"/>
        </w:rPr>
      </w:pPr>
      <w:r>
        <w:rPr>
          <w:rFonts w:ascii="Times New Roman" w:hAnsi="Times New Roman"/>
          <w:b/>
          <w:noProof/>
          <w:sz w:val="24"/>
        </w:rPr>
        <w:t>Предотвратяване и справяне с транснационалните заплахи за сигурността</w:t>
      </w:r>
    </w:p>
    <w:p>
      <w:pPr>
        <w:spacing w:after="240" w:line="240" w:lineRule="auto"/>
        <w:jc w:val="both"/>
        <w:rPr>
          <w:rFonts w:ascii="Times New Roman" w:hAnsi="Times New Roman"/>
          <w:noProof/>
          <w:sz w:val="24"/>
          <w:szCs w:val="24"/>
        </w:rPr>
      </w:pPr>
      <w:r>
        <w:rPr>
          <w:rFonts w:ascii="Times New Roman" w:hAnsi="Times New Roman"/>
          <w:noProof/>
          <w:sz w:val="24"/>
        </w:rPr>
        <w:t xml:space="preserve">Системите за национална сигурност трябва също така ефективно да противодействат на транснационалните заплахи за сигурността като тероризма и организираната престъпност във всичките им прояви. Ответните действия трябва да включват установяване или засилване на международното сътрудничество. </w:t>
      </w:r>
    </w:p>
    <w:p>
      <w:pPr>
        <w:keepNext/>
        <w:spacing w:after="240" w:line="240" w:lineRule="auto"/>
        <w:ind w:left="426" w:hanging="426"/>
        <w:jc w:val="both"/>
        <w:rPr>
          <w:rFonts w:ascii="Times New Roman" w:hAnsi="Times New Roman"/>
          <w:b/>
          <w:i/>
          <w:smallCaps/>
          <w:noProof/>
          <w:sz w:val="24"/>
          <w:szCs w:val="24"/>
        </w:rPr>
      </w:pPr>
      <w:r>
        <w:rPr>
          <w:rFonts w:ascii="Times New Roman" w:hAnsi="Times New Roman"/>
          <w:b/>
          <w:i/>
          <w:smallCaps/>
          <w:noProof/>
          <w:sz w:val="24"/>
        </w:rPr>
        <w:t xml:space="preserve">Б. </w:t>
      </w:r>
      <w:r>
        <w:rPr>
          <w:noProof/>
        </w:rPr>
        <w:tab/>
      </w:r>
      <w:r>
        <w:rPr>
          <w:rFonts w:ascii="Times New Roman" w:hAnsi="Times New Roman"/>
          <w:b/>
          <w:i/>
          <w:smallCaps/>
          <w:noProof/>
          <w:sz w:val="24"/>
        </w:rPr>
        <w:t>Законосъобразност</w:t>
      </w:r>
      <w:r>
        <w:rPr>
          <w:rFonts w:ascii="Times New Roman" w:hAnsi="Times New Roman"/>
          <w:i/>
          <w:smallCaps/>
          <w:noProof/>
          <w:sz w:val="24"/>
          <w:vertAlign w:val="superscript"/>
        </w:rPr>
        <w:footnoteReference w:id="24"/>
      </w:r>
      <w:r>
        <w:rPr>
          <w:rFonts w:ascii="Times New Roman" w:hAnsi="Times New Roman"/>
          <w:b/>
          <w:i/>
          <w:smallCaps/>
          <w:noProof/>
          <w:sz w:val="24"/>
        </w:rPr>
        <w:t>, добро управление, почтеност и устойчивост</w:t>
      </w:r>
    </w:p>
    <w:p>
      <w:pPr>
        <w:keepNext/>
        <w:spacing w:after="240" w:line="240" w:lineRule="auto"/>
        <w:jc w:val="both"/>
        <w:rPr>
          <w:rFonts w:ascii="Times New Roman" w:hAnsi="Times New Roman"/>
          <w:b/>
          <w:noProof/>
          <w:sz w:val="24"/>
          <w:szCs w:val="24"/>
        </w:rPr>
      </w:pPr>
      <w:r>
        <w:rPr>
          <w:rFonts w:ascii="Times New Roman" w:hAnsi="Times New Roman"/>
          <w:b/>
          <w:noProof/>
          <w:sz w:val="24"/>
        </w:rPr>
        <w:t>Права на човека, върховенство на закона и демократични принципи</w:t>
      </w:r>
      <w:r>
        <w:rPr>
          <w:rFonts w:ascii="Times New Roman" w:hAnsi="Times New Roman"/>
          <w:noProof/>
          <w:sz w:val="24"/>
          <w:vertAlign w:val="superscript"/>
        </w:rPr>
        <w:footnoteReference w:id="25"/>
      </w:r>
    </w:p>
    <w:p>
      <w:pPr>
        <w:spacing w:after="240" w:line="240" w:lineRule="auto"/>
        <w:jc w:val="both"/>
        <w:rPr>
          <w:rFonts w:ascii="Times New Roman" w:hAnsi="Times New Roman"/>
          <w:noProof/>
          <w:sz w:val="24"/>
          <w:szCs w:val="24"/>
        </w:rPr>
      </w:pPr>
      <w:r>
        <w:rPr>
          <w:rFonts w:ascii="Times New Roman" w:hAnsi="Times New Roman"/>
          <w:noProof/>
          <w:sz w:val="24"/>
        </w:rPr>
        <w:t xml:space="preserve">Участниците в областта на сигурността трябва да зачитат и утвърждават без дискриминация правата на човека по отношение на цялото население и своите собствени членове. Секторът на сигурността трябва да подлежи на ефективен </w:t>
      </w:r>
      <w:r>
        <w:rPr>
          <w:rFonts w:ascii="Times New Roman" w:hAnsi="Times New Roman"/>
          <w:b/>
          <w:noProof/>
          <w:sz w:val="24"/>
        </w:rPr>
        <w:t>демократичен контрол</w:t>
      </w:r>
      <w:r>
        <w:rPr>
          <w:rFonts w:ascii="Times New Roman" w:hAnsi="Times New Roman"/>
          <w:noProof/>
          <w:sz w:val="24"/>
        </w:rPr>
        <w:t xml:space="preserve"> и </w:t>
      </w:r>
      <w:r>
        <w:rPr>
          <w:rFonts w:ascii="Times New Roman" w:hAnsi="Times New Roman"/>
          <w:b/>
          <w:noProof/>
          <w:sz w:val="24"/>
        </w:rPr>
        <w:t>надзор</w:t>
      </w:r>
      <w:r>
        <w:rPr>
          <w:rFonts w:ascii="Times New Roman" w:hAnsi="Times New Roman"/>
          <w:noProof/>
          <w:sz w:val="24"/>
          <w:vertAlign w:val="superscript"/>
        </w:rPr>
        <w:footnoteReference w:id="26"/>
      </w:r>
      <w:r>
        <w:rPr>
          <w:rFonts w:ascii="Times New Roman" w:hAnsi="Times New Roman"/>
          <w:noProof/>
          <w:sz w:val="24"/>
        </w:rPr>
        <w:t>. Той следва да функционира в контекста на ясна и недвусмислена правна рамка, одобрена от националния законодател, която включва ефективен граждански контрол. Неговият бюджет следва да бъде неразделна част от националния бюджет и да се разисква и одобрява от законодателя, който трябва да може да упражнява ефективен надзор. Провеждането на консултации и ангажирането на гражданското общество следва да бъдат стандартна практика при изготвянето и мониторинга на политиките и дейностите в областта на сигурността и правосъдието.</w:t>
      </w:r>
    </w:p>
    <w:p>
      <w:pPr>
        <w:keepNext/>
        <w:spacing w:after="240" w:line="240" w:lineRule="auto"/>
        <w:jc w:val="both"/>
        <w:rPr>
          <w:rFonts w:ascii="Times New Roman" w:hAnsi="Times New Roman"/>
          <w:b/>
          <w:noProof/>
          <w:sz w:val="24"/>
          <w:szCs w:val="24"/>
        </w:rPr>
      </w:pPr>
      <w:r>
        <w:rPr>
          <w:rFonts w:ascii="Times New Roman" w:hAnsi="Times New Roman"/>
          <w:b/>
          <w:noProof/>
          <w:sz w:val="24"/>
        </w:rPr>
        <w:t>Принципи на добро управление</w:t>
      </w:r>
      <w:r>
        <w:rPr>
          <w:rFonts w:ascii="Times New Roman" w:hAnsi="Times New Roman"/>
          <w:noProof/>
          <w:sz w:val="24"/>
          <w:vertAlign w:val="superscript"/>
        </w:rPr>
        <w:footnoteReference w:id="27"/>
      </w:r>
    </w:p>
    <w:p>
      <w:pPr>
        <w:spacing w:after="240" w:line="240" w:lineRule="auto"/>
        <w:jc w:val="both"/>
        <w:rPr>
          <w:rFonts w:ascii="Times New Roman" w:hAnsi="Times New Roman"/>
          <w:noProof/>
          <w:sz w:val="24"/>
          <w:szCs w:val="24"/>
        </w:rPr>
      </w:pPr>
      <w:r>
        <w:rPr>
          <w:rFonts w:ascii="Times New Roman" w:hAnsi="Times New Roman"/>
          <w:noProof/>
          <w:sz w:val="24"/>
        </w:rPr>
        <w:t>Следва да се прилагат принципите на</w:t>
      </w:r>
      <w:r>
        <w:rPr>
          <w:noProof/>
        </w:rPr>
        <w:t xml:space="preserve"> </w:t>
      </w:r>
      <w:r>
        <w:rPr>
          <w:rFonts w:ascii="Times New Roman" w:hAnsi="Times New Roman"/>
          <w:b/>
          <w:noProof/>
          <w:sz w:val="24"/>
        </w:rPr>
        <w:t>прозрачност</w:t>
      </w:r>
      <w:r>
        <w:rPr>
          <w:noProof/>
        </w:rPr>
        <w:t xml:space="preserve"> </w:t>
      </w:r>
      <w:r>
        <w:rPr>
          <w:rFonts w:ascii="Times New Roman" w:hAnsi="Times New Roman"/>
          <w:noProof/>
          <w:sz w:val="24"/>
        </w:rPr>
        <w:t xml:space="preserve">и </w:t>
      </w:r>
      <w:r>
        <w:rPr>
          <w:rFonts w:ascii="Times New Roman" w:hAnsi="Times New Roman"/>
          <w:b/>
          <w:noProof/>
          <w:sz w:val="24"/>
        </w:rPr>
        <w:t xml:space="preserve">откритост </w:t>
      </w:r>
      <w:r>
        <w:rPr>
          <w:rFonts w:ascii="Times New Roman" w:hAnsi="Times New Roman"/>
          <w:noProof/>
          <w:sz w:val="24"/>
        </w:rPr>
        <w:t>и да се въведат правни гаранции, за да се предотврати произволното вземане на решения. Процедурите за набиране на служители и тяхното повишаване, както и назначенията на висши длъжности в структурата на сигурността следва да са основани на ясно определени и обществено достъпни критерии. Трябва да се зачита официалната йерархия на управление. Класифицирането и разпространението на документи в сектора на сигурността, както и достъпът до тях (включително процесите на възлагане на обществените поръчки) следва да бъдат предмет на официално договорени и предвидими процедури. Информацията следва да бъде публична, за да се повишат прозрачността и осведомеността. Налагането на ограничения по отношение на откритостта и прозрачността може да бъде обосновано от съображения, свързани с ясно определена публична политика (например защита на данните), но те следва при всички случаи да бъдат сведени до минимум.</w:t>
      </w:r>
    </w:p>
    <w:p>
      <w:pPr>
        <w:spacing w:after="240" w:line="240" w:lineRule="auto"/>
        <w:jc w:val="both"/>
        <w:rPr>
          <w:rFonts w:ascii="Times New Roman" w:hAnsi="Times New Roman"/>
          <w:noProof/>
          <w:sz w:val="24"/>
          <w:szCs w:val="24"/>
        </w:rPr>
      </w:pPr>
      <w:r>
        <w:rPr>
          <w:rFonts w:ascii="Times New Roman" w:hAnsi="Times New Roman"/>
          <w:noProof/>
          <w:sz w:val="24"/>
        </w:rPr>
        <w:t xml:space="preserve">Участието на </w:t>
      </w:r>
      <w:r>
        <w:rPr>
          <w:rFonts w:ascii="Times New Roman" w:hAnsi="Times New Roman"/>
          <w:b/>
          <w:noProof/>
          <w:sz w:val="24"/>
        </w:rPr>
        <w:t>всички заинтересовани страни</w:t>
      </w:r>
      <w:r>
        <w:rPr>
          <w:rFonts w:ascii="Times New Roman" w:hAnsi="Times New Roman"/>
          <w:noProof/>
          <w:sz w:val="24"/>
        </w:rPr>
        <w:t xml:space="preserve"> в процеса на реформа предполага, че политиките и стратегиите за национална сигурност се разработват чрез процеси на консултиране с всички страни. По-специално следва да се гарантира участието на жените в съответствие с приложимите резолюции на Съвета за сигурност на ООН</w:t>
      </w:r>
      <w:r>
        <w:rPr>
          <w:rFonts w:ascii="Times New Roman" w:hAnsi="Times New Roman"/>
          <w:noProof/>
          <w:sz w:val="24"/>
          <w:vertAlign w:val="superscript"/>
        </w:rPr>
        <w:footnoteReference w:id="28"/>
      </w:r>
      <w:r>
        <w:rPr>
          <w:rFonts w:ascii="Times New Roman" w:hAnsi="Times New Roman"/>
          <w:noProof/>
          <w:sz w:val="24"/>
        </w:rPr>
        <w:t xml:space="preserve">. </w:t>
      </w:r>
    </w:p>
    <w:p>
      <w:pPr>
        <w:spacing w:after="240" w:line="240" w:lineRule="auto"/>
        <w:jc w:val="both"/>
        <w:rPr>
          <w:rFonts w:ascii="Times New Roman" w:hAnsi="Times New Roman"/>
          <w:noProof/>
          <w:sz w:val="24"/>
          <w:szCs w:val="24"/>
        </w:rPr>
      </w:pPr>
      <w:r>
        <w:rPr>
          <w:rFonts w:ascii="Times New Roman" w:hAnsi="Times New Roman"/>
          <w:noProof/>
          <w:sz w:val="24"/>
        </w:rPr>
        <w:t xml:space="preserve">Самият сектор на сигурността следва да бъде </w:t>
      </w:r>
      <w:r>
        <w:rPr>
          <w:rFonts w:ascii="Times New Roman" w:hAnsi="Times New Roman"/>
          <w:b/>
          <w:noProof/>
          <w:sz w:val="24"/>
        </w:rPr>
        <w:t>приобщаващ</w:t>
      </w:r>
      <w:r>
        <w:rPr>
          <w:rFonts w:ascii="Times New Roman" w:hAnsi="Times New Roman"/>
          <w:noProof/>
          <w:sz w:val="24"/>
        </w:rPr>
        <w:t xml:space="preserve">. Силите за сигурност следва да не изключват или дискриминират определена група. С цел да се избегне създаването на напрежение, разпределението на ресурсите следва да бъде публично, обосновано и да отразява законово определени роли/задачи. Жените следва да имат равни възможности и да бъдат овластени в рамките на силите за сигурност. </w:t>
      </w:r>
    </w:p>
    <w:p>
      <w:pPr>
        <w:spacing w:after="240" w:line="240" w:lineRule="auto"/>
        <w:jc w:val="both"/>
        <w:rPr>
          <w:rFonts w:ascii="Times New Roman" w:hAnsi="Times New Roman"/>
          <w:noProof/>
          <w:sz w:val="24"/>
          <w:szCs w:val="24"/>
        </w:rPr>
      </w:pPr>
      <w:r>
        <w:rPr>
          <w:rFonts w:ascii="Times New Roman" w:hAnsi="Times New Roman"/>
          <w:noProof/>
          <w:sz w:val="24"/>
        </w:rPr>
        <w:t xml:space="preserve">В отделните институции за сигурност следва да бъдат въведени ефективни системи за вътрешна </w:t>
      </w:r>
      <w:r>
        <w:rPr>
          <w:rFonts w:ascii="Times New Roman" w:hAnsi="Times New Roman"/>
          <w:b/>
          <w:noProof/>
          <w:sz w:val="24"/>
        </w:rPr>
        <w:t>отчетност</w:t>
      </w:r>
      <w:r>
        <w:rPr>
          <w:rFonts w:ascii="Times New Roman" w:hAnsi="Times New Roman"/>
          <w:noProof/>
          <w:sz w:val="24"/>
        </w:rPr>
        <w:t>, като например служби за вътрешна инспекция и одити, като те трябва да подлежат и на външен контрол на финансовото и оперативното управление, упражняван от страна на сметната палата или други надзорни или еквивалентни органи. За отчетността допринасят също така механизми като проверки, кодекси за поведение, независими органи за разглеждане на жалби и контрол, упражняван от гражданското общество. С цел да се избегне безнаказаността, е важно да се утвърждава принципът на равенство пред закона, избягване на произвол и процесуална и правна прозрачност, когато даден участник в областта на сигурността бъде подведен под съдебна отговорност. Компетентността на всяка отделна военна съдебна система следва да бъде ясна и точно определена. При всички случаи гражданите следва да бъдат съдени от граждански съдилища.</w:t>
      </w:r>
    </w:p>
    <w:p>
      <w:pPr>
        <w:keepNext/>
        <w:spacing w:after="240" w:line="240" w:lineRule="auto"/>
        <w:jc w:val="both"/>
        <w:rPr>
          <w:rFonts w:ascii="Times New Roman" w:hAnsi="Times New Roman"/>
          <w:b/>
          <w:noProof/>
          <w:sz w:val="24"/>
          <w:szCs w:val="24"/>
        </w:rPr>
      </w:pPr>
      <w:r>
        <w:rPr>
          <w:rFonts w:ascii="Times New Roman" w:hAnsi="Times New Roman"/>
          <w:b/>
          <w:noProof/>
          <w:sz w:val="24"/>
        </w:rPr>
        <w:t>Почтеност и борба с корупцията</w:t>
      </w:r>
    </w:p>
    <w:p>
      <w:pPr>
        <w:spacing w:after="240" w:line="240" w:lineRule="auto"/>
        <w:jc w:val="both"/>
        <w:rPr>
          <w:rFonts w:ascii="Times New Roman" w:hAnsi="Times New Roman"/>
          <w:noProof/>
          <w:sz w:val="24"/>
          <w:szCs w:val="24"/>
        </w:rPr>
      </w:pPr>
      <w:r>
        <w:rPr>
          <w:rFonts w:ascii="Times New Roman" w:hAnsi="Times New Roman"/>
          <w:noProof/>
          <w:sz w:val="24"/>
        </w:rPr>
        <w:t xml:space="preserve">Доверието между населението и участниците в областта на сигурността е от решаващо значение за ефективността на сектора на сигурността. То се подкопава от случаи на подкуп, изнудване, присвояване на средства, връзкарство и непотизъм. Финансовите ресурси, разпределени за сектора на сигурността, следва да се управляват въз основа на същите принципи на добро управление, които се прилагат за другите публични сектори. Също както другите процеси на възлагане на обществени поръчки, доставката на военно и полицейско оборудване и услуги следва да бъде предмет на подходящи процедури, ограничения и контрол. Националните стратегии за борба с корупцията следва да бъдат еднакво приложими за участниците в областта на сигурността. </w:t>
      </w:r>
    </w:p>
    <w:p>
      <w:pPr>
        <w:keepNext/>
        <w:spacing w:after="240" w:line="240" w:lineRule="auto"/>
        <w:jc w:val="both"/>
        <w:rPr>
          <w:rFonts w:ascii="Times New Roman" w:hAnsi="Times New Roman"/>
          <w:noProof/>
          <w:sz w:val="24"/>
          <w:szCs w:val="24"/>
        </w:rPr>
      </w:pPr>
      <w:r>
        <w:rPr>
          <w:rFonts w:ascii="Times New Roman" w:hAnsi="Times New Roman"/>
          <w:b/>
          <w:noProof/>
          <w:sz w:val="24"/>
        </w:rPr>
        <w:t>Устойчивост</w:t>
      </w:r>
    </w:p>
    <w:p>
      <w:pPr>
        <w:spacing w:after="240" w:line="240" w:lineRule="auto"/>
        <w:jc w:val="both"/>
        <w:rPr>
          <w:rFonts w:ascii="Times New Roman" w:hAnsi="Times New Roman"/>
          <w:bCs/>
          <w:noProof/>
          <w:sz w:val="24"/>
          <w:szCs w:val="24"/>
        </w:rPr>
      </w:pPr>
      <w:r>
        <w:rPr>
          <w:rFonts w:ascii="Times New Roman" w:hAnsi="Times New Roman"/>
          <w:noProof/>
          <w:sz w:val="24"/>
        </w:rPr>
        <w:t>Законодателството, институциите и процедурите в областта на сигурността следва да бъдат разработени въз основа на национални процеси в съответствие с подхода на включване на „цялото общество“, за да бъдат ефективни и приложими</w:t>
      </w:r>
      <w:r>
        <w:rPr>
          <w:rFonts w:ascii="Times New Roman" w:hAnsi="Times New Roman"/>
          <w:noProof/>
          <w:sz w:val="24"/>
          <w:vertAlign w:val="superscript"/>
        </w:rPr>
        <w:footnoteReference w:id="29"/>
      </w:r>
      <w:r>
        <w:rPr>
          <w:rFonts w:ascii="Times New Roman" w:hAnsi="Times New Roman"/>
          <w:noProof/>
          <w:sz w:val="24"/>
        </w:rPr>
        <w:t xml:space="preserve">. От съществено значение са ангажиментът на ключови заинтересовани страни в областта на политиката, сигурността и правосъдието и подкрепата на гражданското общество. </w:t>
      </w:r>
    </w:p>
    <w:p>
      <w:pPr>
        <w:spacing w:after="240" w:line="240" w:lineRule="auto"/>
        <w:jc w:val="both"/>
        <w:rPr>
          <w:rFonts w:ascii="Times New Roman" w:hAnsi="Times New Roman"/>
          <w:noProof/>
          <w:sz w:val="24"/>
          <w:szCs w:val="24"/>
        </w:rPr>
      </w:pPr>
      <w:r>
        <w:rPr>
          <w:rFonts w:ascii="Times New Roman" w:hAnsi="Times New Roman"/>
          <w:noProof/>
          <w:sz w:val="24"/>
        </w:rPr>
        <w:t xml:space="preserve">По принцип равнищата на човешките ресурси, инвестициите и финансовите ресурси следва да се основават на правилно планиране и да бъдат </w:t>
      </w:r>
      <w:r>
        <w:rPr>
          <w:rFonts w:ascii="Times New Roman" w:hAnsi="Times New Roman"/>
          <w:b/>
          <w:noProof/>
          <w:sz w:val="24"/>
        </w:rPr>
        <w:t>фискално устойчиви</w:t>
      </w:r>
      <w:r>
        <w:rPr>
          <w:rFonts w:ascii="Times New Roman" w:hAnsi="Times New Roman"/>
          <w:noProof/>
          <w:sz w:val="24"/>
        </w:rPr>
        <w:t>, за да не се застрашава предоставянето на други важни обществени услуги.</w:t>
      </w:r>
    </w:p>
    <w:p>
      <w:pPr>
        <w:keepNext/>
        <w:spacing w:before="360" w:after="240" w:line="240" w:lineRule="auto"/>
        <w:ind w:left="431" w:hanging="431"/>
        <w:jc w:val="both"/>
        <w:outlineLvl w:val="0"/>
        <w:rPr>
          <w:rFonts w:ascii="Times New Roman" w:eastAsia="Times New Roman" w:hAnsi="Times New Roman"/>
          <w:b/>
          <w:bCs/>
          <w:caps/>
          <w:noProof/>
          <w:kern w:val="32"/>
          <w:sz w:val="24"/>
          <w:szCs w:val="24"/>
        </w:rPr>
      </w:pPr>
      <w:bookmarkStart w:id="6" w:name="_Toc451796325"/>
      <w:bookmarkStart w:id="7" w:name="_Toc420082963"/>
      <w:bookmarkStart w:id="8" w:name="_Toc435784251"/>
      <w:bookmarkStart w:id="9" w:name="_Toc440292880"/>
      <w:r>
        <w:rPr>
          <w:rFonts w:ascii="Times New Roman" w:hAnsi="Times New Roman"/>
          <w:b/>
          <w:caps/>
          <w:noProof/>
          <w:kern w:val="32"/>
          <w:sz w:val="24"/>
        </w:rPr>
        <w:t xml:space="preserve">3. </w:t>
      </w:r>
      <w:r>
        <w:rPr>
          <w:noProof/>
        </w:rPr>
        <w:tab/>
      </w:r>
      <w:r>
        <w:rPr>
          <w:rFonts w:ascii="Times New Roman" w:hAnsi="Times New Roman"/>
          <w:b/>
          <w:caps/>
          <w:noProof/>
          <w:kern w:val="32"/>
          <w:sz w:val="24"/>
        </w:rPr>
        <w:t>Как желаем да го постигнем?</w:t>
      </w:r>
      <w:bookmarkEnd w:id="6"/>
      <w:r>
        <w:rPr>
          <w:rFonts w:ascii="Times New Roman" w:hAnsi="Times New Roman"/>
          <w:b/>
          <w:caps/>
          <w:noProof/>
          <w:kern w:val="32"/>
          <w:sz w:val="24"/>
        </w:rPr>
        <w:t xml:space="preserve"> </w:t>
      </w:r>
    </w:p>
    <w:p>
      <w:pPr>
        <w:spacing w:after="240" w:line="240" w:lineRule="auto"/>
        <w:jc w:val="both"/>
        <w:rPr>
          <w:rFonts w:ascii="Times New Roman" w:hAnsi="Times New Roman"/>
          <w:noProof/>
          <w:sz w:val="24"/>
          <w:szCs w:val="24"/>
        </w:rPr>
      </w:pPr>
      <w:r>
        <w:rPr>
          <w:rFonts w:ascii="Times New Roman" w:hAnsi="Times New Roman"/>
          <w:noProof/>
          <w:sz w:val="24"/>
        </w:rPr>
        <w:t>Ангажиментът на ЕС в сектора на сигурността се основава на набор от ключови елементи и принципи, включително принципите на ефективност на помощта</w:t>
      </w:r>
      <w:r>
        <w:rPr>
          <w:rFonts w:ascii="Times New Roman" w:hAnsi="Times New Roman"/>
          <w:noProof/>
          <w:sz w:val="24"/>
          <w:vertAlign w:val="superscript"/>
        </w:rPr>
        <w:footnoteReference w:id="30"/>
      </w:r>
      <w:r>
        <w:rPr>
          <w:rFonts w:ascii="Times New Roman" w:hAnsi="Times New Roman"/>
          <w:noProof/>
          <w:sz w:val="24"/>
        </w:rPr>
        <w:t>, които се прилагат за сигурността в същата степен като за останалите области на сътрудничество.</w:t>
      </w:r>
    </w:p>
    <w:p>
      <w:pPr>
        <w:keepNext/>
        <w:spacing w:after="240" w:line="240" w:lineRule="auto"/>
        <w:jc w:val="both"/>
        <w:rPr>
          <w:rFonts w:ascii="Times New Roman" w:hAnsi="Times New Roman"/>
          <w:b/>
          <w:noProof/>
          <w:sz w:val="24"/>
          <w:szCs w:val="24"/>
        </w:rPr>
      </w:pPr>
      <w:r>
        <w:rPr>
          <w:rFonts w:ascii="Times New Roman" w:hAnsi="Times New Roman"/>
          <w:b/>
          <w:noProof/>
          <w:sz w:val="24"/>
        </w:rPr>
        <w:t>Опознаване на сектора на сигурността в неговия по-широк контекст</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Ангажиментът на ЕС в сектора на сигурността на дадена държава партньор или регион ще включва разбиране и съобразяване с официалните и неофициалните правила, които ръководят начина на действие на участниците в областта на сигурността и правосъдието. Подобно разбиране е необходимо за взаимодействията и властовите отношения между участниците в областта на сигурността и правосъдието, както и за участниците извън областта на сигурността, а така също и за динамиката на съществуващите конфликти</w:t>
      </w:r>
      <w:r>
        <w:rPr>
          <w:rStyle w:val="FootnoteReference"/>
          <w:rFonts w:ascii="Times New Roman" w:hAnsi="Times New Roman"/>
          <w:noProof/>
          <w:sz w:val="24"/>
        </w:rPr>
        <w:footnoteReference w:id="31"/>
      </w:r>
      <w:r>
        <w:rPr>
          <w:rFonts w:ascii="Times New Roman" w:hAnsi="Times New Roman"/>
          <w:noProof/>
          <w:sz w:val="24"/>
        </w:rPr>
        <w:t xml:space="preserve">. От основно значение е осведомеността за политическата обстановка, социално-икономическите фактори, културата и историята. </w:t>
      </w:r>
    </w:p>
    <w:p>
      <w:pPr>
        <w:spacing w:after="240" w:line="240" w:lineRule="auto"/>
        <w:jc w:val="both"/>
        <w:rPr>
          <w:rFonts w:ascii="Times New Roman" w:hAnsi="Times New Roman"/>
          <w:noProof/>
          <w:sz w:val="24"/>
          <w:szCs w:val="24"/>
        </w:rPr>
      </w:pPr>
      <w:r>
        <w:rPr>
          <w:rFonts w:ascii="Times New Roman" w:hAnsi="Times New Roman"/>
          <w:noProof/>
          <w:sz w:val="24"/>
        </w:rPr>
        <w:t>ЕС следва да основава своите политически диалог и действия на предварителен анализ на сектора на сигурността на дадена държава и как той се вписва в този по-широк контекст. Делегациите на ЕС са инструктирани да анализират сектора на сигурността и да докладват за него, като използват съществуващите механизми за докладване. Когато има мисия по линия на ОПСО, този анализ и докладване ще бъдат съвместни в съответствие с „всеобхватния подход“. Посолствата на държавите членки, по-специално тези с аташета по въпросите на сигурността и/или отбраната, ще бъдат приканени да допринасят с информация и експертен опит.</w:t>
      </w:r>
    </w:p>
    <w:p>
      <w:pPr>
        <w:spacing w:after="240" w:line="240" w:lineRule="auto"/>
        <w:jc w:val="both"/>
        <w:rPr>
          <w:rFonts w:ascii="Times New Roman" w:hAnsi="Times New Roman"/>
          <w:noProof/>
          <w:sz w:val="24"/>
          <w:szCs w:val="24"/>
        </w:rPr>
      </w:pPr>
      <w:r>
        <w:rPr>
          <w:rFonts w:ascii="Times New Roman" w:hAnsi="Times New Roman"/>
          <w:noProof/>
          <w:sz w:val="24"/>
        </w:rPr>
        <w:t xml:space="preserve">Когато се предвижда широкомащабна подкрепа за РСС, ЕС ще извърши структурирана оценка на контекста (например анализ на политическата икономика), който обхваща всички заинтересовани страни (участници в областта на сигурността и правосъдието, включително очаквани източници на съпротива, движещи фактори на промяната и групи, които традиционно са изключени от институциите в областта на сигурността и правосъдието като жени, млади хора и малцинства). Тази оценка следва да бъде насочена към нуждите в областта на сигурността, така както се възприемат и изпитват от ключови демографски групи, и начина на задоволяването им от сектора на сигурността.  </w:t>
      </w:r>
    </w:p>
    <w:p>
      <w:pPr>
        <w:spacing w:after="240" w:line="240" w:lineRule="auto"/>
        <w:jc w:val="both"/>
        <w:rPr>
          <w:rFonts w:ascii="Times New Roman" w:hAnsi="Times New Roman"/>
          <w:noProof/>
          <w:sz w:val="24"/>
          <w:szCs w:val="24"/>
        </w:rPr>
      </w:pPr>
      <w:r>
        <w:rPr>
          <w:rFonts w:ascii="Times New Roman" w:hAnsi="Times New Roman"/>
          <w:noProof/>
          <w:sz w:val="24"/>
        </w:rPr>
        <w:t xml:space="preserve">Оценката следва да включва анализ на съществуващите национални политики/стратегии и бюджет, местни практики в областта на сигурността и правосъдието, източници на несигурност и нестабилност, потенциални рискови фактори, спазване на принципите на демократично управление и човешка сигурност, степента на ефективност на защитата на гражданите, съществуващото международно сътрудничество и координация и възможности за подкрепа. В резултат на нея следва да се определят специфични проблеми, свързани със сигурността, които биха били с приоритетно значение за помощта на ЕС, както и процесът на промяна, за който може да допринесе помощта. ЕС следва да насърчава извършването на съвместен анализ, като включи съответните местни и международни участници и източници на експертен опит. Когато е възможно, националните органи ще участват и в идеалния случай ще ръководят тези оценки. Може да се привлече експертен опит за партньорска оценка. </w:t>
      </w:r>
    </w:p>
    <w:p>
      <w:pPr>
        <w:spacing w:after="240" w:line="240" w:lineRule="auto"/>
        <w:jc w:val="both"/>
        <w:rPr>
          <w:rFonts w:ascii="Times New Roman" w:hAnsi="Times New Roman"/>
          <w:noProof/>
          <w:sz w:val="24"/>
          <w:szCs w:val="24"/>
        </w:rPr>
      </w:pPr>
      <w:r>
        <w:rPr>
          <w:rFonts w:ascii="Times New Roman" w:hAnsi="Times New Roman"/>
          <w:noProof/>
          <w:sz w:val="24"/>
        </w:rPr>
        <w:t xml:space="preserve">Освен че ще служат като основа при разработването на подкрепата за РСС, тези оценки ще помогнат да се установят основните параметри за наблюдение на въздействието на ангажимента на ЕС. Те ще се актуализират редовно, за да се отразят промените и за да продължат да бъдат полезни при осъществяването на подкрепата.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b/>
          <w:i/>
          <w:noProof/>
          <w:sz w:val="24"/>
        </w:rPr>
        <w:t>Действия</w:t>
      </w:r>
      <w:r>
        <w:rPr>
          <w:rFonts w:ascii="Times New Roman" w:hAnsi="Times New Roman"/>
          <w:i/>
          <w:noProof/>
          <w:sz w:val="24"/>
        </w:rPr>
        <w:t xml:space="preserve">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Делегациите на ЕС ще включат съгласно инструкциите анализ на сектора на сигурността в своите редовни доклади (съвместно с мисиите по линия на ОПСО, когато има такива). ЕС следва да извърши по-задълбочени оценки на сектора на сигурността, когато се предвижда значителен ангажимент.</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Въз основа на съществуващите методологически документи ЕСВД/службите на Комисията ще предоставят насоки за извършването на анализи на сектора на сигурността.</w:t>
      </w:r>
    </w:p>
    <w:p>
      <w:pPr>
        <w:keepNext/>
        <w:spacing w:after="240" w:line="240" w:lineRule="auto"/>
        <w:jc w:val="both"/>
        <w:rPr>
          <w:rFonts w:ascii="Times New Roman" w:hAnsi="Times New Roman"/>
          <w:b/>
          <w:noProof/>
          <w:sz w:val="24"/>
          <w:szCs w:val="24"/>
        </w:rPr>
      </w:pPr>
      <w:r>
        <w:rPr>
          <w:rFonts w:ascii="Times New Roman" w:hAnsi="Times New Roman"/>
          <w:b/>
          <w:noProof/>
          <w:sz w:val="24"/>
        </w:rPr>
        <w:t xml:space="preserve">Осигуряване на възможност за по-широка национална ангажираност </w:t>
      </w:r>
    </w:p>
    <w:p>
      <w:pPr>
        <w:spacing w:after="240" w:line="240" w:lineRule="auto"/>
        <w:jc w:val="both"/>
        <w:rPr>
          <w:rFonts w:ascii="Times New Roman" w:hAnsi="Times New Roman"/>
          <w:noProof/>
          <w:sz w:val="24"/>
          <w:szCs w:val="24"/>
        </w:rPr>
      </w:pPr>
      <w:r>
        <w:rPr>
          <w:rFonts w:ascii="Times New Roman" w:hAnsi="Times New Roman"/>
          <w:noProof/>
          <w:sz w:val="24"/>
        </w:rPr>
        <w:t xml:space="preserve">Понятието „национална ангажираност“ надхвърля рамките на приемането от страна на правителството на намесите на международните участници. Усилията за реформи ще бъдат ефективни и устойчиви само ако вкоренени в институциите на съответната държава (включително чрез бюджетно задължение), националните участници в областта на сигурността и правосъдието са техни инициатори, а обществото като цяло ги счита за законосъобразни. Това означава, че националните участници следва да ръководят процеса и да поемат цялостна отговорност за резултатите от мерките, а външните партньори да осигуряват консултации и подкрепа. Това означава също така, че всички (държавни и недържавни) заинтересовани страни, включително маргинализираните групи, следва да бъдат включени постепенно в действията, за да се постигне консенсус по отношение на мерките в сектора на сигурността въз основа на национални приети стратегии, когато е приложимо. Това е предизвикателство, тъй като участниците имат разнопосочни интереси и някои ще се противопоставят на реформата.  </w:t>
      </w:r>
    </w:p>
    <w:p>
      <w:pPr>
        <w:spacing w:after="240" w:line="240" w:lineRule="auto"/>
        <w:jc w:val="both"/>
        <w:rPr>
          <w:rFonts w:ascii="Times New Roman" w:hAnsi="Times New Roman"/>
          <w:noProof/>
          <w:sz w:val="24"/>
          <w:szCs w:val="24"/>
        </w:rPr>
      </w:pPr>
      <w:r>
        <w:rPr>
          <w:rFonts w:ascii="Times New Roman" w:hAnsi="Times New Roman"/>
          <w:noProof/>
          <w:sz w:val="24"/>
        </w:rPr>
        <w:t>В кризисна ситуация или непосредствено след конфликт, когато държавните институции са слаби или липсват, подкрепата от ЕС, предоставяна на ранни етапи, следва да създаде условия за национална ангажираност въз основа на процес на широко участие, който включва гражданското общество.</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b/>
          <w:i/>
          <w:noProof/>
          <w:sz w:val="24"/>
        </w:rPr>
        <w:t>Действия</w:t>
      </w:r>
      <w:r>
        <w:rPr>
          <w:rFonts w:ascii="Times New Roman" w:hAnsi="Times New Roman"/>
          <w:i/>
          <w:noProof/>
          <w:sz w:val="24"/>
        </w:rPr>
        <w:t xml:space="preserve">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 xml:space="preserve">Когато участва в дейности за подкрепа на РСС, ЕС следва: </w:t>
      </w:r>
    </w:p>
    <w:p>
      <w:pPr>
        <w:numPr>
          <w:ilvl w:val="0"/>
          <w:numId w:val="3"/>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да оцени политическия ангажимент за реформата, вероятните източници на съпротива и начините, по които неговата подкрепа може да привлече база от привърженици, които могат да подпомогнат процеса на промяна;</w:t>
      </w:r>
    </w:p>
    <w:p>
      <w:pPr>
        <w:numPr>
          <w:ilvl w:val="0"/>
          <w:numId w:val="3"/>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да основава своята подкрепа на национални политики, планове и стратегии, както и приоритетни въпроси, когато това е приложимо, като надгражда национални процеси или текущи действия и</w:t>
      </w:r>
    </w:p>
    <w:p>
      <w:pPr>
        <w:numPr>
          <w:ilvl w:val="0"/>
          <w:numId w:val="3"/>
        </w:num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да включва всички заинтересовани страни, в това число недържавни участници и участници от гражданското общество, още от етапа на определяне, за да се постигне възможно най-голям консенсус относно мерките.</w:t>
      </w:r>
    </w:p>
    <w:p>
      <w:pPr>
        <w:keepNext/>
        <w:spacing w:after="240" w:line="240" w:lineRule="auto"/>
        <w:jc w:val="both"/>
        <w:rPr>
          <w:rFonts w:ascii="Times New Roman" w:hAnsi="Times New Roman"/>
          <w:b/>
          <w:i/>
          <w:noProof/>
          <w:sz w:val="24"/>
          <w:szCs w:val="24"/>
        </w:rPr>
      </w:pPr>
      <w:r>
        <w:rPr>
          <w:rFonts w:ascii="Times New Roman" w:hAnsi="Times New Roman"/>
          <w:b/>
          <w:noProof/>
          <w:sz w:val="24"/>
        </w:rPr>
        <w:t xml:space="preserve">По-широк поглед върху ситуацията </w:t>
      </w:r>
    </w:p>
    <w:p>
      <w:pPr>
        <w:spacing w:after="240" w:line="240" w:lineRule="auto"/>
        <w:jc w:val="both"/>
        <w:rPr>
          <w:rFonts w:ascii="Times New Roman" w:hAnsi="Times New Roman"/>
          <w:noProof/>
          <w:sz w:val="24"/>
          <w:szCs w:val="24"/>
        </w:rPr>
      </w:pPr>
      <w:r>
        <w:rPr>
          <w:rFonts w:ascii="Times New Roman" w:hAnsi="Times New Roman"/>
          <w:noProof/>
          <w:sz w:val="24"/>
        </w:rPr>
        <w:t xml:space="preserve">Управлението на сектора на сигурността отразява общото състояние на управлението във въпросната държава и следва да се развива в контекста на по-широки инициативи за управление. ЕС следва да насърчава правителствата партньори и гражданското общество да включват въпросите на сектора на сигурността в национални многогодишни стратегии за развитие и да ги обвържат, доколкото е възможно, с текущи или планирани усилия за управление в други сектори. По същия начин диалозите за политиките относно управлението и прозрачността на публичните финанси/бюджетния контрол трябва да обхващат сектора на сигурността. </w:t>
      </w:r>
    </w:p>
    <w:p>
      <w:pPr>
        <w:spacing w:after="240" w:line="240" w:lineRule="auto"/>
        <w:jc w:val="both"/>
        <w:rPr>
          <w:rFonts w:ascii="Times New Roman" w:hAnsi="Times New Roman"/>
          <w:noProof/>
          <w:sz w:val="24"/>
          <w:szCs w:val="24"/>
        </w:rPr>
      </w:pPr>
      <w:r>
        <w:rPr>
          <w:rFonts w:ascii="Times New Roman" w:hAnsi="Times New Roman"/>
          <w:noProof/>
          <w:sz w:val="24"/>
        </w:rPr>
        <w:t xml:space="preserve">Подкрепата за РСС следва да предвиди въздействието, което тя ще има в сектора на сигурността и извън него. Веригата на наказателното правосъдие и управлението на границите са ясни примери за силната взаимовръзка между различните участници в областта на сигурността и правосъдието, което налага прилагането на цялостен подход. Това не означава, че подкрепата на ЕС трябва да обхване целия сектор на сигурността на държавата партньор.. Тя може да бъде най-ефективна, когато е насочена към избрани входни пунктове, които са по-достъпни, податливи на положително развитие и/или при които може да се постигне максимален ефект от оказаната подкрепа.  </w:t>
      </w:r>
    </w:p>
    <w:p>
      <w:pPr>
        <w:spacing w:after="240" w:line="240" w:lineRule="auto"/>
        <w:jc w:val="both"/>
        <w:rPr>
          <w:rFonts w:ascii="Times New Roman" w:hAnsi="Times New Roman"/>
          <w:noProof/>
          <w:sz w:val="24"/>
          <w:szCs w:val="24"/>
        </w:rPr>
      </w:pPr>
      <w:r>
        <w:rPr>
          <w:rFonts w:ascii="Times New Roman" w:hAnsi="Times New Roman"/>
          <w:noProof/>
          <w:sz w:val="24"/>
        </w:rPr>
        <w:t>За справяне с установените предизвикателства пред сигурността ЕС може да обмисли възможността да приеме подход на решаване на проблеми чрез разработването на програми, съставени от различни набори от мерки. Не всички от тях могат да включват пряко участниците от областта на сигурността и правосъдието, но те трябва да имат за цел да ангажират широк кръг от заинтересовани страни от различни сектори. Например програмите за градска сигурност могат да включват подкрепа за местните служби за сигурност, градоустройственото планиране и професионалното обучение за младите хора.</w:t>
      </w:r>
    </w:p>
    <w:p>
      <w:pPr>
        <w:spacing w:after="240" w:line="240" w:lineRule="auto"/>
        <w:jc w:val="both"/>
        <w:rPr>
          <w:rFonts w:ascii="Times New Roman" w:hAnsi="Times New Roman"/>
          <w:noProof/>
          <w:sz w:val="24"/>
          <w:szCs w:val="24"/>
        </w:rPr>
      </w:pPr>
      <w:r>
        <w:rPr>
          <w:rFonts w:ascii="Times New Roman" w:hAnsi="Times New Roman"/>
          <w:noProof/>
          <w:sz w:val="24"/>
        </w:rPr>
        <w:t>Когато е възможно, следва да се насърчат ефективни, финансово изгодни операции за бюджетна подкрепа въз основа на национална политика или стратегия и ясни и постижими показатели, свързани със сигурността, за да се засилят националната ангажираност и управление при пълно спазване на съответните насоки за бюджетна подкрепа</w:t>
      </w:r>
      <w:r>
        <w:rPr>
          <w:rFonts w:ascii="Times New Roman" w:hAnsi="Times New Roman"/>
          <w:noProof/>
          <w:sz w:val="24"/>
          <w:vertAlign w:val="superscript"/>
        </w:rPr>
        <w:footnoteReference w:id="32"/>
      </w:r>
      <w:r>
        <w:rPr>
          <w:rFonts w:ascii="Times New Roman" w:hAnsi="Times New Roman"/>
          <w:noProof/>
          <w:sz w:val="24"/>
        </w:rPr>
        <w:t>.</w:t>
      </w:r>
    </w:p>
    <w:p>
      <w:pPr>
        <w:keepNext/>
        <w:spacing w:after="240" w:line="240" w:lineRule="auto"/>
        <w:jc w:val="both"/>
        <w:rPr>
          <w:rFonts w:ascii="Times New Roman" w:hAnsi="Times New Roman"/>
          <w:b/>
          <w:noProof/>
          <w:sz w:val="24"/>
          <w:szCs w:val="24"/>
        </w:rPr>
      </w:pPr>
      <w:r>
        <w:rPr>
          <w:rFonts w:ascii="Times New Roman" w:hAnsi="Times New Roman"/>
          <w:b/>
          <w:noProof/>
          <w:sz w:val="24"/>
        </w:rPr>
        <w:t>Систематичен политически диалог и диалог за политиките</w:t>
      </w:r>
    </w:p>
    <w:p>
      <w:pPr>
        <w:spacing w:after="240" w:line="240" w:lineRule="auto"/>
        <w:jc w:val="both"/>
        <w:rPr>
          <w:rFonts w:ascii="Times New Roman" w:hAnsi="Times New Roman"/>
          <w:noProof/>
          <w:sz w:val="24"/>
          <w:szCs w:val="24"/>
        </w:rPr>
      </w:pPr>
      <w:r>
        <w:rPr>
          <w:rFonts w:ascii="Times New Roman" w:hAnsi="Times New Roman"/>
          <w:noProof/>
          <w:sz w:val="24"/>
        </w:rPr>
        <w:t>Мерките, свързани с РСС, следва да бъдат систематично съпровождани от широк секторен диалог и подпомагани от политически ангажимент на високо равнище. Трябва да е налице взаимовръзка с политическия(ите) диалог(зи) и диалога(зите) за политиките по отношение на въпроси, свързани с правата на човека, върховенството на закона, демокрацията и доброто управление, както и спазване на международните задължения, наред с другото, и в областта на международното хуманитарно право. Напредъкът в това отношение ще се следи и оценява през цялото време на изпълнение на мерките. Политическият диалог и диалогът за политиките могат да допринесат и за насърчаване на националната ангажираност.</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Когато има значителен ангажимент, ЕС и държавата партньор могат да обсъдят и договорят критерии и съответни механизми за редовен преглед, за да се измери напредъкът при управлението и ефективността на сектора на сигурността. Те могат да бъдат под формата на необвързващ инструмент, включващ политически ангажименти</w:t>
      </w:r>
      <w:r>
        <w:rPr>
          <w:rFonts w:ascii="Times New Roman" w:hAnsi="Times New Roman"/>
          <w:i/>
          <w:noProof/>
          <w:sz w:val="24"/>
          <w:vertAlign w:val="superscript"/>
        </w:rPr>
        <w:footnoteReference w:id="33"/>
      </w:r>
      <w:r>
        <w:rPr>
          <w:rFonts w:ascii="Times New Roman" w:hAnsi="Times New Roman"/>
          <w:i/>
          <w:noProof/>
          <w:sz w:val="24"/>
        </w:rPr>
        <w:t xml:space="preserve">. Специфични договорености ще се определят за всеки отделен случай. </w:t>
      </w:r>
    </w:p>
    <w:p>
      <w:pPr>
        <w:keepNext/>
        <w:spacing w:after="240" w:line="240" w:lineRule="auto"/>
        <w:jc w:val="both"/>
        <w:rPr>
          <w:rFonts w:ascii="Times New Roman" w:hAnsi="Times New Roman"/>
          <w:b/>
          <w:noProof/>
          <w:sz w:val="24"/>
          <w:szCs w:val="24"/>
        </w:rPr>
      </w:pPr>
      <w:r>
        <w:rPr>
          <w:rFonts w:ascii="Times New Roman" w:hAnsi="Times New Roman"/>
          <w:b/>
          <w:noProof/>
          <w:sz w:val="24"/>
        </w:rPr>
        <w:t>Координиране на подкрепата от ЕС</w:t>
      </w:r>
    </w:p>
    <w:p>
      <w:pPr>
        <w:spacing w:after="240" w:line="240" w:lineRule="auto"/>
        <w:jc w:val="both"/>
        <w:rPr>
          <w:rFonts w:ascii="Times New Roman" w:hAnsi="Times New Roman"/>
          <w:noProof/>
          <w:sz w:val="24"/>
          <w:szCs w:val="24"/>
        </w:rPr>
      </w:pPr>
      <w:r>
        <w:rPr>
          <w:rFonts w:ascii="Times New Roman" w:hAnsi="Times New Roman"/>
          <w:noProof/>
          <w:sz w:val="24"/>
        </w:rPr>
        <w:t xml:space="preserve">В съответствие с „всеобхватния подход“ към външните конфликти и кризи всички действия на ЕС за подпомагане на дипломацията, развитието и ОПСО следва да бъдат съгласувани, координирани, взаимно допълващи се, последователни и в съответствие с правните, политическите и институционалните рамки. Целта е да се насърчи ефективността на подкрепата на ЕС за РСС. Когато се планират значителни мерки на ЕС в сектора на сигурността, ЕС и държавите членки следва да набележат дейности за РСС, за предпочитане с други международни участници. Това ще даде възможност за споделяне на информация, за да се постигне общо разбиране на контекста и да се съберат направените изводи и препоръки, които ще бъдат вложени в политическия диалог и диалога за политиките, промените в текущите програми, формулировката на планираните мерки и процесите на програмиране. </w:t>
      </w:r>
    </w:p>
    <w:p>
      <w:pPr>
        <w:spacing w:after="240" w:line="240" w:lineRule="auto"/>
        <w:jc w:val="both"/>
        <w:rPr>
          <w:rFonts w:ascii="Times New Roman" w:hAnsi="Times New Roman"/>
          <w:noProof/>
          <w:sz w:val="24"/>
          <w:szCs w:val="24"/>
        </w:rPr>
      </w:pPr>
      <w:r>
        <w:rPr>
          <w:rFonts w:ascii="Times New Roman" w:hAnsi="Times New Roman"/>
          <w:noProof/>
          <w:sz w:val="24"/>
        </w:rPr>
        <w:t>Набелязаните дейности биха могли да служат и като основа, върху която участниците от ЕС съвместно да определят общи цели и да разработят „</w:t>
      </w:r>
      <w:r>
        <w:rPr>
          <w:rFonts w:ascii="Times New Roman" w:hAnsi="Times New Roman"/>
          <w:b/>
          <w:noProof/>
          <w:sz w:val="24"/>
        </w:rPr>
        <w:t>матрица за координация</w:t>
      </w:r>
      <w:r>
        <w:rPr>
          <w:rFonts w:ascii="Times New Roman" w:hAnsi="Times New Roman"/>
          <w:noProof/>
          <w:sz w:val="24"/>
        </w:rPr>
        <w:t>“ (координирана на място от делегацията на ЕС), която ще им даде възможност да определят подходящи връзки и последователността между политическия диалог, дейностите/инструментите за сътрудничество и възможните мисии/операции по линия на ОПСО. Матрицата за координация ще бъде динамичен документ, който надгражда, когато е уместно, съществуващите политически рамки за подхода при кризи и/или националните рамки и стратегии за програмиране, включително в контекста на съвместното програмиране.</w:t>
      </w:r>
    </w:p>
    <w:p>
      <w:pPr>
        <w:spacing w:after="240" w:line="240" w:lineRule="auto"/>
        <w:jc w:val="both"/>
        <w:rPr>
          <w:rFonts w:ascii="Times New Roman" w:hAnsi="Times New Roman"/>
          <w:noProof/>
          <w:sz w:val="24"/>
          <w:szCs w:val="24"/>
        </w:rPr>
      </w:pPr>
      <w:r>
        <w:rPr>
          <w:rFonts w:ascii="Times New Roman" w:hAnsi="Times New Roman"/>
          <w:noProof/>
          <w:sz w:val="24"/>
        </w:rPr>
        <w:t>Инструментите на ЕС подлежат на различни процедури на програмиране и вземане на решения и регулаторни ограничения, които произтичат от съответните им правни основания. „Матриците за координация“ на ЕС на национално равнище няма да изменят тези правила, а по-скоро ще отразяват общо съгласие между всички участници на ЕС по отношение на приоритетите, целите и техните възможни роли.</w:t>
      </w:r>
    </w:p>
    <w:p>
      <w:pPr>
        <w:spacing w:after="240" w:line="240" w:lineRule="auto"/>
        <w:jc w:val="both"/>
        <w:rPr>
          <w:rFonts w:ascii="Times New Roman" w:hAnsi="Times New Roman"/>
          <w:noProof/>
          <w:sz w:val="24"/>
          <w:szCs w:val="24"/>
        </w:rPr>
      </w:pPr>
      <w:r>
        <w:rPr>
          <w:rFonts w:ascii="Times New Roman" w:hAnsi="Times New Roman"/>
          <w:noProof/>
          <w:sz w:val="24"/>
        </w:rPr>
        <w:t xml:space="preserve">С тези „матрици за координация“ ще се определят рисковете, мерките за тяхното ограничаване и, доколкото е възможно, стратегия за изход, която е съгласувана с по-дългосрочния национален план и финансов капацитет на държавата партньор. Те ще съставляват основата за система за мониторинг и оценка, която позволява измерване на напредъка и въздействието на подкрепата от ЕС. Когато се разработва единна стратегия за подкрепа, тези елементи ще се обсъждат пряко и ще се договарят на това равнище.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Две години след приемането на настоящото съвместно съобщение ще бъде разработена всеобхватна „матрица за координация“ на ЕС в най-малко две държави в съответствие с всички съществуващи матрици на донорите за съвместно програмиране.</w:t>
      </w:r>
    </w:p>
    <w:p>
      <w:pPr>
        <w:keepNext/>
        <w:spacing w:after="240" w:line="240" w:lineRule="auto"/>
        <w:jc w:val="both"/>
        <w:rPr>
          <w:rFonts w:ascii="Times New Roman" w:hAnsi="Times New Roman"/>
          <w:b/>
          <w:noProof/>
          <w:sz w:val="24"/>
          <w:szCs w:val="24"/>
        </w:rPr>
      </w:pPr>
      <w:r>
        <w:rPr>
          <w:rFonts w:ascii="Times New Roman" w:hAnsi="Times New Roman"/>
          <w:b/>
          <w:noProof/>
          <w:sz w:val="24"/>
        </w:rPr>
        <w:t>Координация с други международни участници</w:t>
      </w:r>
    </w:p>
    <w:p>
      <w:pPr>
        <w:spacing w:after="240" w:line="240" w:lineRule="auto"/>
        <w:jc w:val="both"/>
        <w:rPr>
          <w:rFonts w:ascii="Times New Roman" w:hAnsi="Times New Roman"/>
          <w:noProof/>
          <w:sz w:val="24"/>
          <w:szCs w:val="24"/>
        </w:rPr>
      </w:pPr>
      <w:r>
        <w:rPr>
          <w:rFonts w:ascii="Times New Roman" w:hAnsi="Times New Roman"/>
          <w:noProof/>
          <w:sz w:val="24"/>
        </w:rPr>
        <w:t>ЕС в сътрудничество с държавите членки следва да се стреми да постигне полезни взаимодействия с други международни участници и консенсус с тях в съответствие с член 210 от ДФЕС. За тази цел ще се търси тясно сътрудничество с ООН, регионални и други международни организации (по-специално тези с мандат в областта на сигурността), двустранни партньори, които са ангажирани с въпроси, свързани със сигурността и, когато е уместно, със специализирани международни НПО. Секторът на сигурността следва да бъде неразделна част от координацията между международни участници/донори в рамките на дадена държава. Когато е възможно и приложимо, международните участници следва да обмислят възможността да разработят своите действия в съответствие с национална единна стратегия за подпомагане на развитието на сектора на сигурността.</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 xml:space="preserve">Въз основа на „матрицата за координация“ и в сътрудничество с държавите членки и други международни партньори, ЕС ще насърчава всеобхватен международен ангажимент в съответствие с единна стратегия за подкрепа на сектора на сигурността, която ще бъде разработена заедно с държавата партньор. </w:t>
      </w:r>
    </w:p>
    <w:p>
      <w:pPr>
        <w:keepNext/>
        <w:spacing w:after="240" w:line="240" w:lineRule="auto"/>
        <w:jc w:val="both"/>
        <w:rPr>
          <w:rFonts w:ascii="Times New Roman" w:hAnsi="Times New Roman"/>
          <w:b/>
          <w:noProof/>
          <w:sz w:val="24"/>
          <w:szCs w:val="24"/>
        </w:rPr>
      </w:pPr>
      <w:r>
        <w:rPr>
          <w:rFonts w:ascii="Times New Roman" w:hAnsi="Times New Roman"/>
          <w:b/>
          <w:noProof/>
          <w:sz w:val="24"/>
        </w:rPr>
        <w:t>Постигане на гъвкавост и баланс между дългосрочната системна промяна и непосредствените нужди в областта на сигурността</w:t>
      </w:r>
    </w:p>
    <w:p>
      <w:pPr>
        <w:spacing w:after="240" w:line="240" w:lineRule="auto"/>
        <w:jc w:val="both"/>
        <w:rPr>
          <w:rFonts w:ascii="Times New Roman" w:hAnsi="Times New Roman"/>
          <w:noProof/>
          <w:sz w:val="24"/>
          <w:szCs w:val="24"/>
        </w:rPr>
      </w:pPr>
      <w:r>
        <w:rPr>
          <w:rFonts w:ascii="Times New Roman" w:hAnsi="Times New Roman"/>
          <w:noProof/>
          <w:sz w:val="24"/>
        </w:rPr>
        <w:t xml:space="preserve">Преобразуването на всеки сектор на сигурността представлява продължителен процес, който трябва да бъде съобразен със специфичните институционални култури и способността за промяна. Необходима е дългосрочна визия и ангажимент. Във всеки конкретен контекст ЕС трябва да постигне правилния баланс и съгласуваност между такива дългосрочни усилия и необходимостта да се отговори на по-належащите, често непосредствени нужди на гражданите в областта на сигурността. </w:t>
      </w:r>
    </w:p>
    <w:p>
      <w:pPr>
        <w:spacing w:after="240" w:line="240" w:lineRule="auto"/>
        <w:jc w:val="both"/>
        <w:rPr>
          <w:rFonts w:ascii="Times New Roman" w:hAnsi="Times New Roman"/>
          <w:noProof/>
          <w:sz w:val="24"/>
          <w:szCs w:val="24"/>
        </w:rPr>
      </w:pPr>
      <w:r>
        <w:rPr>
          <w:rFonts w:ascii="Times New Roman" w:hAnsi="Times New Roman"/>
          <w:noProof/>
          <w:sz w:val="24"/>
        </w:rPr>
        <w:t xml:space="preserve">Тъй като работната среда може бързо да се промени, особено в нестабилни държави или след конфликт, някои действия може да се преустановят или правата на човека или принципите на управление може да бъдат нарушени. Програмите за подкрепа на РСС ще трябва да могат да бъдат адаптирани.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rPr>
      </w:pPr>
      <w:r>
        <w:rPr>
          <w:rFonts w:ascii="Times New Roman" w:hAnsi="Times New Roman"/>
          <w:b/>
          <w:i/>
          <w:noProof/>
          <w:sz w:val="24"/>
        </w:rPr>
        <w:t>Действия</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Когато участва в дейности, свързани с РСС, ЕС следва:</w:t>
      </w:r>
    </w:p>
    <w:p>
      <w:pPr>
        <w:numPr>
          <w:ilvl w:val="0"/>
          <w:numId w:val="4"/>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да определи постепенни и постижими цели;</w:t>
      </w:r>
    </w:p>
    <w:p>
      <w:pPr>
        <w:numPr>
          <w:ilvl w:val="0"/>
          <w:numId w:val="4"/>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 xml:space="preserve">да участва в краткосрочни дейности за спечелване на доверието на участниците в областта на сигурността и правосъдието, за откриване на възможности за бъдещо сътрудничество и за поддържане на политическия диалог и диалога за политиките; </w:t>
      </w:r>
    </w:p>
    <w:p>
      <w:pPr>
        <w:numPr>
          <w:ilvl w:val="0"/>
          <w:numId w:val="4"/>
        </w:num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да се адаптира бързо към променящите се работни условия, по-специално в нестабилни държави или държави след преживян конфликт. Когато е уместно, мерките ще се изпълняват чрез използване на механизма за гъвкавост съгласно финансовите правила и процедури на Съюза и</w:t>
      </w:r>
    </w:p>
    <w:p>
      <w:pPr>
        <w:numPr>
          <w:ilvl w:val="0"/>
          <w:numId w:val="4"/>
        </w:num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да планира мисии по линия на ОПСО в подкрепа на РСС така, че да бъде отразена необходимостта от дългосрочно и устойчиво участие в сектора на сигурността, и да предвиди тясно сътрудничество с делегациите на ЕС.</w:t>
      </w:r>
    </w:p>
    <w:p>
      <w:pPr>
        <w:keepNext/>
        <w:spacing w:after="240" w:line="240" w:lineRule="auto"/>
        <w:jc w:val="both"/>
        <w:rPr>
          <w:rFonts w:ascii="Times New Roman" w:hAnsi="Times New Roman"/>
          <w:b/>
          <w:noProof/>
          <w:sz w:val="24"/>
          <w:szCs w:val="24"/>
        </w:rPr>
      </w:pPr>
      <w:r>
        <w:rPr>
          <w:rFonts w:ascii="Times New Roman" w:hAnsi="Times New Roman"/>
          <w:b/>
          <w:noProof/>
          <w:sz w:val="24"/>
        </w:rPr>
        <w:t>Измерване на напредъка: мониторинг и оценка</w:t>
      </w:r>
    </w:p>
    <w:p>
      <w:pPr>
        <w:spacing w:after="240" w:line="240" w:lineRule="auto"/>
        <w:jc w:val="both"/>
        <w:rPr>
          <w:rFonts w:ascii="Times New Roman" w:hAnsi="Times New Roman"/>
          <w:noProof/>
          <w:sz w:val="24"/>
          <w:szCs w:val="24"/>
        </w:rPr>
      </w:pPr>
      <w:r>
        <w:rPr>
          <w:rFonts w:ascii="Times New Roman" w:hAnsi="Times New Roman"/>
          <w:noProof/>
          <w:sz w:val="24"/>
        </w:rPr>
        <w:t>Общите принципи на мониторинг и оценяване на проекти и програми се прилагат за всички мерки в сектора на сигурността. По-специално важно е:</w:t>
      </w:r>
    </w:p>
    <w:p>
      <w:pPr>
        <w:numPr>
          <w:ilvl w:val="0"/>
          <w:numId w:val="4"/>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да се определят основните параметри от самото начало;</w:t>
      </w:r>
    </w:p>
    <w:p>
      <w:pPr>
        <w:numPr>
          <w:ilvl w:val="0"/>
          <w:numId w:val="4"/>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да се установят ясно формулирани, постижими и обвързани със срокове цели и показатели за въздействието, обвързани с ясни критерии за измерване на постигането на резултатите и целите и</w:t>
      </w:r>
    </w:p>
    <w:p>
      <w:pPr>
        <w:numPr>
          <w:ilvl w:val="0"/>
          <w:numId w:val="4"/>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 xml:space="preserve">да се разпределят достатъчно човешки и финансови ресурси за вътрешен мониторинг. </w:t>
      </w:r>
    </w:p>
    <w:p>
      <w:pPr>
        <w:spacing w:after="240" w:line="240" w:lineRule="auto"/>
        <w:jc w:val="both"/>
        <w:rPr>
          <w:rFonts w:ascii="Times New Roman" w:hAnsi="Times New Roman"/>
          <w:noProof/>
          <w:sz w:val="24"/>
          <w:szCs w:val="24"/>
        </w:rPr>
      </w:pPr>
      <w:r>
        <w:rPr>
          <w:rFonts w:ascii="Times New Roman" w:hAnsi="Times New Roman"/>
          <w:noProof/>
          <w:sz w:val="24"/>
        </w:rPr>
        <w:t>Дейностите за мониторинг и оценяване следва да включват събиране и анализ на качествени и количествени данни, за да се отразят общностните и индивидуалните възприятия за промяна в съответствие с подходите за човешка сигурност, ориентирани към хората.</w:t>
      </w:r>
    </w:p>
    <w:p>
      <w:pPr>
        <w:spacing w:after="240" w:line="240" w:lineRule="auto"/>
        <w:jc w:val="both"/>
        <w:rPr>
          <w:rFonts w:ascii="Times New Roman" w:hAnsi="Times New Roman"/>
          <w:noProof/>
          <w:sz w:val="24"/>
          <w:szCs w:val="24"/>
        </w:rPr>
      </w:pPr>
      <w:r>
        <w:rPr>
          <w:rFonts w:ascii="Times New Roman" w:hAnsi="Times New Roman"/>
          <w:noProof/>
          <w:sz w:val="24"/>
        </w:rPr>
        <w:t>Обстойният мониторинг и редовните оценки на текущите мерки ще позволят на ЕС (и на активните партньори извън ЕС) да направи равносметка на постигнатия напредък, да извлече поуки и да направи преглед на дейността.</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 xml:space="preserve">ЕСВД/Службите на Комисията ще изготвят съвместни насоки за мониторинг и оценка, включително показатели за изграждането на капацитет в сектора на сигурността и дейностите, свързани с РСС, които ще са приложими за всички инструменти и мисии за външна дейност. </w:t>
      </w:r>
    </w:p>
    <w:p>
      <w:pPr>
        <w:keepNext/>
        <w:spacing w:after="240" w:line="240" w:lineRule="auto"/>
        <w:jc w:val="both"/>
        <w:rPr>
          <w:rFonts w:ascii="Times New Roman" w:hAnsi="Times New Roman"/>
          <w:b/>
          <w:noProof/>
          <w:sz w:val="24"/>
          <w:szCs w:val="24"/>
        </w:rPr>
      </w:pPr>
      <w:r>
        <w:rPr>
          <w:rFonts w:ascii="Times New Roman" w:hAnsi="Times New Roman"/>
          <w:b/>
          <w:noProof/>
          <w:sz w:val="24"/>
        </w:rPr>
        <w:t>Управление на риска</w:t>
      </w:r>
    </w:p>
    <w:p>
      <w:pPr>
        <w:spacing w:after="240" w:line="240" w:lineRule="auto"/>
        <w:jc w:val="both"/>
        <w:rPr>
          <w:rFonts w:ascii="Times New Roman" w:hAnsi="Times New Roman"/>
          <w:noProof/>
          <w:sz w:val="24"/>
          <w:szCs w:val="24"/>
        </w:rPr>
      </w:pPr>
      <w:r>
        <w:rPr>
          <w:rFonts w:ascii="Times New Roman" w:hAnsi="Times New Roman"/>
          <w:noProof/>
          <w:sz w:val="24"/>
        </w:rPr>
        <w:t>Подкрепата за РСС е свързана с рискове, които трябва да се предвидят и за които трябва да се изготвят мерки за ограничаването им. Тези рискове включват:</w:t>
      </w:r>
    </w:p>
    <w:p>
      <w:pPr>
        <w:keepNext/>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i.</w:t>
      </w:r>
      <w:r>
        <w:rPr>
          <w:noProof/>
        </w:rPr>
        <w:t xml:space="preserve"> </w:t>
      </w:r>
      <w:r>
        <w:rPr>
          <w:rFonts w:ascii="Times New Roman" w:hAnsi="Times New Roman"/>
          <w:b/>
          <w:i/>
          <w:noProof/>
          <w:sz w:val="24"/>
        </w:rPr>
        <w:t>недостатъчен национален политически ангажимент за промяна</w:t>
      </w:r>
    </w:p>
    <w:p>
      <w:pPr>
        <w:spacing w:after="240" w:line="240" w:lineRule="auto"/>
        <w:ind w:left="851"/>
        <w:jc w:val="both"/>
        <w:rPr>
          <w:rFonts w:ascii="Times New Roman" w:hAnsi="Times New Roman"/>
          <w:noProof/>
          <w:sz w:val="24"/>
          <w:szCs w:val="24"/>
        </w:rPr>
      </w:pPr>
      <w:r>
        <w:rPr>
          <w:rFonts w:ascii="Times New Roman" w:hAnsi="Times New Roman"/>
          <w:noProof/>
          <w:sz w:val="24"/>
        </w:rPr>
        <w:t>Политическият ангажимент за реформа може да бъде недостатъчен или повърхностен. Той може да отслабне с времето. ЕС трябва да бъде подготвен да проучи реалното равнище на ангажимент от страна на държавата партньор и да планира съответно своите действия. В някои ситуации би могло да се започне с малки мерки, които имат за цел да се повиши доверието и националният политически ангажимент и да се премине към по-мащабни мерки на по-късен етап. Изходна точка може да бъде привличането на гражданското общество.</w:t>
      </w:r>
    </w:p>
    <w:p>
      <w:pPr>
        <w:keepNext/>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 xml:space="preserve">ii. </w:t>
      </w:r>
      <w:r>
        <w:rPr>
          <w:noProof/>
        </w:rPr>
        <w:tab/>
      </w:r>
      <w:r>
        <w:rPr>
          <w:rFonts w:ascii="Times New Roman" w:hAnsi="Times New Roman"/>
          <w:b/>
          <w:i/>
          <w:noProof/>
          <w:sz w:val="24"/>
        </w:rPr>
        <w:t>отрицателни нежелани последици</w:t>
      </w:r>
    </w:p>
    <w:p>
      <w:pPr>
        <w:spacing w:after="120" w:line="240" w:lineRule="auto"/>
        <w:ind w:left="851"/>
        <w:jc w:val="both"/>
        <w:rPr>
          <w:rFonts w:ascii="Times New Roman" w:hAnsi="Times New Roman"/>
          <w:noProof/>
          <w:sz w:val="24"/>
          <w:szCs w:val="24"/>
        </w:rPr>
      </w:pPr>
      <w:r>
        <w:rPr>
          <w:rFonts w:ascii="Times New Roman" w:hAnsi="Times New Roman"/>
          <w:noProof/>
          <w:sz w:val="24"/>
        </w:rPr>
        <w:t>Нито една мярка не е неутрална и подкрепата за сектора на сигурността изисква прилагането на подход на избягване на нанасяне на вреди</w:t>
      </w:r>
      <w:r>
        <w:rPr>
          <w:rStyle w:val="FootnoteReference"/>
          <w:rFonts w:ascii="Times New Roman" w:hAnsi="Times New Roman"/>
          <w:noProof/>
          <w:sz w:val="24"/>
        </w:rPr>
        <w:footnoteReference w:id="34"/>
      </w:r>
      <w:r>
        <w:rPr>
          <w:rFonts w:ascii="Times New Roman" w:hAnsi="Times New Roman"/>
          <w:noProof/>
          <w:sz w:val="24"/>
        </w:rPr>
        <w:t>, при който се отчитат основните източници на конфликт. Анализът на контекста ще помогне на участниците от ЕС да избегнат нежеланите отрицателни въздействия върху динамиката на конфликтите например чрез:</w:t>
      </w:r>
    </w:p>
    <w:p>
      <w:pPr>
        <w:numPr>
          <w:ilvl w:val="0"/>
          <w:numId w:val="14"/>
        </w:numPr>
        <w:tabs>
          <w:tab w:val="left" w:pos="1560"/>
        </w:tabs>
        <w:spacing w:after="120" w:line="240" w:lineRule="auto"/>
        <w:ind w:hanging="437"/>
        <w:jc w:val="both"/>
        <w:rPr>
          <w:rFonts w:ascii="Times New Roman" w:hAnsi="Times New Roman"/>
          <w:noProof/>
          <w:sz w:val="24"/>
          <w:szCs w:val="24"/>
        </w:rPr>
      </w:pPr>
      <w:r>
        <w:rPr>
          <w:rFonts w:ascii="Times New Roman" w:hAnsi="Times New Roman"/>
          <w:noProof/>
          <w:sz w:val="24"/>
        </w:rPr>
        <w:t xml:space="preserve">непреднамерено повтаряне или увеличаване на съществуващите напрежения, като например чрез засилване на моделите на господство и изключване; </w:t>
      </w:r>
    </w:p>
    <w:p>
      <w:pPr>
        <w:numPr>
          <w:ilvl w:val="0"/>
          <w:numId w:val="14"/>
        </w:numPr>
        <w:tabs>
          <w:tab w:val="left" w:pos="1560"/>
        </w:tabs>
        <w:spacing w:after="240" w:line="240" w:lineRule="auto"/>
        <w:ind w:hanging="437"/>
        <w:jc w:val="both"/>
        <w:rPr>
          <w:rFonts w:ascii="Times New Roman" w:hAnsi="Times New Roman"/>
          <w:noProof/>
          <w:sz w:val="24"/>
          <w:szCs w:val="24"/>
        </w:rPr>
      </w:pPr>
      <w:r>
        <w:rPr>
          <w:rFonts w:ascii="Times New Roman" w:hAnsi="Times New Roman"/>
          <w:noProof/>
          <w:sz w:val="24"/>
        </w:rPr>
        <w:t>въвеждане на реформи и ресурси, които облагодетелстват определени интереси или се заплитат в корупция и системи на покровителство, и от своя страна пораждат ново недоволство/нестабилност.</w:t>
      </w:r>
    </w:p>
    <w:p>
      <w:pPr>
        <w:keepNext/>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 xml:space="preserve">iii. </w:t>
      </w:r>
      <w:r>
        <w:rPr>
          <w:noProof/>
        </w:rPr>
        <w:tab/>
      </w:r>
      <w:r>
        <w:rPr>
          <w:rFonts w:ascii="Times New Roman" w:hAnsi="Times New Roman"/>
          <w:b/>
          <w:i/>
          <w:noProof/>
          <w:sz w:val="24"/>
        </w:rPr>
        <w:t>риск за репутацията</w:t>
      </w:r>
    </w:p>
    <w:p>
      <w:pPr>
        <w:spacing w:after="240" w:line="240" w:lineRule="auto"/>
        <w:ind w:left="851"/>
        <w:jc w:val="both"/>
        <w:rPr>
          <w:rFonts w:ascii="Times New Roman" w:hAnsi="Times New Roman"/>
          <w:noProof/>
          <w:sz w:val="24"/>
          <w:szCs w:val="24"/>
        </w:rPr>
      </w:pPr>
      <w:r>
        <w:rPr>
          <w:rFonts w:ascii="Times New Roman" w:hAnsi="Times New Roman"/>
          <w:noProof/>
          <w:sz w:val="24"/>
        </w:rPr>
        <w:t>Участниците в сектора на сигурността, подпомагани от ЕС, може да действат по пристрастен, дискриминацонен или неправомерен начин към населението. Това ще окаже непряко отрицателно въздействие върху репутацията на ЕС. Освен това активите могат да попаднат в неподходящи ръце. Сътрудничеството с други международни участници за оценяване на риска за репутацията и за изготвянето на реалистични мерки за ограничаването му ще бъде неразделна част от проектирането на подкрепата за РСС. Когато е приложимо и въз основа на внимателен анализ на всеки отделен случай, може да се приложат дерогации от правилата за видимост, приложими за програмите/инструментите на ЕС за външна дейност.</w:t>
      </w:r>
    </w:p>
    <w:p>
      <w:pPr>
        <w:keepNext/>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 xml:space="preserve">iv. </w:t>
      </w:r>
      <w:r>
        <w:rPr>
          <w:noProof/>
        </w:rPr>
        <w:tab/>
      </w:r>
      <w:r>
        <w:rPr>
          <w:rFonts w:ascii="Times New Roman" w:hAnsi="Times New Roman"/>
          <w:b/>
          <w:i/>
          <w:noProof/>
          <w:sz w:val="24"/>
        </w:rPr>
        <w:t xml:space="preserve">риск от ненамеса </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Всяка държава има задължение да защитава гражданите си. В някои случаи неизпълнението на това задължение може да доведе до сериозни нарушения на правата на човека или на демократичните принципи, страдание на хората или загуба на човешки живот, включително жестоки престъпления. Когато се счита за полезно за предотвратяването на някои екстремни събития и за оказването на подкрепа за справянето с тях, там, където биха могли да възникнат, ЕС може да реши въз основа на резолюция на Съвета за сигурност на ООН или двустранно споразумение с държава партньор да участва в дейности за подкрепа на РСС, дори при липсата на важни условия, като реален ангажимент за промяна. </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i/>
          <w:noProof/>
          <w:color w:val="000000"/>
          <w:sz w:val="24"/>
          <w:szCs w:val="24"/>
        </w:rPr>
      </w:pPr>
      <w:r>
        <w:rPr>
          <w:rFonts w:ascii="Times New Roman" w:hAnsi="Times New Roman"/>
          <w:i/>
          <w:noProof/>
          <w:color w:val="000000"/>
          <w:sz w:val="24"/>
        </w:rPr>
        <w:t>ЕСВД/Службите на Комисията ще изготвят специална методика за управление на риска при подкрепата от ЕС. Тя ще включва мерки за ограничаване на риска</w:t>
      </w:r>
      <w:r>
        <w:rPr>
          <w:noProof/>
        </w:rPr>
        <w:t>,</w:t>
      </w:r>
      <w:r>
        <w:rPr>
          <w:rFonts w:ascii="Times New Roman" w:hAnsi="Times New Roman"/>
          <w:noProof/>
          <w:color w:val="000000"/>
          <w:sz w:val="24"/>
        </w:rPr>
        <w:t xml:space="preserve"> </w:t>
      </w:r>
      <w:r>
        <w:rPr>
          <w:rFonts w:ascii="Times New Roman" w:hAnsi="Times New Roman"/>
          <w:i/>
          <w:noProof/>
          <w:color w:val="000000"/>
          <w:sz w:val="24"/>
        </w:rPr>
        <w:t xml:space="preserve">които се основават, наред с другото и на </w:t>
      </w:r>
      <w:r>
        <w:rPr>
          <w:rFonts w:ascii="Times New Roman" w:hAnsi="Times New Roman"/>
          <w:noProof/>
          <w:color w:val="000000"/>
          <w:sz w:val="24"/>
        </w:rPr>
        <w:t>„</w:t>
      </w:r>
      <w:r>
        <w:rPr>
          <w:rFonts w:ascii="Times New Roman" w:hAnsi="Times New Roman"/>
          <w:i/>
          <w:noProof/>
          <w:color w:val="000000"/>
          <w:sz w:val="24"/>
        </w:rPr>
        <w:t>рамков механизъм за управление на риска за операциите за бюджетна подкрепа</w:t>
      </w:r>
      <w:r>
        <w:rPr>
          <w:rStyle w:val="FootnoteReference"/>
          <w:rFonts w:ascii="Times New Roman" w:hAnsi="Times New Roman"/>
          <w:i/>
          <w:noProof/>
          <w:color w:val="000000"/>
          <w:sz w:val="24"/>
        </w:rPr>
        <w:footnoteReference w:id="35"/>
      </w:r>
      <w:r>
        <w:rPr>
          <w:rFonts w:ascii="Times New Roman" w:hAnsi="Times New Roman"/>
          <w:noProof/>
          <w:color w:val="000000"/>
          <w:sz w:val="24"/>
        </w:rPr>
        <w:t>“</w:t>
      </w:r>
      <w:r>
        <w:rPr>
          <w:noProof/>
        </w:rPr>
        <w:t>.</w:t>
      </w:r>
      <w:r>
        <w:rPr>
          <w:rFonts w:ascii="Times New Roman" w:hAnsi="Times New Roman"/>
          <w:i/>
          <w:noProof/>
          <w:color w:val="000000"/>
          <w:sz w:val="24"/>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Times New Roman" w:hAnsi="Times New Roman"/>
          <w:i/>
          <w:noProof/>
          <w:sz w:val="24"/>
          <w:szCs w:val="24"/>
        </w:rPr>
      </w:pPr>
      <w:r>
        <w:rPr>
          <w:rFonts w:ascii="Times New Roman" w:hAnsi="Times New Roman"/>
          <w:i/>
          <w:noProof/>
          <w:sz w:val="24"/>
        </w:rPr>
        <w:t>Както е предвидено в неговия</w:t>
      </w:r>
      <w:r>
        <w:rPr>
          <w:noProof/>
        </w:rPr>
        <w:t xml:space="preserve"> </w:t>
      </w:r>
      <w:r>
        <w:rPr>
          <w:rFonts w:ascii="Times New Roman" w:hAnsi="Times New Roman"/>
          <w:noProof/>
          <w:sz w:val="24"/>
        </w:rPr>
        <w:t>План за действие относно правата на човека и демокрацията</w:t>
      </w:r>
      <w:r>
        <w:rPr>
          <w:rStyle w:val="FootnoteReference"/>
          <w:rFonts w:ascii="Times New Roman" w:hAnsi="Times New Roman"/>
          <w:i/>
          <w:noProof/>
          <w:sz w:val="24"/>
        </w:rPr>
        <w:footnoteReference w:id="36"/>
      </w:r>
      <w:r>
        <w:rPr>
          <w:rFonts w:ascii="Times New Roman" w:hAnsi="Times New Roman"/>
          <w:noProof/>
          <w:sz w:val="24"/>
        </w:rPr>
        <w:t xml:space="preserve"> за периода 2015—2019 г., </w:t>
      </w:r>
      <w:r>
        <w:rPr>
          <w:rFonts w:ascii="Times New Roman" w:hAnsi="Times New Roman"/>
          <w:i/>
          <w:noProof/>
          <w:sz w:val="24"/>
        </w:rPr>
        <w:t>ЕС трябва да разработи „политика за надлежна проверка по отношение на правата на човека“, в която са очертани мерки, с които се гарантира, че подкрепата от ЕС и държавите членки за сектора на сигурността е в съответствие с/допринася за насърчаването, защитата и прилагането на международното право в областта на правата на човека и международното хуманитарно право, и е съобразена с политиките на ЕС за правата на човека</w:t>
      </w:r>
      <w:r>
        <w:rPr>
          <w:noProof/>
        </w:rPr>
        <w:t>.</w:t>
      </w:r>
      <w:r>
        <w:rPr>
          <w:rFonts w:ascii="Times New Roman" w:hAnsi="Times New Roman"/>
          <w:i/>
          <w:noProof/>
          <w:sz w:val="24"/>
        </w:rPr>
        <w:t xml:space="preserve"> </w:t>
      </w:r>
    </w:p>
    <w:p>
      <w:pPr>
        <w:keepNext/>
        <w:spacing w:after="240" w:line="240" w:lineRule="auto"/>
        <w:jc w:val="both"/>
        <w:rPr>
          <w:rFonts w:ascii="Times New Roman" w:hAnsi="Times New Roman"/>
          <w:b/>
          <w:noProof/>
          <w:sz w:val="24"/>
          <w:szCs w:val="24"/>
        </w:rPr>
      </w:pPr>
      <w:r>
        <w:rPr>
          <w:rFonts w:ascii="Times New Roman" w:hAnsi="Times New Roman"/>
          <w:b/>
          <w:noProof/>
          <w:sz w:val="24"/>
        </w:rPr>
        <w:t xml:space="preserve">Максимално използване на експертния опит на ЕС в областта на РСС </w:t>
      </w:r>
    </w:p>
    <w:p>
      <w:pPr>
        <w:spacing w:after="240" w:line="240" w:lineRule="auto"/>
        <w:jc w:val="both"/>
        <w:rPr>
          <w:rFonts w:ascii="Times New Roman" w:hAnsi="Times New Roman"/>
          <w:noProof/>
          <w:sz w:val="24"/>
          <w:szCs w:val="24"/>
        </w:rPr>
      </w:pPr>
      <w:r>
        <w:rPr>
          <w:rFonts w:ascii="Times New Roman" w:hAnsi="Times New Roman"/>
          <w:noProof/>
          <w:sz w:val="24"/>
        </w:rPr>
        <w:t>ЕС следва да привлече персонал с подходящи експертни познания и опит и с добро разбиране на техническите и политическите въпроси, свързани с РСС. Той трябва да разчита на експертния опит на държавите членки, а в определени области и на съответните агенции на ЕС, когато това придава ясна добавена стойност (например Европол, Европейския полицейски колеж (CEPOL), Европейската агенция за управление на оперативното сътрудничество по външните граници на държавите — членки на Европейския съюз (FRONTEX)) в съответствие с техните мандати, приоритети и ресурси.</w:t>
      </w:r>
    </w:p>
    <w:p>
      <w:pPr>
        <w:spacing w:after="240" w:line="240" w:lineRule="auto"/>
        <w:jc w:val="both"/>
        <w:rPr>
          <w:rFonts w:ascii="Times New Roman" w:hAnsi="Times New Roman"/>
          <w:noProof/>
          <w:sz w:val="24"/>
          <w:szCs w:val="24"/>
        </w:rPr>
      </w:pPr>
      <w:r>
        <w:rPr>
          <w:rFonts w:ascii="Times New Roman" w:hAnsi="Times New Roman"/>
          <w:noProof/>
          <w:sz w:val="24"/>
        </w:rPr>
        <w:t xml:space="preserve">Тази рамка на ЕС на политиката за РСС предвижда засилена координация и сътрудничество между участниците от ЕС и държавите членки за насърчаване на полезните взаимодействия и взаимното допълване между инструменти и мисии съгласно подход, който е „общ за целия ЕС“. Тя предвижда също така координация с дейностите на международни и регионални организации и съответните НПО.  </w:t>
      </w:r>
    </w:p>
    <w:p>
      <w:pPr>
        <w:keepNext/>
        <w:spacing w:after="240" w:line="240" w:lineRule="auto"/>
        <w:jc w:val="both"/>
        <w:rPr>
          <w:rFonts w:ascii="Times New Roman" w:hAnsi="Times New Roman"/>
          <w:b/>
          <w:i/>
          <w:noProof/>
          <w:sz w:val="24"/>
          <w:szCs w:val="24"/>
        </w:rPr>
      </w:pPr>
      <w:r>
        <w:rPr>
          <w:rFonts w:ascii="Times New Roman" w:hAnsi="Times New Roman"/>
          <w:b/>
          <w:i/>
          <w:noProof/>
          <w:sz w:val="24"/>
        </w:rPr>
        <w:t>На централното равнище</w:t>
      </w:r>
    </w:p>
    <w:p>
      <w:pPr>
        <w:spacing w:after="240" w:line="240" w:lineRule="auto"/>
        <w:jc w:val="both"/>
        <w:rPr>
          <w:rFonts w:ascii="Times New Roman" w:hAnsi="Times New Roman"/>
          <w:noProof/>
          <w:sz w:val="24"/>
          <w:szCs w:val="24"/>
        </w:rPr>
      </w:pPr>
      <w:r>
        <w:rPr>
          <w:rFonts w:ascii="Times New Roman" w:hAnsi="Times New Roman"/>
          <w:noProof/>
          <w:sz w:val="24"/>
        </w:rPr>
        <w:t xml:space="preserve">Комисията и върховният представител ще сформират </w:t>
      </w:r>
      <w:r>
        <w:rPr>
          <w:rFonts w:ascii="Times New Roman" w:hAnsi="Times New Roman"/>
          <w:b/>
          <w:noProof/>
          <w:sz w:val="24"/>
        </w:rPr>
        <w:t>постоянна неформална междуведомствена работна група за РСС</w:t>
      </w:r>
      <w:r>
        <w:rPr>
          <w:rFonts w:ascii="Times New Roman" w:hAnsi="Times New Roman"/>
          <w:noProof/>
          <w:sz w:val="24"/>
        </w:rPr>
        <w:t>, която ще включва представители от съответните тематични подразделения на ЕСВД и службите на Комисията, които ще съветват и подпомагат делегациите на ЕС, ЕСВД и службите на Комисията, както и мисиите по линия на ОПСО. Работната група ще допринася за гарантиране на съгласуваността и взаимното допълване на дейността на ЕС за РСС и ще подпомага планирането и разработването на проекти за сътрудничество за развитие във връзка с РСС и документи за планиране на ОПСО. Нейната роля следва да бъде отразена също така в следващото издание на процедурите за управление на кризи. Тя ще разработи методологически инструменти, стандарти, процедури и практики за дейностите на ЕС за РСС и ще предоставя обучение, наред с другото, като подпомага Европейския колеж по сигурност и отбрана (ЕКСО). Работната група ще осъществя надзор на рамката за мониторинг, оценяване и учене и на механизмите за управление на риска.</w:t>
      </w:r>
    </w:p>
    <w:p>
      <w:pPr>
        <w:keepNext/>
        <w:spacing w:after="240" w:line="240" w:lineRule="auto"/>
        <w:jc w:val="both"/>
        <w:rPr>
          <w:rFonts w:ascii="Times New Roman" w:hAnsi="Times New Roman"/>
          <w:b/>
          <w:i/>
          <w:noProof/>
          <w:sz w:val="24"/>
          <w:szCs w:val="24"/>
        </w:rPr>
      </w:pPr>
      <w:r>
        <w:rPr>
          <w:rFonts w:ascii="Times New Roman" w:hAnsi="Times New Roman"/>
          <w:b/>
          <w:i/>
          <w:noProof/>
          <w:sz w:val="24"/>
        </w:rPr>
        <w:t>По места</w:t>
      </w:r>
    </w:p>
    <w:p>
      <w:pPr>
        <w:spacing w:after="240" w:line="240" w:lineRule="auto"/>
        <w:jc w:val="both"/>
        <w:rPr>
          <w:rFonts w:ascii="Times New Roman" w:hAnsi="Times New Roman"/>
          <w:noProof/>
          <w:sz w:val="24"/>
          <w:szCs w:val="24"/>
        </w:rPr>
      </w:pPr>
      <w:r>
        <w:rPr>
          <w:rFonts w:ascii="Times New Roman" w:hAnsi="Times New Roman"/>
          <w:noProof/>
          <w:sz w:val="24"/>
        </w:rPr>
        <w:t xml:space="preserve">Ръководителят на делегацията на ЕС във въпросните държава или регион партньор е отговорен за координацията на подкрепата за сектора на сигурността по места. Когато в държавата има мисия по линия на ОПСО, Съветът бива поканен, за да гарантира, че нейният мандат ѝ позволява да оказва съдействие на делегацията на ЕС по въпроси, свързани с РСС. В това отношение ръководителят на мисията ще бъде на разположение, за да съветва ръководителя на делегацията. </w:t>
      </w:r>
    </w:p>
    <w:p>
      <w:pPr>
        <w:spacing w:after="240" w:line="240" w:lineRule="auto"/>
        <w:jc w:val="both"/>
        <w:rPr>
          <w:rFonts w:ascii="Times New Roman" w:hAnsi="Times New Roman"/>
          <w:noProof/>
          <w:sz w:val="24"/>
          <w:szCs w:val="24"/>
        </w:rPr>
      </w:pPr>
      <w:r>
        <w:rPr>
          <w:rFonts w:ascii="Times New Roman" w:hAnsi="Times New Roman"/>
          <w:noProof/>
          <w:sz w:val="24"/>
        </w:rPr>
        <w:t xml:space="preserve">Делегациите на ЕС и дипломатическите мисии на държавите членки следва да обменят информация и анализи, да участват в съвместен анализ и да допринасят за изготвянето на матриците за координация във връзка с РСС.  </w:t>
      </w:r>
    </w:p>
    <w:p>
      <w:pPr>
        <w:spacing w:after="240" w:line="240" w:lineRule="auto"/>
        <w:jc w:val="both"/>
        <w:rPr>
          <w:rFonts w:ascii="Times New Roman" w:hAnsi="Times New Roman"/>
          <w:noProof/>
          <w:sz w:val="24"/>
          <w:szCs w:val="24"/>
        </w:rPr>
      </w:pPr>
      <w:r>
        <w:rPr>
          <w:rFonts w:ascii="Times New Roman" w:hAnsi="Times New Roman"/>
          <w:noProof/>
          <w:sz w:val="24"/>
        </w:rPr>
        <w:t xml:space="preserve">Когато ЕС има особено значим и разнообразен ангажимент в сектора на сигурността и липсват съответните структури за координация, той ще се стреми да сформира работни </w:t>
      </w:r>
      <w:r>
        <w:rPr>
          <w:rFonts w:ascii="Times New Roman" w:hAnsi="Times New Roman"/>
          <w:b/>
          <w:noProof/>
          <w:sz w:val="24"/>
        </w:rPr>
        <w:t>групи за координация за подкрепата</w:t>
      </w:r>
      <w:r>
        <w:rPr>
          <w:rFonts w:ascii="Times New Roman" w:hAnsi="Times New Roman"/>
          <w:noProof/>
          <w:sz w:val="24"/>
        </w:rPr>
        <w:t xml:space="preserve"> за сектора на сигурността на национално равнище (с политическите и оперативните секции на делегациите на ЕС, мисиите по линия на ОПСО, държавите членки и, когато е възможно, съответните партньори, като ООН, Световната банка и държавите извън ЕС, които участват в сектора на сигурността).</w:t>
      </w:r>
    </w:p>
    <w:p>
      <w:pPr>
        <w:keepNext/>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b/>
          <w:i/>
          <w:noProof/>
          <w:sz w:val="24"/>
          <w:szCs w:val="24"/>
        </w:rPr>
      </w:pPr>
      <w:r>
        <w:rPr>
          <w:rFonts w:ascii="Times New Roman" w:hAnsi="Times New Roman"/>
          <w:b/>
          <w:i/>
          <w:noProof/>
          <w:sz w:val="24"/>
        </w:rPr>
        <w:t>Действия</w:t>
      </w:r>
    </w:p>
    <w:p>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 xml:space="preserve">Ще бъде създадена постоянна неформална междуведомствена работна група за РСС, която да контролира дейностите на ЕС, свързани с РСС </w:t>
      </w:r>
    </w:p>
    <w:p>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Учебната програма на ЕКСО относно РСС следва да бъде актуализирана, за да се вземе под внимание тази стратегическа рамка на ЕС. Освен това сътрудничеството между ЕКСО и съответните служби за обучение на Комисията следва да бъдат укрепени, за да се отрази общоевропейският подход.</w:t>
      </w:r>
    </w:p>
    <w:p>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Инструкциите до ръководителите на делегациите ще включват задачата да бъде осигурена местната координация между всички заинтересовани страни от ЕС, участващи в диалога и подкрепата за сектора на сигурността. Това няма да се отрази на йерархията на управление на мисиите по линия на ОПСО.</w:t>
      </w:r>
    </w:p>
    <w:p>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i/>
          <w:noProof/>
          <w:sz w:val="24"/>
          <w:szCs w:val="24"/>
        </w:rPr>
      </w:pPr>
      <w:r>
        <w:rPr>
          <w:rFonts w:ascii="Times New Roman" w:hAnsi="Times New Roman"/>
          <w:i/>
          <w:noProof/>
          <w:sz w:val="24"/>
        </w:rPr>
        <w:t xml:space="preserve">Мандатът на мисиите по линия на ОПСО следва да включва предоставянето на технически консултации на делегациите на ЕС. </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i/>
          <w:noProof/>
          <w:sz w:val="24"/>
          <w:szCs w:val="24"/>
        </w:rPr>
      </w:pPr>
      <w:r>
        <w:rPr>
          <w:rFonts w:ascii="Times New Roman" w:hAnsi="Times New Roman"/>
          <w:i/>
          <w:noProof/>
          <w:sz w:val="24"/>
        </w:rPr>
        <w:t>В държави, където ЕС има значителен ангажимент по отношение на РСС, той следва да гарантира, че делегацията има подходящ експертен опит в сектора на сигурността.</w:t>
      </w:r>
    </w:p>
    <w:p>
      <w:pPr>
        <w:keepNext/>
        <w:spacing w:before="360" w:after="240" w:line="240" w:lineRule="auto"/>
        <w:ind w:left="431" w:hanging="431"/>
        <w:jc w:val="both"/>
        <w:outlineLvl w:val="0"/>
        <w:rPr>
          <w:rFonts w:ascii="Times New Roman" w:eastAsia="Times New Roman" w:hAnsi="Times New Roman"/>
          <w:b/>
          <w:bCs/>
          <w:caps/>
          <w:noProof/>
          <w:kern w:val="32"/>
          <w:sz w:val="24"/>
          <w:szCs w:val="24"/>
        </w:rPr>
      </w:pPr>
      <w:bookmarkStart w:id="10" w:name="_Toc451796326"/>
      <w:r>
        <w:rPr>
          <w:rFonts w:ascii="Times New Roman" w:hAnsi="Times New Roman"/>
          <w:b/>
          <w:caps/>
          <w:noProof/>
          <w:kern w:val="32"/>
          <w:sz w:val="24"/>
        </w:rPr>
        <w:t xml:space="preserve">4. </w:t>
      </w:r>
      <w:r>
        <w:rPr>
          <w:noProof/>
        </w:rPr>
        <w:tab/>
      </w:r>
      <w:r>
        <w:rPr>
          <w:rFonts w:ascii="Times New Roman" w:hAnsi="Times New Roman"/>
          <w:b/>
          <w:caps/>
          <w:noProof/>
          <w:kern w:val="32"/>
          <w:sz w:val="24"/>
        </w:rPr>
        <w:t>Области на ангажираност</w:t>
      </w:r>
      <w:bookmarkEnd w:id="10"/>
    </w:p>
    <w:p>
      <w:pPr>
        <w:spacing w:after="240" w:line="240" w:lineRule="auto"/>
        <w:jc w:val="both"/>
        <w:rPr>
          <w:rFonts w:ascii="Times New Roman" w:hAnsi="Times New Roman"/>
          <w:noProof/>
          <w:sz w:val="24"/>
          <w:szCs w:val="24"/>
        </w:rPr>
      </w:pPr>
      <w:r>
        <w:rPr>
          <w:rFonts w:ascii="Times New Roman" w:hAnsi="Times New Roman"/>
          <w:noProof/>
          <w:sz w:val="24"/>
        </w:rPr>
        <w:t>ЕС може да подпомага всички компоненти на сектора на сигурността, включително военните сили, в рамките на законодателството на ЕС, чрез следните дейности (неизчерпателен списък):</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Институционална подкрепа</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Подкрепата за институциите в сектора на сигурността и правосъдието включва помощ при развитието на националната отбрана, разработването на политики и стратегиите в областта на сигурността и правосъдието, национални механизми за координация, административни, комуникационни и оперативни процедури, вътрешни механизми за отчетност, планиране и управление на човешките ресурси, информация и данни, и системи за бюджетиране и финансово управление на държавите партньори, при пълно зачитане на принципите на правата на човека и спазване на международното хуманитарно право. </w:t>
      </w:r>
    </w:p>
    <w:p>
      <w:pPr>
        <w:spacing w:after="240" w:line="240" w:lineRule="auto"/>
        <w:ind w:left="851"/>
        <w:jc w:val="both"/>
        <w:rPr>
          <w:rFonts w:ascii="Times New Roman" w:hAnsi="Times New Roman"/>
          <w:noProof/>
          <w:sz w:val="24"/>
          <w:szCs w:val="24"/>
        </w:rPr>
      </w:pPr>
      <w:r>
        <w:rPr>
          <w:rFonts w:ascii="Times New Roman" w:hAnsi="Times New Roman"/>
          <w:noProof/>
          <w:sz w:val="24"/>
        </w:rPr>
        <w:t>Институционалната подкрепа може да включва помощ при планирането на реформи, която следва да бъде специфична и съобразена с контекста, и да има за цел да помага на държавите партньори да оценят своите нужди, да формулират и постигнат своята визия, като определят реалистични, краткосрочни, средносрочни и дългосрочни резултати. Тя следва да им помага да разпределят човешките, техническите и финансовите ресурси, както е целесъобразно. При осигуряването на тази подкрепа ЕС ще поддържа отношения и с недържавни участници и участници от гражданското общество.</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ЕС следва да гарантира, че неговите усилия за укрепване на институциите създават преки краткосрочни ползи за населението по отношение на предоставянето на по-добри услуги за сигурност. </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Обучение</w:t>
      </w:r>
    </w:p>
    <w:p>
      <w:pPr>
        <w:spacing w:after="240" w:line="240" w:lineRule="auto"/>
        <w:ind w:left="851"/>
        <w:jc w:val="both"/>
        <w:rPr>
          <w:rFonts w:ascii="Times New Roman" w:hAnsi="Times New Roman"/>
          <w:noProof/>
          <w:sz w:val="24"/>
          <w:szCs w:val="24"/>
        </w:rPr>
      </w:pPr>
      <w:r>
        <w:rPr>
          <w:rFonts w:ascii="Times New Roman" w:hAnsi="Times New Roman"/>
          <w:noProof/>
          <w:sz w:val="24"/>
        </w:rPr>
        <w:t>Подкрепата от ЕС включва изграждане на капацитета на националните или регионалните институции за обучение. Това може да включва техническа помощ и наставничество, оценяване на нуждите от обучение, разработване на нови учебни програми и обучение за обучителите. При отпускане на помощ от ЕС за обучение ще бъдат определени знанията, уменията и/или нагласите, които се целят да се предадат, за да се насърчи промяна в поведението на персонала, звената и институциите в сектора на сигурността. Цели се също да се гарантира, че обучението се цени с оглед на перспективите за професионално развитие и че персоналът изпълнява задълженията, за които е бил обучен.</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Подкрепата може да бъде обвързана с диалог и помощ за националните системи за управление на човешките ресурси, включваща определянето на профилите, необходими от институциите в областта на сигурността и правосъдието, справедлива и прозрачна процедура на набиране на служители и тяхното повишаване и др. </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При необходимост от бързо възстановяване на основни услуги за правосъдие и сигурност, ЕС може да предостави обучение пряко, по-специално чрез мисиите по линия на ОПСО. Доколкото е възможно, той ще извърши това в сътрудничество с националните институции за обучение с оглед на укрепването им и евентуално прехвърлянето на отговорността за обучението. </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Оборудване</w:t>
      </w:r>
    </w:p>
    <w:p>
      <w:pPr>
        <w:spacing w:after="240" w:line="240" w:lineRule="auto"/>
        <w:ind w:left="851"/>
        <w:jc w:val="both"/>
        <w:rPr>
          <w:rFonts w:ascii="Times New Roman" w:hAnsi="Times New Roman"/>
          <w:noProof/>
          <w:sz w:val="24"/>
          <w:szCs w:val="24"/>
        </w:rPr>
      </w:pPr>
      <w:r>
        <w:rPr>
          <w:rFonts w:ascii="Times New Roman" w:hAnsi="Times New Roman"/>
          <w:noProof/>
          <w:sz w:val="24"/>
        </w:rPr>
        <w:t>ЕС може да предостави несмъртоносно оборудване</w:t>
      </w:r>
      <w:r>
        <w:rPr>
          <w:rStyle w:val="FootnoteReference"/>
          <w:rFonts w:ascii="Times New Roman" w:hAnsi="Times New Roman"/>
          <w:noProof/>
          <w:sz w:val="24"/>
        </w:rPr>
        <w:footnoteReference w:id="37"/>
      </w:r>
      <w:r>
        <w:rPr>
          <w:rFonts w:ascii="Times New Roman" w:hAnsi="Times New Roman"/>
          <w:noProof/>
          <w:sz w:val="24"/>
        </w:rPr>
        <w:t xml:space="preserve"> на участниците в сектора на сигурността. Това ще бъде осъществено в контекста на по-широка рамка за подкрепа за сигурността за държавата. ЕС ще трябва да търси подходящи гаранции, че оборудването няма да се използва за нарушаване на правата на човека, основните свободи или принципите на правовата държава. С цел да се избегне рискът от това оборудването да стане негодно за експлоатация, да бъде изоставено, да се изгуби или да се използва неправомерно, ще бъде извършена оценка на наличието и функционирането на логистична подкрепа и регистър/вериги на проследяване, а при необходимост, ще бъде предоставена подкрепа за подобряване на тяхната ефективност. Разработването на основна добра практика в областта на управлението на оборудването ще бъде неделима част от всеки законодателен пакет относно оборудването, за да се гарантират неговата поддръжка, повторно предоставяне и обезвреждане. </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Подкрепа за механизмите за надзор</w:t>
      </w:r>
    </w:p>
    <w:p>
      <w:pPr>
        <w:spacing w:after="120" w:line="240" w:lineRule="auto"/>
        <w:ind w:left="851"/>
        <w:jc w:val="both"/>
        <w:rPr>
          <w:rFonts w:ascii="Times New Roman" w:hAnsi="Times New Roman"/>
          <w:noProof/>
          <w:sz w:val="24"/>
          <w:szCs w:val="24"/>
        </w:rPr>
      </w:pPr>
      <w:r>
        <w:rPr>
          <w:rFonts w:ascii="Times New Roman" w:hAnsi="Times New Roman"/>
          <w:noProof/>
          <w:sz w:val="24"/>
        </w:rPr>
        <w:t>ЕС следва да подкрепи установяването или засилването на ефективен граждански контрол и надзор, наред с другото, чрез:</w:t>
      </w:r>
    </w:p>
    <w:p>
      <w:pPr>
        <w:numPr>
          <w:ilvl w:val="0"/>
          <w:numId w:val="14"/>
        </w:numPr>
        <w:tabs>
          <w:tab w:val="left" w:pos="1560"/>
        </w:tabs>
        <w:spacing w:after="120" w:line="240" w:lineRule="auto"/>
        <w:ind w:hanging="437"/>
        <w:jc w:val="both"/>
        <w:rPr>
          <w:rFonts w:ascii="Times New Roman" w:hAnsi="Times New Roman"/>
          <w:noProof/>
          <w:sz w:val="24"/>
          <w:szCs w:val="24"/>
        </w:rPr>
      </w:pPr>
      <w:r>
        <w:rPr>
          <w:rFonts w:ascii="Times New Roman" w:hAnsi="Times New Roman"/>
          <w:noProof/>
          <w:sz w:val="24"/>
        </w:rPr>
        <w:t xml:space="preserve">насърчаване и подпомагане на изготвянето и изпълнението на съответно законодателство и процедури; </w:t>
      </w:r>
    </w:p>
    <w:p>
      <w:pPr>
        <w:numPr>
          <w:ilvl w:val="0"/>
          <w:numId w:val="14"/>
        </w:numPr>
        <w:tabs>
          <w:tab w:val="left" w:pos="1560"/>
        </w:tabs>
        <w:spacing w:after="240" w:line="240" w:lineRule="auto"/>
        <w:ind w:hanging="437"/>
        <w:jc w:val="both"/>
        <w:rPr>
          <w:rFonts w:ascii="Times New Roman" w:hAnsi="Times New Roman"/>
          <w:noProof/>
          <w:sz w:val="24"/>
          <w:szCs w:val="24"/>
        </w:rPr>
      </w:pPr>
      <w:r>
        <w:rPr>
          <w:rFonts w:ascii="Times New Roman" w:hAnsi="Times New Roman"/>
          <w:noProof/>
          <w:sz w:val="24"/>
        </w:rPr>
        <w:t>повишаване на капацитета на независимите институции и механизми за разглеждане на жалби и граждански контрол.</w:t>
      </w:r>
    </w:p>
    <w:p>
      <w:pPr>
        <w:spacing w:after="240" w:line="240" w:lineRule="auto"/>
        <w:ind w:left="851"/>
        <w:jc w:val="both"/>
        <w:rPr>
          <w:rFonts w:ascii="Times New Roman" w:hAnsi="Times New Roman"/>
          <w:noProof/>
          <w:sz w:val="24"/>
          <w:szCs w:val="24"/>
        </w:rPr>
      </w:pPr>
      <w:r>
        <w:rPr>
          <w:rFonts w:ascii="Times New Roman" w:hAnsi="Times New Roman"/>
          <w:noProof/>
          <w:sz w:val="24"/>
        </w:rPr>
        <w:t>Бенефициери могат да бъдат национални законодателни органи и независими или полунезависими органи, като омбудсмани, институции или комисии за защита на правата на човека, комисии за борба с корупцията, независими полицейски комисии за разглеждане на жалби и съдебни органи, когато упражняват надзор над правоприлагащи органи и др.</w:t>
      </w:r>
    </w:p>
    <w:p>
      <w:pPr>
        <w:spacing w:after="240" w:line="240" w:lineRule="auto"/>
        <w:ind w:left="851"/>
        <w:jc w:val="both"/>
        <w:rPr>
          <w:rFonts w:ascii="Times New Roman" w:hAnsi="Times New Roman"/>
          <w:noProof/>
          <w:sz w:val="24"/>
          <w:szCs w:val="24"/>
        </w:rPr>
      </w:pPr>
      <w:r>
        <w:rPr>
          <w:rFonts w:ascii="Times New Roman" w:hAnsi="Times New Roman"/>
          <w:noProof/>
          <w:sz w:val="24"/>
        </w:rPr>
        <w:t>ЕС следва да насърчи активното участие на гражданското общество в тези механизми за надзор и, когато е уместно, да подпомогне инициативи на гражданското общество за мониторинг на поведението на силите за сигурност. Той ще насърчи също така свободата на медиите и ще укрепи техния капацитет да докладват отговорно относно сектора на сигурността.</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 xml:space="preserve">Сигурност на общностите </w:t>
      </w:r>
    </w:p>
    <w:p>
      <w:pPr>
        <w:spacing w:after="240" w:line="240" w:lineRule="auto"/>
        <w:ind w:left="851"/>
        <w:jc w:val="both"/>
        <w:rPr>
          <w:rFonts w:ascii="Times New Roman" w:hAnsi="Times New Roman"/>
          <w:noProof/>
          <w:sz w:val="24"/>
          <w:szCs w:val="24"/>
        </w:rPr>
      </w:pPr>
      <w:r>
        <w:rPr>
          <w:rFonts w:ascii="Times New Roman" w:hAnsi="Times New Roman"/>
          <w:noProof/>
          <w:sz w:val="24"/>
        </w:rPr>
        <w:t xml:space="preserve">Когато насилието и конфликтите са свързани с политически, социални и икономически проблеми, които са със строго местен характер, или когато националните сили за сигурност не са в състояние да предоставят жизненоважни услуги за сигурност, ЕС може да финансира инициативи за подкрепа, чрез които населението получава ползи в областта на сигурността и правосъдието чрез подход на гарантиране на сигурността на общностите, включващ (официални и/или традиционни) местни органи, когато това е възможно, жителите на въпросните общности и квартали и местните сили за сигурност. Целта ще бъде да се подобри сигурността на местните общности, да се разрешат конфликти и да се отстраняват местните първопричини за насилието и в крайна сметка да се гарантира, че националните органи са в състояние да справят с проблемите, свързани със сигурността, и конфликтите на местно равнище. </w:t>
      </w:r>
    </w:p>
    <w:p>
      <w:pPr>
        <w:keepNext/>
        <w:numPr>
          <w:ilvl w:val="0"/>
          <w:numId w:val="1"/>
        </w:numPr>
        <w:tabs>
          <w:tab w:val="left" w:pos="851"/>
        </w:tabs>
        <w:spacing w:after="120" w:line="240" w:lineRule="auto"/>
        <w:ind w:left="850" w:hanging="425"/>
        <w:jc w:val="both"/>
        <w:rPr>
          <w:rFonts w:ascii="Times New Roman" w:hAnsi="Times New Roman"/>
          <w:b/>
          <w:i/>
          <w:noProof/>
          <w:sz w:val="24"/>
          <w:szCs w:val="24"/>
        </w:rPr>
      </w:pPr>
      <w:r>
        <w:rPr>
          <w:rFonts w:ascii="Times New Roman" w:hAnsi="Times New Roman"/>
          <w:b/>
          <w:i/>
          <w:noProof/>
          <w:sz w:val="24"/>
        </w:rPr>
        <w:t>Връзки между РСС и други области на ангажираност</w:t>
      </w:r>
    </w:p>
    <w:bookmarkEnd w:id="7"/>
    <w:bookmarkEnd w:id="8"/>
    <w:bookmarkEnd w:id="9"/>
    <w:p>
      <w:pPr>
        <w:spacing w:after="120" w:line="240" w:lineRule="auto"/>
        <w:ind w:left="851"/>
        <w:jc w:val="both"/>
        <w:rPr>
          <w:rFonts w:ascii="Times New Roman" w:hAnsi="Times New Roman"/>
          <w:i/>
          <w:noProof/>
          <w:sz w:val="24"/>
          <w:szCs w:val="24"/>
          <w:u w:val="single"/>
        </w:rPr>
      </w:pPr>
      <w:r>
        <w:rPr>
          <w:rFonts w:ascii="Times New Roman" w:hAnsi="Times New Roman"/>
          <w:i/>
          <w:noProof/>
          <w:sz w:val="24"/>
          <w:u w:val="single"/>
        </w:rPr>
        <w:t>Разоръжаване, демобилизация и реинтеграция на бивши бойци</w:t>
      </w:r>
    </w:p>
    <w:p>
      <w:pPr>
        <w:spacing w:after="240" w:line="240" w:lineRule="auto"/>
        <w:ind w:left="851"/>
        <w:jc w:val="both"/>
        <w:rPr>
          <w:rFonts w:ascii="Times New Roman" w:hAnsi="Times New Roman"/>
          <w:noProof/>
          <w:sz w:val="24"/>
          <w:szCs w:val="24"/>
        </w:rPr>
      </w:pPr>
      <w:r>
        <w:rPr>
          <w:rFonts w:ascii="Times New Roman" w:hAnsi="Times New Roman"/>
          <w:noProof/>
          <w:sz w:val="24"/>
        </w:rPr>
        <w:t>Под разоръжаване, демобилизация и реинтеграция на бивши бойци (РДР) се разбира набор от мерки в рамките на процес на демилитаризиране на официални и неофициални въоръжени групи чрез разоръжаването или разформироването на недържавни групи или съкращаването на въоръжените сили и реинтегрирането им в цивилния живот</w:t>
      </w:r>
      <w:r>
        <w:rPr>
          <w:rStyle w:val="FootnoteReference"/>
          <w:rFonts w:ascii="Times New Roman" w:hAnsi="Times New Roman"/>
          <w:noProof/>
          <w:sz w:val="24"/>
        </w:rPr>
        <w:footnoteReference w:id="38"/>
      </w:r>
      <w:r>
        <w:rPr>
          <w:rFonts w:ascii="Times New Roman" w:hAnsi="Times New Roman"/>
          <w:noProof/>
          <w:sz w:val="24"/>
        </w:rPr>
        <w:t>. Процесите на РДР следва да отговорят на непосредствените нужди в областта на сигурността и да спомагат за полагането на основите на дългосрочната стабилност в дадена държава или регион. Съответно те следва да бъдат обвързани с цялостен мирен процес и за предпочитане с по-широка РСС. При ситуации на конфликт и при ситуации след конфликт с подкрепата от ЕС за РСС и РДР ще се постигне баланс между необходимостта от възстановяване на основни услуги за сигурност като спешна мярка за стабилизиране и необходимостта от избягване на възпрепятстването на по-дългосрочната стабилност например чрез узаконяване на сили за сигурност, които не защитават сигурността на всички групи.</w:t>
      </w:r>
    </w:p>
    <w:p>
      <w:pPr>
        <w:keepNext/>
        <w:keepLines/>
        <w:spacing w:after="120" w:line="240" w:lineRule="auto"/>
        <w:ind w:left="851"/>
        <w:jc w:val="both"/>
        <w:rPr>
          <w:rFonts w:ascii="Times New Roman" w:hAnsi="Times New Roman"/>
          <w:i/>
          <w:noProof/>
          <w:sz w:val="24"/>
          <w:szCs w:val="24"/>
          <w:u w:val="single"/>
        </w:rPr>
      </w:pPr>
      <w:r>
        <w:rPr>
          <w:rFonts w:ascii="Times New Roman" w:hAnsi="Times New Roman"/>
          <w:i/>
          <w:noProof/>
          <w:sz w:val="24"/>
          <w:u w:val="single"/>
        </w:rPr>
        <w:t xml:space="preserve">Правосъдие в условия на преход </w:t>
      </w:r>
    </w:p>
    <w:p>
      <w:pPr>
        <w:spacing w:after="240" w:line="240" w:lineRule="auto"/>
        <w:ind w:left="851"/>
        <w:jc w:val="both"/>
        <w:rPr>
          <w:rFonts w:ascii="Times New Roman" w:hAnsi="Times New Roman"/>
          <w:noProof/>
          <w:sz w:val="24"/>
          <w:szCs w:val="24"/>
        </w:rPr>
      </w:pPr>
      <w:r>
        <w:rPr>
          <w:rFonts w:ascii="Times New Roman" w:hAnsi="Times New Roman"/>
          <w:noProof/>
          <w:sz w:val="24"/>
        </w:rPr>
        <w:t>Понятието „правосъдие в условия на преход“ обхваща „пълния набор от процеси и механизми, свързани с опитите на обществото да се справи с извършени в миналото мащабни злоупотреби, за да се гарантира отчетност, да се раздаде правосъдие и да се постигне помирение“</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Мерките за правосъдие в условия на преход следва в крайна сметка да допринесат за възстановяването и укрепването на върховенството на закона.</w:t>
      </w:r>
    </w:p>
    <w:p>
      <w:pPr>
        <w:spacing w:after="240" w:line="240" w:lineRule="auto"/>
        <w:ind w:left="851"/>
        <w:jc w:val="both"/>
        <w:rPr>
          <w:rFonts w:ascii="Times New Roman" w:hAnsi="Times New Roman"/>
          <w:noProof/>
          <w:sz w:val="24"/>
          <w:szCs w:val="24"/>
        </w:rPr>
      </w:pPr>
      <w:r>
        <w:rPr>
          <w:rFonts w:ascii="Times New Roman" w:hAnsi="Times New Roman"/>
          <w:noProof/>
          <w:sz w:val="24"/>
        </w:rPr>
        <w:t>В държавите след преживян конфликт и в държавите в преход РСС като компонент на институционалната реформа може да допринесе за предотвратяването на повторното разразяване на конфликта. По този начин тя спомага за гарантирането на отчетност, зачитането на правата на човека и предотвратяването на бъдещи нарушенията. В Заключенията на Съвета относно подкрепата за правосъдието в условия на преход</w:t>
      </w:r>
      <w:r>
        <w:rPr>
          <w:rStyle w:val="FootnoteReference"/>
          <w:rFonts w:ascii="Times New Roman" w:hAnsi="Times New Roman"/>
          <w:noProof/>
          <w:sz w:val="24"/>
        </w:rPr>
        <w:footnoteReference w:id="40"/>
      </w:r>
      <w:r>
        <w:rPr>
          <w:rFonts w:ascii="Times New Roman" w:hAnsi="Times New Roman"/>
          <w:noProof/>
          <w:sz w:val="24"/>
        </w:rPr>
        <w:t xml:space="preserve"> се подчертава значението на РСС.</w:t>
      </w:r>
    </w:p>
    <w:p>
      <w:pPr>
        <w:keepNext/>
        <w:spacing w:after="120" w:line="240" w:lineRule="auto"/>
        <w:ind w:left="851"/>
        <w:jc w:val="both"/>
        <w:rPr>
          <w:rFonts w:ascii="Times New Roman" w:hAnsi="Times New Roman"/>
          <w:i/>
          <w:noProof/>
          <w:sz w:val="24"/>
          <w:szCs w:val="24"/>
          <w:u w:val="single"/>
        </w:rPr>
      </w:pPr>
      <w:r>
        <w:rPr>
          <w:rFonts w:ascii="Times New Roman" w:hAnsi="Times New Roman"/>
          <w:i/>
          <w:noProof/>
          <w:sz w:val="24"/>
          <w:u w:val="single"/>
        </w:rPr>
        <w:t>Малки оръжия и леки въоръжения (МОЛВ)</w:t>
      </w:r>
    </w:p>
    <w:p>
      <w:pPr>
        <w:spacing w:after="240" w:line="240" w:lineRule="auto"/>
        <w:ind w:left="851"/>
        <w:jc w:val="both"/>
        <w:rPr>
          <w:rFonts w:ascii="Times New Roman" w:hAnsi="Times New Roman"/>
          <w:noProof/>
          <w:sz w:val="24"/>
          <w:szCs w:val="24"/>
        </w:rPr>
      </w:pPr>
      <w:r>
        <w:rPr>
          <w:rFonts w:ascii="Times New Roman" w:hAnsi="Times New Roman"/>
          <w:noProof/>
          <w:sz w:val="24"/>
        </w:rPr>
        <w:t>Наличието на МОЛВ често е ключов фактор за пораждането и разпространението на несигурност. „Остатъчните конфликти“, поддържани от незаконното разпространение на МОЛВ, често размиват границата между въоръжен конфликт и престъпност</w:t>
      </w:r>
      <w:r>
        <w:rPr>
          <w:rStyle w:val="FootnoteReference"/>
          <w:rFonts w:ascii="Times New Roman" w:hAnsi="Times New Roman"/>
          <w:noProof/>
          <w:sz w:val="24"/>
        </w:rPr>
        <w:footnoteReference w:id="41"/>
      </w:r>
      <w:r>
        <w:rPr>
          <w:rFonts w:ascii="Times New Roman" w:hAnsi="Times New Roman"/>
          <w:noProof/>
          <w:sz w:val="24"/>
        </w:rPr>
        <w:t>. Контролът на МОЛВ е неразривно свързан с усилията за РСС, не само като ограничава предполагаемата или реалната нужда или склонност на отделни лица или общности да се погрижат за своята собствена защита.</w:t>
      </w:r>
    </w:p>
    <w:p>
      <w:pPr>
        <w:keepNext/>
        <w:spacing w:before="360" w:after="240" w:line="240" w:lineRule="auto"/>
        <w:ind w:left="431" w:hanging="431"/>
        <w:jc w:val="both"/>
        <w:outlineLvl w:val="0"/>
        <w:rPr>
          <w:rFonts w:ascii="Times New Roman" w:eastAsia="Times New Roman" w:hAnsi="Times New Roman"/>
          <w:b/>
          <w:bCs/>
          <w:caps/>
          <w:noProof/>
          <w:kern w:val="32"/>
          <w:sz w:val="24"/>
          <w:szCs w:val="24"/>
        </w:rPr>
      </w:pPr>
      <w:bookmarkStart w:id="11" w:name="_Toc451796327"/>
      <w:bookmarkStart w:id="12" w:name="_Toc435784262"/>
      <w:bookmarkStart w:id="13" w:name="_Toc440292883"/>
      <w:r>
        <w:rPr>
          <w:rFonts w:ascii="Times New Roman" w:hAnsi="Times New Roman"/>
          <w:b/>
          <w:caps/>
          <w:noProof/>
          <w:kern w:val="32"/>
          <w:sz w:val="24"/>
        </w:rPr>
        <w:t xml:space="preserve">5. </w:t>
      </w:r>
      <w:r>
        <w:rPr>
          <w:noProof/>
        </w:rPr>
        <w:tab/>
      </w:r>
      <w:r>
        <w:rPr>
          <w:rFonts w:ascii="Times New Roman" w:hAnsi="Times New Roman"/>
          <w:b/>
          <w:caps/>
          <w:noProof/>
          <w:kern w:val="32"/>
          <w:sz w:val="24"/>
        </w:rPr>
        <w:t>Мониторинг и оценка на изпълнението на политиката</w:t>
      </w:r>
      <w:bookmarkEnd w:id="11"/>
    </w:p>
    <w:bookmarkEnd w:id="12"/>
    <w:bookmarkEnd w:id="13"/>
    <w:p>
      <w:pPr>
        <w:spacing w:after="240" w:line="240" w:lineRule="auto"/>
        <w:jc w:val="both"/>
        <w:rPr>
          <w:rFonts w:ascii="Times New Roman" w:hAnsi="Times New Roman"/>
          <w:noProof/>
          <w:sz w:val="24"/>
          <w:szCs w:val="24"/>
        </w:rPr>
      </w:pPr>
      <w:r>
        <w:rPr>
          <w:rFonts w:ascii="Times New Roman" w:hAnsi="Times New Roman"/>
          <w:noProof/>
          <w:sz w:val="24"/>
        </w:rPr>
        <w:t>Изпълнението на настоящата рамка на политиката ще подлежи на редовен мониторинг и оценка. Всяка година междуведомствен екип, съставен от представители на ЕСВД и Комисията, когато е необходимо с подкрепата на външни консултанти, ще извършва преглед на цялостния ангажимент на ЕС в сектора на сигурността в най-малко една държава с приоритетно значение.</w:t>
      </w:r>
    </w:p>
    <w:p>
      <w:pPr>
        <w:spacing w:after="240" w:line="240" w:lineRule="auto"/>
        <w:jc w:val="both"/>
        <w:rPr>
          <w:rFonts w:ascii="Times New Roman" w:hAnsi="Times New Roman"/>
          <w:noProof/>
          <w:sz w:val="24"/>
          <w:szCs w:val="24"/>
        </w:rPr>
      </w:pPr>
      <w:r>
        <w:rPr>
          <w:rFonts w:ascii="Times New Roman" w:hAnsi="Times New Roman"/>
          <w:noProof/>
          <w:sz w:val="24"/>
        </w:rPr>
        <w:t>Критериите за оценка ще се основават на целите и принципите, очертани в настоящото съвместно съобщение, на съвместните насоки за мониторинг и оценка и на реалното изпълнение на съответна рамка за управление на риска.</w:t>
      </w:r>
    </w:p>
    <w:p>
      <w:pPr>
        <w:spacing w:after="240" w:line="240" w:lineRule="auto"/>
        <w:jc w:val="both"/>
        <w:rPr>
          <w:rFonts w:ascii="Times New Roman" w:hAnsi="Times New Roman"/>
          <w:noProof/>
          <w:sz w:val="24"/>
          <w:szCs w:val="24"/>
        </w:rPr>
      </w:pPr>
      <w:r>
        <w:rPr>
          <w:rFonts w:ascii="Times New Roman" w:hAnsi="Times New Roman"/>
          <w:noProof/>
          <w:sz w:val="24"/>
        </w:rPr>
        <w:t>Значението на ангажимента на ЕС също ще се оценява въз основа на критерии като:</w:t>
      </w:r>
    </w:p>
    <w:p>
      <w:pPr>
        <w:numPr>
          <w:ilvl w:val="0"/>
          <w:numId w:val="2"/>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качеството и всеобхватността на неговия анализ на сектора на сигурността;</w:t>
      </w:r>
    </w:p>
    <w:p>
      <w:pPr>
        <w:numPr>
          <w:ilvl w:val="0"/>
          <w:numId w:val="2"/>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неговата способност за реакция при неотложни кризи и нововъзникващи възможности и</w:t>
      </w:r>
    </w:p>
    <w:p>
      <w:pPr>
        <w:numPr>
          <w:ilvl w:val="0"/>
          <w:numId w:val="2"/>
        </w:numPr>
        <w:tabs>
          <w:tab w:val="left" w:pos="851"/>
        </w:tabs>
        <w:spacing w:after="240" w:line="240" w:lineRule="auto"/>
        <w:ind w:left="851" w:hanging="425"/>
        <w:jc w:val="both"/>
        <w:rPr>
          <w:rFonts w:ascii="Times New Roman" w:hAnsi="Times New Roman"/>
          <w:noProof/>
          <w:sz w:val="24"/>
          <w:szCs w:val="24"/>
        </w:rPr>
      </w:pPr>
      <w:r>
        <w:rPr>
          <w:rFonts w:ascii="Times New Roman" w:hAnsi="Times New Roman"/>
          <w:noProof/>
          <w:sz w:val="24"/>
        </w:rPr>
        <w:t>съгласуваността между подкрепата на ЕС, по-широките цели на ЕС за сигурност и развитие и целите на държавите партньори в областта на сигурността.</w:t>
      </w:r>
    </w:p>
    <w:p>
      <w:pPr>
        <w:spacing w:after="240" w:line="240" w:lineRule="auto"/>
        <w:jc w:val="both"/>
        <w:rPr>
          <w:rFonts w:ascii="Times New Roman" w:hAnsi="Times New Roman"/>
          <w:noProof/>
          <w:sz w:val="24"/>
          <w:szCs w:val="24"/>
        </w:rPr>
      </w:pPr>
      <w:r>
        <w:rPr>
          <w:rFonts w:ascii="Times New Roman" w:hAnsi="Times New Roman"/>
          <w:noProof/>
          <w:sz w:val="24"/>
        </w:rPr>
        <w:t>Оценките ще бъдат обществено достъпни. Ще бъдат изготвени препоръки, а последващите действия ще подлежат на мониторинг. Оценките ще се използват също така за събиране на най-добри практики и извлечени поуки, които ще се прилагат при обучението на персонала на ЕС и ще служат като основа за размисъл относно финансовите инструменти на ЕС. Това ще спомогне за подобряване на вътрешните процедури и ефикасността на подкрепата.</w:t>
      </w:r>
    </w:p>
    <w:p>
      <w:pPr>
        <w:spacing w:after="240" w:line="240" w:lineRule="auto"/>
        <w:jc w:val="both"/>
        <w:rPr>
          <w:rFonts w:ascii="Times New Roman" w:hAnsi="Times New Roman"/>
          <w:noProof/>
          <w:sz w:val="24"/>
          <w:szCs w:val="24"/>
        </w:rPr>
      </w:pPr>
      <w:r>
        <w:rPr>
          <w:rFonts w:ascii="Times New Roman" w:hAnsi="Times New Roman"/>
          <w:noProof/>
          <w:sz w:val="24"/>
        </w:rPr>
        <w:t xml:space="preserve">Цялостното изпълнение на настоящата стратегическа рамка ще се оценява в срок от пет години. </w:t>
      </w:r>
    </w:p>
    <w:p>
      <w:pPr>
        <w:spacing w:after="240" w:line="240" w:lineRule="auto"/>
        <w:jc w:val="both"/>
        <w:rPr>
          <w:rFonts w:ascii="Times New Roman" w:hAnsi="Times New Roman"/>
          <w:noProof/>
          <w:sz w:val="24"/>
          <w:szCs w:val="24"/>
        </w:rPr>
      </w:pPr>
      <w:r>
        <w:rPr>
          <w:rFonts w:ascii="Times New Roman" w:hAnsi="Times New Roman"/>
          <w:i/>
          <w:noProof/>
          <w:sz w:val="24"/>
        </w:rPr>
        <w:t>Европейската комисия и върховният представител призовават Европейския парламент и Съвета да одобрят и подкрепят изложения в настоящото съвместно съобщение подход и да се ангажират пълноценно със стремежа към по-съгласуван и ефективен ангажимент на ЕС за осигуряването на подкрепа за РСС в неговите държави партньори.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993" w:right="1418" w:bottom="1134" w:left="1418"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ind w:left="284" w:hanging="284"/>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В съответствие с Насоките на Комитета за подпомагане на развитието (КПР) към Организацията за икономическо сътрудничество и развитие (ОИСР) относно реформата в сектора на сигурността се приема, че секторът на националната сигурност включва правоприлагащите институции (полиция, жандармерия, митници, гранична охрана и др.), системата на наказателното правосъдие (т.е. наказателни съдилища, прокуратура, изправителни институции и др.), въоръжените сили, разузнавателните служби, институциите за политически, финансов и съдебен надзор (ресорсни министерства, парламентарни комисии, сметната палата, съдебната система и др.) и недържавни участници в областта на сигурността, включително старейшини, традиционни съдилища, партизани и армии за освобождение, частни военни и охранителни дружества. Вж. </w:t>
      </w:r>
      <w:r>
        <w:rPr>
          <w:rFonts w:ascii="Times New Roman" w:hAnsi="Times New Roman"/>
          <w:i/>
          <w:sz w:val="20"/>
        </w:rPr>
        <w:t>Ръководството на Комитета за подпомагане на развитието към Организацията за икономическо сътрудничество и развитие относно реформата в сектора на сигурността</w:t>
      </w:r>
      <w:r>
        <w:rPr>
          <w:rFonts w:ascii="Times New Roman" w:hAnsi="Times New Roman"/>
          <w:sz w:val="20"/>
        </w:rPr>
        <w:t xml:space="preserve">: </w:t>
      </w:r>
      <w:r>
        <w:rPr>
          <w:rFonts w:ascii="Times New Roman" w:hAnsi="Times New Roman"/>
          <w:i/>
          <w:sz w:val="20"/>
        </w:rPr>
        <w:t>подпомагане на сигурността и правосъдието</w:t>
      </w:r>
      <w:r>
        <w:rPr>
          <w:rFonts w:ascii="Times New Roman" w:hAnsi="Times New Roman"/>
          <w:sz w:val="20"/>
        </w:rPr>
        <w:t xml:space="preserve"> (OECD Publishing, Париж).</w:t>
      </w:r>
    </w:p>
  </w:footnote>
  <w:footnote w:id="3">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JOIN(2015) 50, </w:t>
      </w:r>
      <w:r>
        <w:rPr>
          <w:rFonts w:ascii="Times New Roman" w:hAnsi="Times New Roman"/>
          <w:i/>
        </w:rPr>
        <w:t>Преглед на европейската политика за съседство</w:t>
      </w:r>
      <w:r>
        <w:rPr>
          <w:rFonts w:ascii="Times New Roman" w:hAnsi="Times New Roman"/>
        </w:rPr>
        <w:t>.</w:t>
      </w:r>
    </w:p>
  </w:footnote>
  <w:footnote w:id="4">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43 % от живеещите в абсолютна бедност са жители на нестабилни и засегнати от конфликти държави.</w:t>
      </w:r>
    </w:p>
  </w:footnote>
  <w:footnote w:id="5">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COM(2011) 637 и заключенията на Съвета </w:t>
      </w:r>
      <w:r>
        <w:rPr>
          <w:rFonts w:ascii="Times New Roman" w:hAnsi="Times New Roman"/>
          <w:i/>
        </w:rPr>
        <w:t>„Повишаване на въздействието на политиката на ЕС за развитие:</w:t>
      </w:r>
      <w:r>
        <w:rPr>
          <w:rFonts w:ascii="Times New Roman" w:hAnsi="Times New Roman"/>
        </w:rPr>
        <w:t xml:space="preserve"> </w:t>
      </w:r>
      <w:r>
        <w:rPr>
          <w:rFonts w:ascii="Times New Roman" w:hAnsi="Times New Roman"/>
          <w:i/>
        </w:rPr>
        <w:t>програма за промяна</w:t>
      </w:r>
      <w:r>
        <w:rPr>
          <w:rFonts w:ascii="Times New Roman" w:hAnsi="Times New Roman"/>
        </w:rPr>
        <w:t>, 3166-о заседание на Съвета по външни работи, Брюксел, 14 май 2012</w:t>
      </w:r>
      <w:r>
        <w:rPr>
          <w:rFonts w:ascii="Times New Roman" w:hAnsi="Times New Roman"/>
          <w:lang w:val="en-GB"/>
        </w:rPr>
        <w:t> </w:t>
      </w:r>
      <w:r>
        <w:rPr>
          <w:rFonts w:ascii="Times New Roman" w:hAnsi="Times New Roman"/>
        </w:rPr>
        <w:t>г.</w:t>
      </w:r>
    </w:p>
  </w:footnote>
  <w:footnote w:id="6">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Да преобразим нашия свят</w:t>
      </w:r>
      <w:r>
        <w:t xml:space="preserve">: </w:t>
      </w:r>
      <w:r>
        <w:rPr>
          <w:rFonts w:ascii="Times New Roman" w:hAnsi="Times New Roman"/>
          <w:i/>
        </w:rPr>
        <w:t>програма за устойчиво развитие до 2030 г.</w:t>
      </w:r>
      <w:r>
        <w:rPr>
          <w:rFonts w:ascii="Times New Roman" w:hAnsi="Times New Roman"/>
        </w:rPr>
        <w:t>(Резолюция, приета от Общото събрание на ООН на 25 септември 2015 г., UNGA A/RES/70/1);</w:t>
      </w:r>
      <w:r>
        <w:t xml:space="preserve"> </w:t>
      </w:r>
      <w:r>
        <w:rPr>
          <w:rFonts w:ascii="Times New Roman" w:hAnsi="Times New Roman"/>
        </w:rPr>
        <w:t>Цел 16: „насърчаване на мирни и приобщаващи общества за устойчиво развитие, осигуряване на достъп до правосъдие за всички и изграждане на ефективни, отговорни и приобщаващи институции на всички равнища“.</w:t>
      </w:r>
    </w:p>
  </w:footnote>
  <w:footnote w:id="7">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съответствие с разпоредбите на Договорите за ЕС относно външната дейност на ЕС като цяло (членове 21—22 от ДЕС), обща външна политика и политика на сигурност (ОВППС)/обща политика за сигурност и отбрана (ОПСО) (членове 23—24 от ДЕС), политиката за сътрудничество за развитие (членове 208—211 от ДФЕС) и други политики за сътрудничество (членове 212—213 от ДФЕС).</w:t>
      </w:r>
    </w:p>
  </w:footnote>
  <w:footnote w:id="8">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Европейска програма за сигурност</w:t>
      </w:r>
      <w:r>
        <w:t xml:space="preserve">, </w:t>
      </w:r>
      <w:r>
        <w:rPr>
          <w:rFonts w:ascii="Times New Roman" w:hAnsi="Times New Roman"/>
        </w:rPr>
        <w:t>Съобщение на Комисията до Европейския парламент, Съвета, Европейския икономически и социален комитет и Комитета на регионите (COM(2015) 185 final).</w:t>
      </w:r>
    </w:p>
  </w:footnote>
  <w:footnote w:id="9">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SWD(2016) 221</w:t>
      </w:r>
    </w:p>
  </w:footnote>
  <w:footnote w:id="10">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Съгласно Съобщението относно всеобхватния подход на ЕС към външните конфликти и кризи хуманитарната помощ се предоставя в съответствие със специфичния си </w:t>
      </w:r>
      <w:r>
        <w:rPr>
          <w:rFonts w:ascii="Times New Roman" w:hAnsi="Times New Roman"/>
          <w:i/>
        </w:rPr>
        <w:t>modus operandi</w:t>
      </w:r>
      <w:r>
        <w:rPr>
          <w:rFonts w:ascii="Times New Roman" w:hAnsi="Times New Roman"/>
        </w:rPr>
        <w:t>, като се зачитат принципите на хуманност, неутралност, безпристрастност и независимост, и водещи са единствено нуждите на засегнатото население.</w:t>
      </w:r>
    </w:p>
  </w:footnote>
  <w:footnote w:id="11">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Инициатива № 21 в Приложение I към Работната програма на Комисията за 2016 г. (COM(2015) 610 final).</w:t>
      </w:r>
    </w:p>
  </w:footnote>
  <w:footnote w:id="12">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Заключения на Съвета относно общата политика за сигурност и отбрана (ОПСО)</w:t>
      </w:r>
      <w:r>
        <w:t xml:space="preserve">, </w:t>
      </w:r>
      <w:r>
        <w:rPr>
          <w:rFonts w:ascii="Times New Roman" w:hAnsi="Times New Roman"/>
        </w:rPr>
        <w:t>Съвет на Европейския съюз (документ 8971/15, май 2015 г.).</w:t>
      </w:r>
    </w:p>
  </w:footnote>
  <w:footnote w:id="13">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JOIN(2015) 17 final, </w:t>
      </w:r>
      <w:r>
        <w:rPr>
          <w:rFonts w:ascii="Times New Roman" w:hAnsi="Times New Roman"/>
          <w:i/>
        </w:rPr>
        <w:t>Създаване на способности в нашите партньори за предотвратяване и управление на кризи</w:t>
      </w:r>
      <w:r>
        <w:rPr>
          <w:rFonts w:ascii="Times New Roman" w:hAnsi="Times New Roman"/>
        </w:rPr>
        <w:t>.</w:t>
      </w:r>
    </w:p>
  </w:footnote>
  <w:footnote w:id="14">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JOIN(2013) 30 final, </w:t>
      </w:r>
      <w:r>
        <w:rPr>
          <w:rFonts w:ascii="Times New Roman" w:hAnsi="Times New Roman"/>
          <w:i/>
        </w:rPr>
        <w:t>Всеобхватният подход на ЕС към външните конфликти и кризи</w:t>
      </w:r>
      <w:r>
        <w:rPr>
          <w:rFonts w:ascii="Times New Roman" w:hAnsi="Times New Roman"/>
        </w:rPr>
        <w:t>.</w:t>
      </w:r>
    </w:p>
  </w:footnote>
  <w:footnote w:id="15">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Концепция за подкрепа на Европейската общност за реформата в сектора на сигурността</w:t>
      </w:r>
      <w:r>
        <w:t xml:space="preserve">, </w:t>
      </w:r>
      <w:r>
        <w:rPr>
          <w:rFonts w:ascii="Times New Roman" w:hAnsi="Times New Roman"/>
        </w:rPr>
        <w:t xml:space="preserve">Съобщение на Комисията до Съвета и Европейския парламент (SEC(2006) 658), и </w:t>
      </w:r>
      <w:r>
        <w:rPr>
          <w:rFonts w:ascii="Times New Roman" w:hAnsi="Times New Roman"/>
          <w:i/>
        </w:rPr>
        <w:t>Концепция на ЕС за подкрепа на европейската политика за сигурност и отбрана (ЕПСО) за реформата в сектора на сигурността</w:t>
      </w:r>
      <w:r>
        <w:rPr>
          <w:rFonts w:ascii="Times New Roman" w:hAnsi="Times New Roman"/>
        </w:rPr>
        <w:t xml:space="preserve"> (Съвет 12566/4/05), която бе изготвена въз основа на </w:t>
      </w:r>
      <w:r>
        <w:rPr>
          <w:rFonts w:ascii="Times New Roman" w:hAnsi="Times New Roman"/>
          <w:i/>
        </w:rPr>
        <w:t>Европейската стратегия за сигурност — по-сигурна Европа в по-добър свят</w:t>
      </w:r>
      <w:r>
        <w:rPr>
          <w:rFonts w:ascii="Times New Roman" w:hAnsi="Times New Roman"/>
        </w:rPr>
        <w:t>, приета от Европейския съвет през декември 2003 г.</w:t>
      </w:r>
    </w:p>
  </w:footnote>
  <w:footnote w:id="16">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Обща визия, общи действия: По-силна Европа — глобална стратегия на Европейския съюз в областта на външните работи и политика на сигурност</w:t>
      </w:r>
      <w:r>
        <w:t xml:space="preserve">, </w:t>
      </w:r>
      <w:r>
        <w:rPr>
          <w:rFonts w:ascii="Times New Roman" w:hAnsi="Times New Roman"/>
        </w:rPr>
        <w:t>върховен представител на Съюза по въпросите на външните работи и политиката на сигурност, юни 2016 г.</w:t>
      </w:r>
    </w:p>
  </w:footnote>
  <w:footnote w:id="17">
    <w:p>
      <w:pPr>
        <w:pStyle w:val="FootnoteText"/>
        <w:spacing w:after="120"/>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rPr>
        <w:footnoteRef/>
      </w:r>
      <w:r>
        <w:rPr>
          <w:rFonts w:ascii="Times New Roman" w:hAnsi="Times New Roman"/>
        </w:rPr>
        <w:t xml:space="preserve"> </w:t>
      </w:r>
      <w:r>
        <w:tab/>
      </w:r>
      <w:r>
        <w:rPr>
          <w:rStyle w:val="FootnoteReference"/>
          <w:rFonts w:ascii="Times New Roman" w:hAnsi="Times New Roman"/>
          <w:vertAlign w:val="baseline"/>
        </w:rPr>
        <w:t>COM(2015) 185 final,</w:t>
      </w:r>
      <w:r>
        <w:rPr>
          <w:rStyle w:val="FootnoteReference"/>
          <w:vertAlign w:val="baseline"/>
        </w:rPr>
        <w:t xml:space="preserve"> </w:t>
      </w:r>
      <w:r>
        <w:rPr>
          <w:rStyle w:val="FootnoteReference"/>
          <w:rFonts w:ascii="Times New Roman" w:hAnsi="Times New Roman"/>
          <w:i/>
          <w:vertAlign w:val="baseline"/>
        </w:rPr>
        <w:t>Европейската програма за сигурност</w:t>
      </w:r>
      <w:r>
        <w:rPr>
          <w:rFonts w:ascii="Times New Roman" w:hAnsi="Times New Roman"/>
          <w:i/>
        </w:rPr>
        <w:t>.</w:t>
      </w:r>
      <w:r>
        <w:rPr>
          <w:rStyle w:val="FootnoteReference"/>
          <w:rFonts w:ascii="Times New Roman" w:hAnsi="Times New Roman"/>
          <w:vertAlign w:val="baseline"/>
        </w:rPr>
        <w:t xml:space="preserve"> </w:t>
      </w:r>
    </w:p>
  </w:footnote>
  <w:footnote w:id="18">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споразумението за „актуализиране и модернизиране на насоките за докладване на разходите за поддържане на мир и сигурност във връзка с официалната помощ за развитие (ОПР)“; вж. окончателното комюнике от срещата на високо равнище (Комитет за подпомагане на развитието (КПР) към Организацията за икономическо сътрудничество и развитие (ОИСР), 19 февруари 2016 г.).</w:t>
      </w:r>
    </w:p>
  </w:footnote>
  <w:footnote w:id="19">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целите на настоящото съобщение реакция при кризи не обхваща хуманитарна помощ.</w:t>
      </w:r>
    </w:p>
  </w:footnote>
  <w:footnote w:id="20">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Документ 8831/16 на Съвета. </w:t>
      </w:r>
    </w:p>
  </w:footnote>
  <w:footnote w:id="21">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Въпреки че принципите, определени в настоящото съвместно съобщение, се прилагат също за държавите, обхванати от процеса на разширяване, процесът на присъединяване включва различни мерки и процедури, за да се гарантира, че държавите изпълняват критериите за присъединяване.</w:t>
      </w:r>
    </w:p>
  </w:footnote>
  <w:footnote w:id="22">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Като се започне със правото на живот без лишения и страх и свободата да се предприемат действия от собствено име.</w:t>
      </w:r>
    </w:p>
  </w:footnote>
  <w:footnote w:id="23">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Заключения на Съвета относно </w:t>
      </w:r>
      <w:r>
        <w:rPr>
          <w:rFonts w:ascii="Times New Roman" w:hAnsi="Times New Roman"/>
          <w:i/>
        </w:rPr>
        <w:t>План за действие относно равенството между половете за периода 2016—2020 г.</w:t>
      </w:r>
      <w:r>
        <w:rPr>
          <w:rFonts w:ascii="Times New Roman" w:hAnsi="Times New Roman"/>
        </w:rPr>
        <w:t xml:space="preserve"> (документ 13201/15).</w:t>
      </w:r>
    </w:p>
  </w:footnote>
  <w:footnote w:id="24">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целите на настоящия документ даден сектор на сигурността се счита за законосъобразен, когато: i. зачита международно приетите права на човека, върховенството на закона и демократичните принципи; ii. прилага принципите на добро управление, прозрачност и откритост, участие и приобщаване, и отчетност и iii. се бори с корупцията.</w:t>
      </w:r>
    </w:p>
  </w:footnote>
  <w:footnote w:id="25">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е в съответствие с член 3 и член 21, буква в) от ДЕС, съгласно които Съюзът, в отношенията си с останалата част от света, трябва да утвърждава и насърчава своите ценности и интереси, включително демокрацията, правовата държава, универсалността и неделимостта на правата на човека и основните свободи. Съгласно Договора от Лисабон политиките на ЕС, включително тези относно външните отношения, трябва да бъдат в съответствие с Хартата на основните права на ЕС.</w:t>
      </w:r>
    </w:p>
  </w:footnote>
  <w:footnote w:id="26">
    <w:p>
      <w:pPr>
        <w:spacing w:after="120" w:line="240" w:lineRule="auto"/>
        <w:ind w:left="284" w:hanging="284"/>
        <w:jc w:val="both"/>
        <w:rPr>
          <w:rFonts w:ascii="Times New Roman" w:hAnsi="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В конкретния случай на съдебната система e необходимо разделяне на властите, за да се гарантира независимостта на съдебната власт, а така също и с цел съдилищата да не са подложени на неправомерно влияние от страна на другите клонове на държавната власт или от частни или партийни интереси. </w:t>
      </w:r>
    </w:p>
  </w:footnote>
  <w:footnote w:id="27">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w:t>
      </w:r>
      <w:r>
        <w:rPr>
          <w:rFonts w:ascii="Times New Roman" w:hAnsi="Times New Roman"/>
          <w:i/>
        </w:rPr>
        <w:t>Европейско управление</w:t>
      </w:r>
      <w:r>
        <w:rPr>
          <w:rFonts w:ascii="Times New Roman" w:hAnsi="Times New Roman"/>
        </w:rPr>
        <w:t>:</w:t>
      </w:r>
      <w:r>
        <w:rPr>
          <w:rFonts w:ascii="Times New Roman" w:hAnsi="Times New Roman"/>
          <w:i/>
        </w:rPr>
        <w:t xml:space="preserve"> </w:t>
      </w:r>
      <w:r>
        <w:rPr>
          <w:rFonts w:ascii="Times New Roman" w:hAnsi="Times New Roman"/>
        </w:rPr>
        <w:t>Бяла книга (COM(2001) 428); други два принципа на добро управление (ефективност и съгласуваност) са описани съответно в раздела относно цел А и в глава 3.</w:t>
      </w:r>
    </w:p>
  </w:footnote>
  <w:footnote w:id="28">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UNSC S/RES/1325 (2000 г.); UNSC S/RES/2242 (2015 г.) относно жените и относно мира и сигурността.</w:t>
      </w:r>
    </w:p>
  </w:footnote>
  <w:footnote w:id="29">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Както е описан в </w:t>
      </w:r>
      <w:r>
        <w:rPr>
          <w:rFonts w:ascii="Times New Roman" w:hAnsi="Times New Roman"/>
          <w:i/>
        </w:rPr>
        <w:t>„ХОРИЗОНТ 2020 — Работна програма за периода 2016—2017 г.“</w:t>
      </w:r>
      <w:r>
        <w:rPr>
          <w:rFonts w:ascii="Times New Roman" w:hAnsi="Times New Roman"/>
        </w:rPr>
        <w:t xml:space="preserve">, Обществено предизвикателство 7: Сигурни общества — защита на свободата и сигурността на Европа и нейните граждани, и Обществено предизвикателство 6: Европа в един променящ се свят — приобщаващи, новаторски и мислещи общества. </w:t>
      </w:r>
    </w:p>
  </w:footnote>
  <w:footnote w:id="30">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w:t>
      </w:r>
      <w:r>
        <w:rPr>
          <w:rFonts w:ascii="Times New Roman" w:hAnsi="Times New Roman"/>
          <w:i/>
        </w:rPr>
        <w:t>Парижката декларация на Комитета за подпомагане на развитието</w:t>
      </w:r>
      <w:r>
        <w:rPr>
          <w:rFonts w:ascii="Times New Roman" w:hAnsi="Times New Roman"/>
        </w:rPr>
        <w:t xml:space="preserve"> (КПР) към Организацията за икономическо сътрудничество и развитие (ОИСР) за ефективност на помощта (2005 г.); и </w:t>
      </w:r>
      <w:r>
        <w:rPr>
          <w:rFonts w:ascii="Times New Roman" w:hAnsi="Times New Roman"/>
          <w:i/>
        </w:rPr>
        <w:t>Програмата за действие от Акра</w:t>
      </w:r>
      <w:r>
        <w:rPr>
          <w:rFonts w:ascii="Times New Roman" w:hAnsi="Times New Roman"/>
        </w:rPr>
        <w:t xml:space="preserve"> (2008 г.). </w:t>
      </w:r>
      <w:r>
        <w:rPr>
          <w:rFonts w:ascii="Times New Roman" w:hAnsi="Times New Roman"/>
          <w:i/>
        </w:rPr>
        <w:t>Партньорство от Пусан за ефективно сътрудничество за развитие</w:t>
      </w:r>
      <w:r>
        <w:rPr>
          <w:rFonts w:ascii="Times New Roman" w:hAnsi="Times New Roman"/>
        </w:rPr>
        <w:t>; Четвърти форум на високо равнище относно ефективността на помощта (Пусан, Република Корея, 29 ноември—1 декември 2011 г.).</w:t>
      </w:r>
    </w:p>
  </w:footnote>
  <w:footnote w:id="31">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w:t>
      </w:r>
      <w:r>
        <w:rPr>
          <w:rFonts w:ascii="Times New Roman" w:hAnsi="Times New Roman"/>
          <w:i/>
        </w:rPr>
        <w:t>Съвместни насоки на Европейската служба за външна дейност (ЕСВД) и Комисията относно използването на анализ на конфликта в подкрепа на външната дейност на ЕС</w:t>
      </w:r>
      <w:r>
        <w:rPr>
          <w:rFonts w:ascii="Times New Roman" w:hAnsi="Times New Roman"/>
        </w:rPr>
        <w:t>“.</w:t>
      </w:r>
    </w:p>
  </w:footnote>
  <w:footnote w:id="32">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Насоки за бюджетна подкрепа. Насоки за бюджетна подкрепа – програмиране, проектиране и управление – модерен подход към бюджетната подкрепа</w:t>
      </w:r>
      <w:r>
        <w:t xml:space="preserve">, </w:t>
      </w:r>
      <w:r>
        <w:rPr>
          <w:rFonts w:ascii="Times New Roman" w:hAnsi="Times New Roman"/>
        </w:rPr>
        <w:t>работен документ, Генерална дирекция „Развитие и сътрудничество“ — EuropeAid, Европейска комисия, септември 2012 г.</w:t>
      </w:r>
    </w:p>
  </w:footnote>
  <w:footnote w:id="33">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Например меморандуми за разбирателство, съвместни изявления, договорености и др.</w:t>
      </w:r>
    </w:p>
  </w:footnote>
  <w:footnote w:id="34">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COM(2010) 126, </w:t>
      </w:r>
      <w:r>
        <w:rPr>
          <w:rFonts w:ascii="Times New Roman" w:hAnsi="Times New Roman"/>
          <w:i/>
        </w:rPr>
        <w:t>Хуманитарна хранителна помощ</w:t>
      </w:r>
      <w:r>
        <w:rPr>
          <w:rFonts w:ascii="Times New Roman" w:hAnsi="Times New Roman"/>
        </w:rPr>
        <w:t>.</w:t>
      </w:r>
    </w:p>
  </w:footnote>
  <w:footnote w:id="35">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Насоки за бюджетна подкрепа: Програмиране, проектиране и управление:</w:t>
      </w:r>
      <w:r>
        <w:t xml:space="preserve"> </w:t>
      </w:r>
      <w:r>
        <w:rPr>
          <w:rFonts w:ascii="Times New Roman" w:hAnsi="Times New Roman"/>
          <w:i/>
        </w:rPr>
        <w:t>съвременен подход към бюджетната подкрепа</w:t>
      </w:r>
      <w:r>
        <w:t xml:space="preserve">, </w:t>
      </w:r>
      <w:r>
        <w:rPr>
          <w:rFonts w:ascii="Times New Roman" w:hAnsi="Times New Roman"/>
        </w:rPr>
        <w:t>Работен документ, Генерална дирекция „Развитие и сътрудничество“ – EuropeAid, Европейска комисия, септември 2012 г.</w:t>
      </w:r>
    </w:p>
  </w:footnote>
  <w:footnote w:id="36">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JOIN(2015) 16</w:t>
      </w:r>
    </w:p>
  </w:footnote>
  <w:footnote w:id="37">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JOIN(2015) 17 final</w:t>
      </w:r>
    </w:p>
  </w:footnote>
  <w:footnote w:id="38">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Концепция на ЕС за подкрепа за разоръжаването, демобилизацията и реинтеграцията (РДР)</w:t>
      </w:r>
      <w:r>
        <w:t xml:space="preserve">, </w:t>
      </w:r>
      <w:r>
        <w:rPr>
          <w:rFonts w:ascii="Times New Roman" w:hAnsi="Times New Roman"/>
        </w:rPr>
        <w:t>одобрена от Комисията на 14 декември 2006 г. и от Съвета на Европейския съюз на 11 декември 2006</w:t>
      </w:r>
      <w:r>
        <w:rPr>
          <w:rFonts w:ascii="Times New Roman" w:hAnsi="Times New Roman"/>
          <w:lang w:val="en-GB"/>
        </w:rPr>
        <w:t> </w:t>
      </w:r>
      <w:r>
        <w:rPr>
          <w:rFonts w:ascii="Times New Roman" w:hAnsi="Times New Roman"/>
        </w:rPr>
        <w:t>г.</w:t>
      </w:r>
    </w:p>
  </w:footnote>
  <w:footnote w:id="39">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Съвет за сигурност на ООН, документ S/2004/616.</w:t>
      </w:r>
    </w:p>
  </w:footnote>
  <w:footnote w:id="40">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Съвета относно подкрепата на ЕС за правосъдието в условията на преход, 16 ноември 2015 г. (13576/15).</w:t>
      </w:r>
    </w:p>
  </w:footnote>
  <w:footnote w:id="41">
    <w:p>
      <w:pPr>
        <w:pStyle w:val="FootnoteText"/>
        <w:spacing w:after="12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Стратегия на ЕС за борба с незаконното натрупване и трафик на малки оръжия и леки въоръжения (МОЛВ) и боеприпаси за тях</w:t>
      </w:r>
      <w:r>
        <w:t xml:space="preserve">, </w:t>
      </w:r>
      <w:r>
        <w:rPr>
          <w:rFonts w:ascii="Times New Roman" w:hAnsi="Times New Roman"/>
        </w:rPr>
        <w:t>заключения на Съвета (5319/06)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74A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0B"/>
    <w:multiLevelType w:val="hybridMultilevel"/>
    <w:tmpl w:val="DD6E5A3E"/>
    <w:lvl w:ilvl="0" w:tplc="080C0001">
      <w:start w:val="1"/>
      <w:numFmt w:val="bullet"/>
      <w:lvlText w:val=""/>
      <w:lvlJc w:val="left"/>
      <w:pPr>
        <w:ind w:left="720" w:hanging="360"/>
      </w:pPr>
      <w:rPr>
        <w:rFonts w:ascii="Symbol" w:hAnsi="Symbol" w:hint="default"/>
      </w:rPr>
    </w:lvl>
    <w:lvl w:ilvl="1" w:tplc="04B0387C">
      <w:numFmt w:val="bullet"/>
      <w:lvlText w:val="-"/>
      <w:lvlJc w:val="left"/>
      <w:pPr>
        <w:ind w:left="1440" w:hanging="360"/>
      </w:pPr>
      <w:rPr>
        <w:rFonts w:ascii="Arial" w:eastAsia="Calibri"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A81E8C"/>
    <w:multiLevelType w:val="multilevel"/>
    <w:tmpl w:val="D13A22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1F46D9"/>
    <w:multiLevelType w:val="hybridMultilevel"/>
    <w:tmpl w:val="67D6031A"/>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79B49A1"/>
    <w:multiLevelType w:val="hybridMultilevel"/>
    <w:tmpl w:val="D4FE97F6"/>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CFA3602"/>
    <w:multiLevelType w:val="hybridMultilevel"/>
    <w:tmpl w:val="A81853F6"/>
    <w:lvl w:ilvl="0" w:tplc="CD1C246C">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2E9074D9"/>
    <w:multiLevelType w:val="hybridMultilevel"/>
    <w:tmpl w:val="DADE04D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46BC5E41"/>
    <w:multiLevelType w:val="hybridMultilevel"/>
    <w:tmpl w:val="6D4440C4"/>
    <w:lvl w:ilvl="0" w:tplc="3DF2C38E">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4A2F25C5"/>
    <w:multiLevelType w:val="hybridMultilevel"/>
    <w:tmpl w:val="78F6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D06792"/>
    <w:multiLevelType w:val="hybridMultilevel"/>
    <w:tmpl w:val="2DE2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AD0FC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B047E66"/>
    <w:multiLevelType w:val="hybridMultilevel"/>
    <w:tmpl w:val="ACD87358"/>
    <w:lvl w:ilvl="0" w:tplc="6B144028">
      <w:start w:val="3"/>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299495C"/>
    <w:multiLevelType w:val="hybridMultilevel"/>
    <w:tmpl w:val="38AA4F5C"/>
    <w:lvl w:ilvl="0" w:tplc="931AE310">
      <w:start w:val="1"/>
      <w:numFmt w:val="bullet"/>
      <w:lvlText w:val="-"/>
      <w:lvlJc w:val="left"/>
      <w:pPr>
        <w:ind w:left="360" w:hanging="360"/>
      </w:pPr>
      <w:rPr>
        <w:rFonts w:ascii="Times New Roman" w:hAnsi="Times New Roman"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636A18F0"/>
    <w:multiLevelType w:val="hybridMultilevel"/>
    <w:tmpl w:val="CC4AAF04"/>
    <w:lvl w:ilvl="0" w:tplc="931AE310">
      <w:start w:val="1"/>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7B582BE2"/>
    <w:multiLevelType w:val="hybridMultilevel"/>
    <w:tmpl w:val="68725826"/>
    <w:lvl w:ilvl="0" w:tplc="931AE310">
      <w:start w:val="1"/>
      <w:numFmt w:val="bullet"/>
      <w:lvlText w:val="-"/>
      <w:lvlJc w:val="left"/>
      <w:pPr>
        <w:ind w:left="360" w:hanging="360"/>
      </w:pPr>
      <w:rPr>
        <w:rFonts w:ascii="Times New Roman" w:hAnsi="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12"/>
  </w:num>
  <w:num w:numId="4">
    <w:abstractNumId w:val="11"/>
  </w:num>
  <w:num w:numId="5">
    <w:abstractNumId w:val="2"/>
  </w:num>
  <w:num w:numId="6">
    <w:abstractNumId w:val="14"/>
  </w:num>
  <w:num w:numId="7">
    <w:abstractNumId w:val="5"/>
  </w:num>
  <w:num w:numId="8">
    <w:abstractNumId w:val="8"/>
  </w:num>
  <w:num w:numId="9">
    <w:abstractNumId w:val="9"/>
  </w:num>
  <w:num w:numId="10">
    <w:abstractNumId w:val="0"/>
  </w:num>
  <w:num w:numId="11">
    <w:abstractNumId w:val="10"/>
  </w:num>
  <w:num w:numId="12">
    <w:abstractNumId w:val="4"/>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B978AFC3D6049BCAC15565E583F8FF4"/>
    <w:docVar w:name="LW_CROSSREFERENCE" w:val="{SWD(2016) 221 final}"/>
    <w:docVar w:name="LW_DocType" w:val="NORMAL"/>
    <w:docVar w:name="LW_EMISSION" w:val="5.7.2016"/>
    <w:docVar w:name="LW_EMISSION_ISODATE" w:val="2016-07-05"/>
    <w:docVar w:name="LW_EMISSION_LOCATION" w:val="STR"/>
    <w:docVar w:name="LW_EMISSION_PREFIX" w:val="Страсбург,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6) 31"/>
    <w:docVar w:name="LW_REF.INTERNE" w:val="&lt;UNUSED&gt;"/>
    <w:docVar w:name="LW_SOUS.TITRE.OBJ.CP" w:val="&lt;UNUSED&gt;"/>
    <w:docVar w:name="LW_SUPERTITRE" w:val="&lt;UNUSED&gt;"/>
    <w:docVar w:name="LW_TITRE.OBJ.CP" w:val="\u1045?\u1083?\u1077?\u1084?\u1077?\u1085?\u1090?\u1080? \u1079?\u1072? \u1089?\u1090?\u1088?\u1072?\u1090?\u1077?\u1075?\u1080?\u1095?\u1077?\u1089?\u1082?\u1072? \u1088?\u1072?\u1084?\u1082?\u1072? \u1085?\u1072? \u1045?\u1057? \u1079?\u1072? \u1087?\u1086?\u1076?\u1082?\u1088?\u1077?\u1087?\u1072? \u1085?\u1072? \u1088?\u1077?\u1092?\u1086?\u1088?\u1084?\u1072?\u1090?\u1072? \u1074? \u1089?\u1077?\u1082?\u1090?\u1086?\u1088?\u1072? \u1085?\u1072? \u1089?\u1080?\u1075?\u1091?\u1088?\u1085?\u1086?\u1089?\u1090?\u1090?\u1072?"/>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1"/>
      </w:numPr>
      <w:spacing w:before="240" w:after="240" w:line="240" w:lineRule="auto"/>
      <w:outlineLvl w:val="0"/>
    </w:pPr>
    <w:rPr>
      <w:rFonts w:ascii="Arial" w:eastAsia="Times New Roman" w:hAnsi="Arial" w:cs="Arial"/>
      <w:b/>
      <w:bCs/>
      <w:kern w:val="32"/>
      <w:sz w:val="28"/>
      <w:szCs w:val="28"/>
    </w:rPr>
  </w:style>
  <w:style w:type="paragraph" w:styleId="Heading2">
    <w:name w:val="heading 2"/>
    <w:basedOn w:val="Normal"/>
    <w:next w:val="Normal"/>
    <w:link w:val="Heading2Char"/>
    <w:uiPriority w:val="9"/>
    <w:qFormat/>
    <w:pPr>
      <w:keepNext/>
      <w:numPr>
        <w:ilvl w:val="1"/>
        <w:numId w:val="11"/>
      </w:numPr>
      <w:spacing w:before="240" w:after="24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qFormat/>
    <w:pPr>
      <w:keepNext/>
      <w:numPr>
        <w:ilvl w:val="2"/>
        <w:numId w:val="11"/>
      </w:numPr>
      <w:spacing w:before="240" w:after="240" w:line="240" w:lineRule="auto"/>
      <w:outlineLvl w:val="2"/>
    </w:pPr>
    <w:rPr>
      <w:rFonts w:ascii="Arial" w:eastAsia="Times New Roman" w:hAnsi="Arial" w:cs="Arial"/>
      <w:b/>
      <w:bCs/>
    </w:rPr>
  </w:style>
  <w:style w:type="paragraph" w:styleId="Heading4">
    <w:name w:val="heading 4"/>
    <w:basedOn w:val="Normal"/>
    <w:next w:val="Normal"/>
    <w:link w:val="Heading4Char"/>
    <w:uiPriority w:val="9"/>
    <w:qFormat/>
    <w:pPr>
      <w:keepNext/>
      <w:numPr>
        <w:ilvl w:val="3"/>
        <w:numId w:val="1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qFormat/>
    <w:pPr>
      <w:numPr>
        <w:ilvl w:val="4"/>
        <w:numId w:val="1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pPr>
      <w:numPr>
        <w:ilvl w:val="5"/>
        <w:numId w:val="11"/>
      </w:numPr>
      <w:spacing w:before="240" w:after="60" w:line="240" w:lineRule="auto"/>
      <w:outlineLvl w:val="5"/>
    </w:pPr>
    <w:rPr>
      <w:rFonts w:eastAsia="Times New Roman"/>
      <w:b/>
      <w:bCs/>
    </w:rPr>
  </w:style>
  <w:style w:type="paragraph" w:styleId="Heading7">
    <w:name w:val="heading 7"/>
    <w:basedOn w:val="Normal"/>
    <w:next w:val="Normal"/>
    <w:link w:val="Heading7Char"/>
    <w:uiPriority w:val="9"/>
    <w:qFormat/>
    <w:pPr>
      <w:numPr>
        <w:ilvl w:val="6"/>
        <w:numId w:val="1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pPr>
      <w:numPr>
        <w:ilvl w:val="7"/>
        <w:numId w:val="11"/>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pPr>
      <w:numPr>
        <w:ilvl w:val="8"/>
        <w:numId w:val="11"/>
      </w:numPr>
      <w:spacing w:before="240" w:after="60" w:line="240" w:lineRule="auto"/>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Arial" w:eastAsia="Times New Roman" w:hAnsi="Arial" w:cs="Arial"/>
      <w:b/>
      <w:bCs/>
      <w:kern w:val="32"/>
      <w:sz w:val="28"/>
      <w:szCs w:val="28"/>
      <w:lang w:val="bg-BG" w:eastAsia="bg-BG"/>
    </w:rPr>
  </w:style>
  <w:style w:type="character" w:customStyle="1" w:styleId="Heading2Char">
    <w:name w:val="Heading 2 Char"/>
    <w:link w:val="Heading2"/>
    <w:uiPriority w:val="9"/>
    <w:rPr>
      <w:rFonts w:ascii="Arial" w:eastAsia="Times New Roman" w:hAnsi="Arial" w:cs="Arial"/>
      <w:b/>
      <w:bCs/>
      <w:i/>
      <w:iCs/>
      <w:sz w:val="24"/>
      <w:szCs w:val="24"/>
      <w:lang w:val="bg-BG" w:eastAsia="bg-BG"/>
    </w:rPr>
  </w:style>
  <w:style w:type="character" w:customStyle="1" w:styleId="Heading3Char">
    <w:name w:val="Heading 3 Char"/>
    <w:link w:val="Heading3"/>
    <w:uiPriority w:val="9"/>
    <w:rPr>
      <w:rFonts w:ascii="Arial" w:eastAsia="Times New Roman" w:hAnsi="Arial" w:cs="Arial"/>
      <w:b/>
      <w:bCs/>
      <w:sz w:val="22"/>
      <w:szCs w:val="22"/>
      <w:lang w:val="bg-BG" w:eastAsia="bg-BG"/>
    </w:rPr>
  </w:style>
  <w:style w:type="character" w:customStyle="1" w:styleId="Heading4Char">
    <w:name w:val="Heading 4 Char"/>
    <w:link w:val="Heading4"/>
    <w:uiPriority w:val="9"/>
    <w:rPr>
      <w:rFonts w:eastAsia="Times New Roman"/>
      <w:b/>
      <w:bCs/>
      <w:sz w:val="28"/>
      <w:szCs w:val="28"/>
      <w:lang w:val="bg-BG" w:eastAsia="bg-BG"/>
    </w:rPr>
  </w:style>
  <w:style w:type="character" w:customStyle="1" w:styleId="Heading5Char">
    <w:name w:val="Heading 5 Char"/>
    <w:link w:val="Heading5"/>
    <w:uiPriority w:val="9"/>
    <w:rPr>
      <w:rFonts w:eastAsia="Times New Roman"/>
      <w:b/>
      <w:bCs/>
      <w:i/>
      <w:iCs/>
      <w:sz w:val="26"/>
      <w:szCs w:val="26"/>
      <w:lang w:val="bg-BG" w:eastAsia="bg-BG"/>
    </w:rPr>
  </w:style>
  <w:style w:type="character" w:customStyle="1" w:styleId="Heading6Char">
    <w:name w:val="Heading 6 Char"/>
    <w:link w:val="Heading6"/>
    <w:uiPriority w:val="9"/>
    <w:rPr>
      <w:rFonts w:eastAsia="Times New Roman"/>
      <w:b/>
      <w:bCs/>
      <w:sz w:val="22"/>
      <w:szCs w:val="22"/>
      <w:lang w:val="bg-BG" w:eastAsia="bg-BG"/>
    </w:rPr>
  </w:style>
  <w:style w:type="character" w:customStyle="1" w:styleId="Heading7Char">
    <w:name w:val="Heading 7 Char"/>
    <w:link w:val="Heading7"/>
    <w:uiPriority w:val="9"/>
    <w:rPr>
      <w:rFonts w:eastAsia="Times New Roman"/>
      <w:sz w:val="24"/>
      <w:szCs w:val="24"/>
      <w:lang w:val="bg-BG" w:eastAsia="bg-BG"/>
    </w:rPr>
  </w:style>
  <w:style w:type="character" w:customStyle="1" w:styleId="Heading8Char">
    <w:name w:val="Heading 8 Char"/>
    <w:link w:val="Heading8"/>
    <w:uiPriority w:val="9"/>
    <w:rPr>
      <w:rFonts w:eastAsia="Times New Roman"/>
      <w:i/>
      <w:iCs/>
      <w:sz w:val="24"/>
      <w:szCs w:val="24"/>
      <w:lang w:val="bg-BG" w:eastAsia="bg-BG"/>
    </w:rPr>
  </w:style>
  <w:style w:type="character" w:customStyle="1" w:styleId="Heading9Char">
    <w:name w:val="Heading 9 Char"/>
    <w:link w:val="Heading9"/>
    <w:uiPriority w:val="9"/>
    <w:rPr>
      <w:rFonts w:ascii="Cambria" w:eastAsia="Times New Roman" w:hAnsi="Cambria"/>
      <w:sz w:val="22"/>
      <w:szCs w:val="22"/>
      <w:lang w:val="bg-BG" w:eastAsia="bg-BG"/>
    </w:rPr>
  </w:style>
  <w:style w:type="numbering" w:customStyle="1" w:styleId="NoList1">
    <w:name w:val="No List1"/>
    <w:next w:val="NoList"/>
    <w:uiPriority w:val="99"/>
    <w:semiHidden/>
    <w:unhideWhenUsed/>
  </w:style>
  <w:style w:type="paragraph" w:customStyle="1" w:styleId="TOCHeading1">
    <w:name w:val="TOC Heading1"/>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2">
    <w:name w:val="TOC Heading2"/>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3">
    <w:name w:val="TOC Heading3"/>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4">
    <w:name w:val="TOC Heading4"/>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8"/>
      <w:szCs w:val="18"/>
    </w:rPr>
  </w:style>
  <w:style w:type="paragraph" w:styleId="TOC1">
    <w:name w:val="toc 1"/>
    <w:basedOn w:val="Normal"/>
    <w:next w:val="Normal"/>
    <w:autoRedefine/>
    <w:uiPriority w:val="39"/>
    <w:pPr>
      <w:tabs>
        <w:tab w:val="left" w:pos="400"/>
        <w:tab w:val="right" w:leader="dot" w:pos="9062"/>
      </w:tabs>
      <w:spacing w:before="240" w:after="120" w:line="240" w:lineRule="auto"/>
    </w:pPr>
    <w:rPr>
      <w:rFonts w:ascii="Times New Roman" w:hAnsi="Times New Roman"/>
      <w:b/>
      <w:bCs/>
      <w:caps/>
      <w:noProof/>
      <w:sz w:val="20"/>
      <w:szCs w:val="20"/>
    </w:rPr>
  </w:style>
  <w:style w:type="paragraph" w:styleId="TOC2">
    <w:name w:val="toc 2"/>
    <w:basedOn w:val="Normal"/>
    <w:next w:val="Normal"/>
    <w:autoRedefine/>
    <w:uiPriority w:val="39"/>
    <w:pPr>
      <w:spacing w:after="0" w:line="240" w:lineRule="auto"/>
      <w:ind w:left="200"/>
    </w:pPr>
    <w:rPr>
      <w:rFonts w:ascii="Times New Roman" w:hAnsi="Times New Roman"/>
      <w:smallCaps/>
      <w:sz w:val="20"/>
      <w:szCs w:val="20"/>
    </w:rPr>
  </w:style>
  <w:style w:type="paragraph" w:styleId="TOC3">
    <w:name w:val="toc 3"/>
    <w:basedOn w:val="Normal"/>
    <w:next w:val="Normal"/>
    <w:autoRedefine/>
    <w:uiPriority w:val="39"/>
    <w:pPr>
      <w:spacing w:after="0" w:line="240" w:lineRule="auto"/>
      <w:ind w:left="400"/>
    </w:pPr>
    <w:rPr>
      <w:rFonts w:ascii="Times New Roman" w:hAnsi="Times New Roman"/>
      <w:i/>
      <w:iCs/>
      <w:sz w:val="20"/>
      <w:szCs w:val="20"/>
    </w:rPr>
  </w:style>
  <w:style w:type="paragraph" w:styleId="TOC4">
    <w:name w:val="toc 4"/>
    <w:basedOn w:val="Normal"/>
    <w:next w:val="Normal"/>
    <w:autoRedefine/>
    <w:semiHidden/>
    <w:pPr>
      <w:spacing w:after="0" w:line="240" w:lineRule="auto"/>
      <w:ind w:left="600"/>
    </w:pPr>
    <w:rPr>
      <w:rFonts w:ascii="Times New Roman" w:hAnsi="Times New Roman"/>
      <w:sz w:val="18"/>
      <w:szCs w:val="18"/>
    </w:rPr>
  </w:style>
  <w:style w:type="paragraph" w:styleId="TOC5">
    <w:name w:val="toc 5"/>
    <w:basedOn w:val="Normal"/>
    <w:next w:val="Normal"/>
    <w:autoRedefine/>
    <w:semiHidden/>
    <w:pPr>
      <w:spacing w:after="0" w:line="240" w:lineRule="auto"/>
      <w:ind w:left="800"/>
    </w:pPr>
    <w:rPr>
      <w:rFonts w:ascii="Times New Roman" w:hAnsi="Times New Roman"/>
      <w:sz w:val="18"/>
      <w:szCs w:val="18"/>
    </w:rPr>
  </w:style>
  <w:style w:type="paragraph" w:styleId="TOC6">
    <w:name w:val="toc 6"/>
    <w:basedOn w:val="Normal"/>
    <w:next w:val="Normal"/>
    <w:autoRedefine/>
    <w:semiHidden/>
    <w:pPr>
      <w:spacing w:after="0" w:line="240" w:lineRule="auto"/>
      <w:ind w:left="1000"/>
    </w:pPr>
    <w:rPr>
      <w:rFonts w:ascii="Times New Roman" w:hAnsi="Times New Roman"/>
      <w:sz w:val="18"/>
      <w:szCs w:val="18"/>
    </w:rPr>
  </w:style>
  <w:style w:type="paragraph" w:styleId="TOC7">
    <w:name w:val="toc 7"/>
    <w:basedOn w:val="Normal"/>
    <w:next w:val="Normal"/>
    <w:autoRedefine/>
    <w:semiHidden/>
    <w:pPr>
      <w:spacing w:after="0" w:line="240" w:lineRule="auto"/>
      <w:ind w:left="1200"/>
    </w:pPr>
    <w:rPr>
      <w:rFonts w:ascii="Times New Roman" w:hAnsi="Times New Roman"/>
      <w:sz w:val="18"/>
      <w:szCs w:val="18"/>
    </w:rPr>
  </w:style>
  <w:style w:type="paragraph" w:styleId="TOC8">
    <w:name w:val="toc 8"/>
    <w:basedOn w:val="Normal"/>
    <w:next w:val="Normal"/>
    <w:autoRedefine/>
    <w:semiHidden/>
    <w:pPr>
      <w:spacing w:after="0" w:line="240" w:lineRule="auto"/>
      <w:ind w:left="1400"/>
    </w:pPr>
    <w:rPr>
      <w:rFonts w:ascii="Times New Roman" w:hAnsi="Times New Roman"/>
      <w:sz w:val="18"/>
      <w:szCs w:val="18"/>
    </w:rPr>
  </w:style>
  <w:style w:type="paragraph" w:styleId="TOC9">
    <w:name w:val="toc 9"/>
    <w:basedOn w:val="Normal"/>
    <w:next w:val="Normal"/>
    <w:autoRedefine/>
    <w:semiHidden/>
    <w:pPr>
      <w:spacing w:after="0" w:line="240" w:lineRule="auto"/>
      <w:ind w:left="1600"/>
    </w:pPr>
    <w:rPr>
      <w:rFonts w:ascii="Times New Roman" w:hAnsi="Times New Roman"/>
      <w:sz w:val="18"/>
      <w:szCs w:val="18"/>
    </w:rPr>
  </w:style>
  <w:style w:type="character" w:styleId="Hyperlink">
    <w:name w:val="Hyperlink"/>
    <w:uiPriority w:val="99"/>
    <w:rPr>
      <w:color w:val="0000FF"/>
      <w:u w:val="single"/>
    </w:rPr>
  </w:style>
  <w:style w:type="paragraph" w:styleId="FootnoteText">
    <w:name w:val="footnote text"/>
    <w:basedOn w:val="Normal"/>
    <w:link w:val="FootnoteTextChar"/>
    <w:uiPriority w:val="99"/>
    <w:unhideWhenUsed/>
    <w:pPr>
      <w:spacing w:after="0" w:line="240" w:lineRule="auto"/>
    </w:pPr>
    <w:rPr>
      <w:rFonts w:ascii="Arial" w:hAnsi="Arial" w:cs="Arial"/>
      <w:sz w:val="20"/>
      <w:szCs w:val="20"/>
    </w:rPr>
  </w:style>
  <w:style w:type="character" w:customStyle="1" w:styleId="FootnoteTextChar">
    <w:name w:val="Footnote Text Char"/>
    <w:link w:val="FootnoteText"/>
    <w:uiPriority w:val="99"/>
    <w:rPr>
      <w:rFonts w:ascii="Arial" w:hAnsi="Arial" w:cs="Arial"/>
      <w:lang w:val="bg-B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paragraph" w:customStyle="1" w:styleId="TOCHeading5">
    <w:name w:val="TOC Heading5"/>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rPr>
  </w:style>
  <w:style w:type="paragraph" w:styleId="CommentText">
    <w:name w:val="annotation text"/>
    <w:basedOn w:val="Normal"/>
    <w:link w:val="CommentTextChar"/>
    <w:uiPriority w:val="99"/>
    <w:unhideWhenUsed/>
    <w:pPr>
      <w:spacing w:after="0" w:line="240" w:lineRule="auto"/>
    </w:pPr>
    <w:rPr>
      <w:rFonts w:ascii="Arial" w:hAnsi="Arial" w:cs="Arial"/>
      <w:sz w:val="24"/>
      <w:szCs w:val="24"/>
    </w:rPr>
  </w:style>
  <w:style w:type="character" w:customStyle="1" w:styleId="CommentTextChar">
    <w:name w:val="Comment Text Char"/>
    <w:link w:val="CommentText"/>
    <w:uiPriority w:val="99"/>
    <w:rPr>
      <w:rFonts w:ascii="Arial" w:hAnsi="Arial" w:cs="Arial"/>
      <w:sz w:val="24"/>
      <w:szCs w:val="24"/>
      <w:lang w:val="bg-BG" w:eastAsia="bg-BG"/>
    </w:rPr>
  </w:style>
  <w:style w:type="character" w:styleId="Strong">
    <w:name w:val="Strong"/>
    <w:uiPriority w:val="22"/>
    <w:qFormat/>
    <w:rPr>
      <w:b/>
      <w:bC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rFonts w:ascii="Arial" w:hAnsi="Arial" w:cs="Arial"/>
      <w:b/>
      <w:bCs/>
      <w:sz w:val="24"/>
      <w:szCs w:val="24"/>
      <w:lang w:val="bg-BG" w:eastAsia="bg-BG"/>
    </w:rPr>
  </w:style>
  <w:style w:type="paragraph" w:customStyle="1" w:styleId="ColorfulShading-Accent11">
    <w:name w:val="Colorful Shading - Accent 11"/>
    <w:hidden/>
    <w:uiPriority w:val="99"/>
    <w:semiHidden/>
    <w:rPr>
      <w:rFonts w:ascii="Arial" w:hAnsi="Arial" w:cs="Arial"/>
    </w:rPr>
  </w:style>
  <w:style w:type="paragraph" w:customStyle="1" w:styleId="MediumGrid21">
    <w:name w:val="Medium Grid 21"/>
    <w:uiPriority w:val="1"/>
    <w:qFormat/>
    <w:rPr>
      <w:rFonts w:ascii="Arial" w:hAnsi="Arial" w:cs="Arial"/>
    </w:rPr>
  </w:style>
  <w:style w:type="character" w:customStyle="1" w:styleId="talk-transcriptparatext">
    <w:name w:val="talk-transcript__para__text"/>
  </w:style>
  <w:style w:type="character" w:customStyle="1" w:styleId="talk-transcriptfragment">
    <w:name w:val="talk-transcript__fragme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cs="Consolas"/>
      <w:sz w:val="22"/>
      <w:szCs w:val="21"/>
      <w:lang w:val="bg-BG" w:eastAsia="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Arial" w:hAnsi="Arial" w:cs="Arial"/>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1"/>
      </w:numPr>
      <w:spacing w:before="240" w:after="240" w:line="240" w:lineRule="auto"/>
      <w:outlineLvl w:val="0"/>
    </w:pPr>
    <w:rPr>
      <w:rFonts w:ascii="Arial" w:eastAsia="Times New Roman" w:hAnsi="Arial" w:cs="Arial"/>
      <w:b/>
      <w:bCs/>
      <w:kern w:val="32"/>
      <w:sz w:val="28"/>
      <w:szCs w:val="28"/>
    </w:rPr>
  </w:style>
  <w:style w:type="paragraph" w:styleId="Heading2">
    <w:name w:val="heading 2"/>
    <w:basedOn w:val="Normal"/>
    <w:next w:val="Normal"/>
    <w:link w:val="Heading2Char"/>
    <w:uiPriority w:val="9"/>
    <w:qFormat/>
    <w:pPr>
      <w:keepNext/>
      <w:numPr>
        <w:ilvl w:val="1"/>
        <w:numId w:val="11"/>
      </w:numPr>
      <w:spacing w:before="240" w:after="24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qFormat/>
    <w:pPr>
      <w:keepNext/>
      <w:numPr>
        <w:ilvl w:val="2"/>
        <w:numId w:val="11"/>
      </w:numPr>
      <w:spacing w:before="240" w:after="240" w:line="240" w:lineRule="auto"/>
      <w:outlineLvl w:val="2"/>
    </w:pPr>
    <w:rPr>
      <w:rFonts w:ascii="Arial" w:eastAsia="Times New Roman" w:hAnsi="Arial" w:cs="Arial"/>
      <w:b/>
      <w:bCs/>
    </w:rPr>
  </w:style>
  <w:style w:type="paragraph" w:styleId="Heading4">
    <w:name w:val="heading 4"/>
    <w:basedOn w:val="Normal"/>
    <w:next w:val="Normal"/>
    <w:link w:val="Heading4Char"/>
    <w:uiPriority w:val="9"/>
    <w:qFormat/>
    <w:pPr>
      <w:keepNext/>
      <w:numPr>
        <w:ilvl w:val="3"/>
        <w:numId w:val="1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qFormat/>
    <w:pPr>
      <w:numPr>
        <w:ilvl w:val="4"/>
        <w:numId w:val="1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pPr>
      <w:numPr>
        <w:ilvl w:val="5"/>
        <w:numId w:val="11"/>
      </w:numPr>
      <w:spacing w:before="240" w:after="60" w:line="240" w:lineRule="auto"/>
      <w:outlineLvl w:val="5"/>
    </w:pPr>
    <w:rPr>
      <w:rFonts w:eastAsia="Times New Roman"/>
      <w:b/>
      <w:bCs/>
    </w:rPr>
  </w:style>
  <w:style w:type="paragraph" w:styleId="Heading7">
    <w:name w:val="heading 7"/>
    <w:basedOn w:val="Normal"/>
    <w:next w:val="Normal"/>
    <w:link w:val="Heading7Char"/>
    <w:uiPriority w:val="9"/>
    <w:qFormat/>
    <w:pPr>
      <w:numPr>
        <w:ilvl w:val="6"/>
        <w:numId w:val="11"/>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pPr>
      <w:numPr>
        <w:ilvl w:val="7"/>
        <w:numId w:val="11"/>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pPr>
      <w:numPr>
        <w:ilvl w:val="8"/>
        <w:numId w:val="11"/>
      </w:numPr>
      <w:spacing w:before="240" w:after="60" w:line="240" w:lineRule="auto"/>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Arial" w:eastAsia="Times New Roman" w:hAnsi="Arial" w:cs="Arial"/>
      <w:b/>
      <w:bCs/>
      <w:kern w:val="32"/>
      <w:sz w:val="28"/>
      <w:szCs w:val="28"/>
      <w:lang w:val="bg-BG" w:eastAsia="bg-BG"/>
    </w:rPr>
  </w:style>
  <w:style w:type="character" w:customStyle="1" w:styleId="Heading2Char">
    <w:name w:val="Heading 2 Char"/>
    <w:link w:val="Heading2"/>
    <w:uiPriority w:val="9"/>
    <w:rPr>
      <w:rFonts w:ascii="Arial" w:eastAsia="Times New Roman" w:hAnsi="Arial" w:cs="Arial"/>
      <w:b/>
      <w:bCs/>
      <w:i/>
      <w:iCs/>
      <w:sz w:val="24"/>
      <w:szCs w:val="24"/>
      <w:lang w:val="bg-BG" w:eastAsia="bg-BG"/>
    </w:rPr>
  </w:style>
  <w:style w:type="character" w:customStyle="1" w:styleId="Heading3Char">
    <w:name w:val="Heading 3 Char"/>
    <w:link w:val="Heading3"/>
    <w:uiPriority w:val="9"/>
    <w:rPr>
      <w:rFonts w:ascii="Arial" w:eastAsia="Times New Roman" w:hAnsi="Arial" w:cs="Arial"/>
      <w:b/>
      <w:bCs/>
      <w:sz w:val="22"/>
      <w:szCs w:val="22"/>
      <w:lang w:val="bg-BG" w:eastAsia="bg-BG"/>
    </w:rPr>
  </w:style>
  <w:style w:type="character" w:customStyle="1" w:styleId="Heading4Char">
    <w:name w:val="Heading 4 Char"/>
    <w:link w:val="Heading4"/>
    <w:uiPriority w:val="9"/>
    <w:rPr>
      <w:rFonts w:eastAsia="Times New Roman"/>
      <w:b/>
      <w:bCs/>
      <w:sz w:val="28"/>
      <w:szCs w:val="28"/>
      <w:lang w:val="bg-BG" w:eastAsia="bg-BG"/>
    </w:rPr>
  </w:style>
  <w:style w:type="character" w:customStyle="1" w:styleId="Heading5Char">
    <w:name w:val="Heading 5 Char"/>
    <w:link w:val="Heading5"/>
    <w:uiPriority w:val="9"/>
    <w:rPr>
      <w:rFonts w:eastAsia="Times New Roman"/>
      <w:b/>
      <w:bCs/>
      <w:i/>
      <w:iCs/>
      <w:sz w:val="26"/>
      <w:szCs w:val="26"/>
      <w:lang w:val="bg-BG" w:eastAsia="bg-BG"/>
    </w:rPr>
  </w:style>
  <w:style w:type="character" w:customStyle="1" w:styleId="Heading6Char">
    <w:name w:val="Heading 6 Char"/>
    <w:link w:val="Heading6"/>
    <w:uiPriority w:val="9"/>
    <w:rPr>
      <w:rFonts w:eastAsia="Times New Roman"/>
      <w:b/>
      <w:bCs/>
      <w:sz w:val="22"/>
      <w:szCs w:val="22"/>
      <w:lang w:val="bg-BG" w:eastAsia="bg-BG"/>
    </w:rPr>
  </w:style>
  <w:style w:type="character" w:customStyle="1" w:styleId="Heading7Char">
    <w:name w:val="Heading 7 Char"/>
    <w:link w:val="Heading7"/>
    <w:uiPriority w:val="9"/>
    <w:rPr>
      <w:rFonts w:eastAsia="Times New Roman"/>
      <w:sz w:val="24"/>
      <w:szCs w:val="24"/>
      <w:lang w:val="bg-BG" w:eastAsia="bg-BG"/>
    </w:rPr>
  </w:style>
  <w:style w:type="character" w:customStyle="1" w:styleId="Heading8Char">
    <w:name w:val="Heading 8 Char"/>
    <w:link w:val="Heading8"/>
    <w:uiPriority w:val="9"/>
    <w:rPr>
      <w:rFonts w:eastAsia="Times New Roman"/>
      <w:i/>
      <w:iCs/>
      <w:sz w:val="24"/>
      <w:szCs w:val="24"/>
      <w:lang w:val="bg-BG" w:eastAsia="bg-BG"/>
    </w:rPr>
  </w:style>
  <w:style w:type="character" w:customStyle="1" w:styleId="Heading9Char">
    <w:name w:val="Heading 9 Char"/>
    <w:link w:val="Heading9"/>
    <w:uiPriority w:val="9"/>
    <w:rPr>
      <w:rFonts w:ascii="Cambria" w:eastAsia="Times New Roman" w:hAnsi="Cambria"/>
      <w:sz w:val="22"/>
      <w:szCs w:val="22"/>
      <w:lang w:val="bg-BG" w:eastAsia="bg-BG"/>
    </w:rPr>
  </w:style>
  <w:style w:type="numbering" w:customStyle="1" w:styleId="NoList1">
    <w:name w:val="No List1"/>
    <w:next w:val="NoList"/>
    <w:uiPriority w:val="99"/>
    <w:semiHidden/>
    <w:unhideWhenUsed/>
  </w:style>
  <w:style w:type="paragraph" w:customStyle="1" w:styleId="TOCHeading1">
    <w:name w:val="TOC Heading1"/>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2">
    <w:name w:val="TOC Heading2"/>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3">
    <w:name w:val="TOC Heading3"/>
    <w:basedOn w:val="Heading1"/>
    <w:next w:val="Normal"/>
    <w:uiPriority w:val="39"/>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TOCHeading4">
    <w:name w:val="TOC Heading4"/>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Pr>
      <w:sz w:val="18"/>
      <w:szCs w:val="18"/>
    </w:rPr>
  </w:style>
  <w:style w:type="paragraph" w:styleId="TOC1">
    <w:name w:val="toc 1"/>
    <w:basedOn w:val="Normal"/>
    <w:next w:val="Normal"/>
    <w:autoRedefine/>
    <w:uiPriority w:val="39"/>
    <w:pPr>
      <w:tabs>
        <w:tab w:val="left" w:pos="400"/>
        <w:tab w:val="right" w:leader="dot" w:pos="9062"/>
      </w:tabs>
      <w:spacing w:before="240" w:after="120" w:line="240" w:lineRule="auto"/>
    </w:pPr>
    <w:rPr>
      <w:rFonts w:ascii="Times New Roman" w:hAnsi="Times New Roman"/>
      <w:b/>
      <w:bCs/>
      <w:caps/>
      <w:noProof/>
      <w:sz w:val="20"/>
      <w:szCs w:val="20"/>
    </w:rPr>
  </w:style>
  <w:style w:type="paragraph" w:styleId="TOC2">
    <w:name w:val="toc 2"/>
    <w:basedOn w:val="Normal"/>
    <w:next w:val="Normal"/>
    <w:autoRedefine/>
    <w:uiPriority w:val="39"/>
    <w:pPr>
      <w:spacing w:after="0" w:line="240" w:lineRule="auto"/>
      <w:ind w:left="200"/>
    </w:pPr>
    <w:rPr>
      <w:rFonts w:ascii="Times New Roman" w:hAnsi="Times New Roman"/>
      <w:smallCaps/>
      <w:sz w:val="20"/>
      <w:szCs w:val="20"/>
    </w:rPr>
  </w:style>
  <w:style w:type="paragraph" w:styleId="TOC3">
    <w:name w:val="toc 3"/>
    <w:basedOn w:val="Normal"/>
    <w:next w:val="Normal"/>
    <w:autoRedefine/>
    <w:uiPriority w:val="39"/>
    <w:pPr>
      <w:spacing w:after="0" w:line="240" w:lineRule="auto"/>
      <w:ind w:left="400"/>
    </w:pPr>
    <w:rPr>
      <w:rFonts w:ascii="Times New Roman" w:hAnsi="Times New Roman"/>
      <w:i/>
      <w:iCs/>
      <w:sz w:val="20"/>
      <w:szCs w:val="20"/>
    </w:rPr>
  </w:style>
  <w:style w:type="paragraph" w:styleId="TOC4">
    <w:name w:val="toc 4"/>
    <w:basedOn w:val="Normal"/>
    <w:next w:val="Normal"/>
    <w:autoRedefine/>
    <w:semiHidden/>
    <w:pPr>
      <w:spacing w:after="0" w:line="240" w:lineRule="auto"/>
      <w:ind w:left="600"/>
    </w:pPr>
    <w:rPr>
      <w:rFonts w:ascii="Times New Roman" w:hAnsi="Times New Roman"/>
      <w:sz w:val="18"/>
      <w:szCs w:val="18"/>
    </w:rPr>
  </w:style>
  <w:style w:type="paragraph" w:styleId="TOC5">
    <w:name w:val="toc 5"/>
    <w:basedOn w:val="Normal"/>
    <w:next w:val="Normal"/>
    <w:autoRedefine/>
    <w:semiHidden/>
    <w:pPr>
      <w:spacing w:after="0" w:line="240" w:lineRule="auto"/>
      <w:ind w:left="800"/>
    </w:pPr>
    <w:rPr>
      <w:rFonts w:ascii="Times New Roman" w:hAnsi="Times New Roman"/>
      <w:sz w:val="18"/>
      <w:szCs w:val="18"/>
    </w:rPr>
  </w:style>
  <w:style w:type="paragraph" w:styleId="TOC6">
    <w:name w:val="toc 6"/>
    <w:basedOn w:val="Normal"/>
    <w:next w:val="Normal"/>
    <w:autoRedefine/>
    <w:semiHidden/>
    <w:pPr>
      <w:spacing w:after="0" w:line="240" w:lineRule="auto"/>
      <w:ind w:left="1000"/>
    </w:pPr>
    <w:rPr>
      <w:rFonts w:ascii="Times New Roman" w:hAnsi="Times New Roman"/>
      <w:sz w:val="18"/>
      <w:szCs w:val="18"/>
    </w:rPr>
  </w:style>
  <w:style w:type="paragraph" w:styleId="TOC7">
    <w:name w:val="toc 7"/>
    <w:basedOn w:val="Normal"/>
    <w:next w:val="Normal"/>
    <w:autoRedefine/>
    <w:semiHidden/>
    <w:pPr>
      <w:spacing w:after="0" w:line="240" w:lineRule="auto"/>
      <w:ind w:left="1200"/>
    </w:pPr>
    <w:rPr>
      <w:rFonts w:ascii="Times New Roman" w:hAnsi="Times New Roman"/>
      <w:sz w:val="18"/>
      <w:szCs w:val="18"/>
    </w:rPr>
  </w:style>
  <w:style w:type="paragraph" w:styleId="TOC8">
    <w:name w:val="toc 8"/>
    <w:basedOn w:val="Normal"/>
    <w:next w:val="Normal"/>
    <w:autoRedefine/>
    <w:semiHidden/>
    <w:pPr>
      <w:spacing w:after="0" w:line="240" w:lineRule="auto"/>
      <w:ind w:left="1400"/>
    </w:pPr>
    <w:rPr>
      <w:rFonts w:ascii="Times New Roman" w:hAnsi="Times New Roman"/>
      <w:sz w:val="18"/>
      <w:szCs w:val="18"/>
    </w:rPr>
  </w:style>
  <w:style w:type="paragraph" w:styleId="TOC9">
    <w:name w:val="toc 9"/>
    <w:basedOn w:val="Normal"/>
    <w:next w:val="Normal"/>
    <w:autoRedefine/>
    <w:semiHidden/>
    <w:pPr>
      <w:spacing w:after="0" w:line="240" w:lineRule="auto"/>
      <w:ind w:left="1600"/>
    </w:pPr>
    <w:rPr>
      <w:rFonts w:ascii="Times New Roman" w:hAnsi="Times New Roman"/>
      <w:sz w:val="18"/>
      <w:szCs w:val="18"/>
    </w:rPr>
  </w:style>
  <w:style w:type="character" w:styleId="Hyperlink">
    <w:name w:val="Hyperlink"/>
    <w:uiPriority w:val="99"/>
    <w:rPr>
      <w:color w:val="0000FF"/>
      <w:u w:val="single"/>
    </w:rPr>
  </w:style>
  <w:style w:type="paragraph" w:styleId="FootnoteText">
    <w:name w:val="footnote text"/>
    <w:basedOn w:val="Normal"/>
    <w:link w:val="FootnoteTextChar"/>
    <w:uiPriority w:val="99"/>
    <w:unhideWhenUsed/>
    <w:pPr>
      <w:spacing w:after="0" w:line="240" w:lineRule="auto"/>
    </w:pPr>
    <w:rPr>
      <w:rFonts w:ascii="Arial" w:hAnsi="Arial" w:cs="Arial"/>
      <w:sz w:val="20"/>
      <w:szCs w:val="20"/>
    </w:rPr>
  </w:style>
  <w:style w:type="character" w:customStyle="1" w:styleId="FootnoteTextChar">
    <w:name w:val="Footnote Text Char"/>
    <w:link w:val="FootnoteText"/>
    <w:uiPriority w:val="99"/>
    <w:rPr>
      <w:rFonts w:ascii="Arial" w:hAnsi="Arial" w:cs="Arial"/>
      <w:lang w:val="bg-BG" w:eastAsia="bg-BG"/>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paragraph" w:customStyle="1" w:styleId="TOCHeading5">
    <w:name w:val="TOC Heading5"/>
    <w:basedOn w:val="Heading1"/>
    <w:next w:val="Normal"/>
    <w:uiPriority w:val="39"/>
    <w:qFormat/>
    <w:pPr>
      <w:keepLines/>
      <w:numPr>
        <w:numId w:val="0"/>
      </w:numPr>
      <w:spacing w:before="480" w:after="0" w:line="276" w:lineRule="auto"/>
      <w:outlineLvl w:val="9"/>
    </w:pPr>
    <w:rPr>
      <w:rFonts w:ascii="Cambria" w:eastAsia="MS Gothic" w:hAnsi="Cambria" w:cs="Times New Roman"/>
      <w:color w:val="365F91"/>
      <w:kern w:val="0"/>
    </w:rPr>
  </w:style>
  <w:style w:type="paragraph" w:styleId="CommentText">
    <w:name w:val="annotation text"/>
    <w:basedOn w:val="Normal"/>
    <w:link w:val="CommentTextChar"/>
    <w:uiPriority w:val="99"/>
    <w:unhideWhenUsed/>
    <w:pPr>
      <w:spacing w:after="0" w:line="240" w:lineRule="auto"/>
    </w:pPr>
    <w:rPr>
      <w:rFonts w:ascii="Arial" w:hAnsi="Arial" w:cs="Arial"/>
      <w:sz w:val="24"/>
      <w:szCs w:val="24"/>
    </w:rPr>
  </w:style>
  <w:style w:type="character" w:customStyle="1" w:styleId="CommentTextChar">
    <w:name w:val="Comment Text Char"/>
    <w:link w:val="CommentText"/>
    <w:uiPriority w:val="99"/>
    <w:rPr>
      <w:rFonts w:ascii="Arial" w:hAnsi="Arial" w:cs="Arial"/>
      <w:sz w:val="24"/>
      <w:szCs w:val="24"/>
      <w:lang w:val="bg-BG" w:eastAsia="bg-BG"/>
    </w:rPr>
  </w:style>
  <w:style w:type="character" w:styleId="Strong">
    <w:name w:val="Strong"/>
    <w:uiPriority w:val="22"/>
    <w:qFormat/>
    <w:rPr>
      <w:b/>
      <w:bC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rFonts w:ascii="Arial" w:hAnsi="Arial" w:cs="Arial"/>
      <w:b/>
      <w:bCs/>
      <w:sz w:val="24"/>
      <w:szCs w:val="24"/>
      <w:lang w:val="bg-BG" w:eastAsia="bg-BG"/>
    </w:rPr>
  </w:style>
  <w:style w:type="paragraph" w:customStyle="1" w:styleId="ColorfulShading-Accent11">
    <w:name w:val="Colorful Shading - Accent 11"/>
    <w:hidden/>
    <w:uiPriority w:val="99"/>
    <w:semiHidden/>
    <w:rPr>
      <w:rFonts w:ascii="Arial" w:hAnsi="Arial" w:cs="Arial"/>
    </w:rPr>
  </w:style>
  <w:style w:type="paragraph" w:customStyle="1" w:styleId="MediumGrid21">
    <w:name w:val="Medium Grid 21"/>
    <w:uiPriority w:val="1"/>
    <w:qFormat/>
    <w:rPr>
      <w:rFonts w:ascii="Arial" w:hAnsi="Arial" w:cs="Arial"/>
    </w:rPr>
  </w:style>
  <w:style w:type="character" w:customStyle="1" w:styleId="talk-transcriptparatext">
    <w:name w:val="talk-transcript__para__text"/>
  </w:style>
  <w:style w:type="character" w:customStyle="1" w:styleId="talk-transcriptfragment">
    <w:name w:val="talk-transcript__fragme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cs="Consolas"/>
      <w:sz w:val="22"/>
      <w:szCs w:val="21"/>
      <w:lang w:val="bg-BG" w:eastAsia="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Arial" w:hAnsi="Arial" w:cs="Arial"/>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6323-4892-40A7-80A2-E0835809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6852</Words>
  <Characters>40360</Characters>
  <Application>Microsoft Office Word</Application>
  <DocSecurity>0</DocSecurity>
  <Lines>708</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47021</CharactersWithSpaces>
  <SharedDoc>false</SharedDoc>
  <HLinks>
    <vt:vector size="42" baseType="variant">
      <vt:variant>
        <vt:i4>1114175</vt:i4>
      </vt:variant>
      <vt:variant>
        <vt:i4>26</vt:i4>
      </vt:variant>
      <vt:variant>
        <vt:i4>0</vt:i4>
      </vt:variant>
      <vt:variant>
        <vt:i4>5</vt:i4>
      </vt:variant>
      <vt:variant>
        <vt:lpwstr/>
      </vt:variant>
      <vt:variant>
        <vt:lpwstr>_Toc451796327</vt:lpwstr>
      </vt:variant>
      <vt:variant>
        <vt:i4>1114175</vt:i4>
      </vt:variant>
      <vt:variant>
        <vt:i4>20</vt:i4>
      </vt:variant>
      <vt:variant>
        <vt:i4>0</vt:i4>
      </vt:variant>
      <vt:variant>
        <vt:i4>5</vt:i4>
      </vt:variant>
      <vt:variant>
        <vt:lpwstr/>
      </vt:variant>
      <vt:variant>
        <vt:lpwstr>_Toc451796326</vt:lpwstr>
      </vt:variant>
      <vt:variant>
        <vt:i4>1114175</vt:i4>
      </vt:variant>
      <vt:variant>
        <vt:i4>14</vt:i4>
      </vt:variant>
      <vt:variant>
        <vt:i4>0</vt:i4>
      </vt:variant>
      <vt:variant>
        <vt:i4>5</vt:i4>
      </vt:variant>
      <vt:variant>
        <vt:lpwstr/>
      </vt:variant>
      <vt:variant>
        <vt:lpwstr>_Toc451796325</vt:lpwstr>
      </vt:variant>
      <vt:variant>
        <vt:i4>1114175</vt:i4>
      </vt:variant>
      <vt:variant>
        <vt:i4>8</vt:i4>
      </vt:variant>
      <vt:variant>
        <vt:i4>0</vt:i4>
      </vt:variant>
      <vt:variant>
        <vt:i4>5</vt:i4>
      </vt:variant>
      <vt:variant>
        <vt:lpwstr/>
      </vt:variant>
      <vt:variant>
        <vt:lpwstr>_Toc451796324</vt:lpwstr>
      </vt:variant>
      <vt:variant>
        <vt:i4>1114175</vt:i4>
      </vt:variant>
      <vt:variant>
        <vt:i4>2</vt:i4>
      </vt:variant>
      <vt:variant>
        <vt:i4>0</vt:i4>
      </vt:variant>
      <vt:variant>
        <vt:i4>5</vt:i4>
      </vt:variant>
      <vt:variant>
        <vt:lpwstr/>
      </vt:variant>
      <vt:variant>
        <vt:lpwstr>_Toc451796323</vt:lpwstr>
      </vt:variant>
      <vt:variant>
        <vt:i4>3866724</vt:i4>
      </vt:variant>
      <vt:variant>
        <vt:i4>3</vt:i4>
      </vt:variant>
      <vt:variant>
        <vt:i4>0</vt:i4>
      </vt:variant>
      <vt:variant>
        <vt:i4>5</vt:i4>
      </vt:variant>
      <vt:variant>
        <vt:lpwstr>http://www.oecd.org/dac/effectiveness/34428351.pdf</vt:lpwstr>
      </vt:variant>
      <vt:variant>
        <vt:lpwstr/>
      </vt:variant>
      <vt:variant>
        <vt:i4>2490464</vt:i4>
      </vt:variant>
      <vt:variant>
        <vt:i4>0</vt:i4>
      </vt:variant>
      <vt:variant>
        <vt:i4>0</vt:i4>
      </vt:variant>
      <vt:variant>
        <vt:i4>5</vt:i4>
      </vt:variant>
      <vt:variant>
        <vt:lpwstr>http://www.oecd.org/dac/DAC-HLM-Communique-2016.pdf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2016-06-29T16:03:00Z</cp:lastPrinted>
  <dcterms:created xsi:type="dcterms:W3CDTF">2016-07-01T10:21:00Z</dcterms:created>
  <dcterms:modified xsi:type="dcterms:W3CDTF">2016-07-11T08:41:00Z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