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B4B9C2885AC4DEAA8D77EA397756A85"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spacing w:before="100" w:beforeAutospacing="1" w:after="100" w:afterAutospacing="1" w:line="276" w:lineRule="auto"/>
        <w:contextualSpacing/>
        <w:rPr>
          <w:rFonts w:eastAsia="Calibri"/>
          <w:bCs/>
          <w:noProof/>
        </w:rPr>
      </w:pPr>
      <w:r>
        <w:rPr>
          <w:noProof/>
        </w:rPr>
        <w:t>На 16 октомври 2015 г. Съветът на министрите на Енергийната общност прие решение относно прилагането на Регламент (ЕС) № 347/2013 на Европейския парламент и на Съвета относно указания за трансевропейската енергийна инфраструктура</w:t>
      </w:r>
      <w:r>
        <w:rPr>
          <w:rStyle w:val="FootnoteReference"/>
          <w:noProof/>
        </w:rPr>
        <w:footnoteReference w:id="1"/>
      </w:r>
      <w:r>
        <w:rPr>
          <w:noProof/>
        </w:rPr>
        <w:t>. Целта на тази мярка бе да се създаде правна рамка за подреждане по важност на ключовите енергийни инфраструктурни проекти между договарящи се страни и между договарящи страни и държави — членки на ЕС.</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noProof/>
        </w:rPr>
        <w:t>Регламент (ЕС) № 347/2013, възприет в Енергийната общност, установява всеобхватна рамка за рационализиране на процедурите по издаване на разрешения, регулиране и разпределяне на разходите в договарящите се страни. Съгласно него се изисква също така, при спазване на няколко критерии, с решение на Съвета на министрите да се изготви съгласно дял III от Договора за създаване на Енергийна общност списък с приоритетни инфраструктурни проекти, наречен „Проекти от интерес за Енергийната общност (ПИЕО)“. Крайният срок за транспонирането на основните разпоредби на регламента и крайният срок за изготвяне на списъка ПИЕО е 31 декември 2016 г.</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noProof/>
        </w:rPr>
        <w:t>Проектите в списъка в приложение 2 бяха представени от организаторите на проекти и подложени на публична консултация от Секретариата</w:t>
      </w:r>
      <w:r>
        <w:rPr>
          <w:rStyle w:val="FootnoteReference"/>
          <w:noProof/>
        </w:rPr>
        <w:footnoteReference w:id="2"/>
      </w:r>
      <w:r>
        <w:rPr>
          <w:noProof/>
        </w:rPr>
        <w:t xml:space="preserve"> на Енергийната общност.  Списъкът е в процес на разглеждане от институциите на Енергийната общност, както е предвидено в регламента. Комисията редовно информира Съвета как протича този процес. Комисията ще предложи окончателната позиция на Европейския съюз относно решението на Съвета на министрите, с което се приема списъкът с проекти от интерес за Енергийната общност в хода на подготовката за срещата на Съвета на министрите в Сараево на 14 октомври 2016 година.</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noProof/>
        </w:rPr>
        <w:t xml:space="preserve">Регламент (ЕС) № 347/2013 позволява разпоредбите на регламента да се прилагат за проекти от взаимен интерес (ПВИ). Това са проекти, които ползват две съседни държави (договаряща се страна, от една страна, и държава членка, от друга), но нямат правен статут на проект от интерес за Енергийната общност. Същевременно тези проекти са подкрепяни от съответните договарящи се страни и държави членки. По отношение на подобни проекти и в допълнение към предложението за правно обвързващо решение относно ПИЕО, Комисията предлага ЕС да излезе с предложение Съветът на министрите на Енергийната общност да издаде препоръка, която да подейства като политически тласък, и да предприеме всички необходими законодателни мерки за постигане на напредък при осъществяването на ПВИ. </w:t>
      </w:r>
    </w:p>
    <w:p>
      <w:pPr>
        <w:pStyle w:val="ManualHeading1"/>
        <w:rPr>
          <w:noProof/>
        </w:rPr>
      </w:pPr>
      <w:r>
        <w:rPr>
          <w:noProof/>
        </w:rPr>
        <w:t>2.</w:t>
      </w:r>
      <w:r>
        <w:rPr>
          <w:noProof/>
        </w:rPr>
        <w:tab/>
        <w:t>ПРАВНО ОСНОВАНИЕ, СУБСИДИАРНОСТ И ПРОПОРЦИОНАЛНОСТ</w:t>
      </w:r>
    </w:p>
    <w:p>
      <w:pPr>
        <w:spacing w:before="100" w:beforeAutospacing="1" w:after="100" w:afterAutospacing="1" w:line="276" w:lineRule="auto"/>
        <w:contextualSpacing/>
        <w:rPr>
          <w:rFonts w:eastAsia="Calibri"/>
          <w:bCs/>
          <w:noProof/>
        </w:rPr>
      </w:pPr>
      <w:r>
        <w:rPr>
          <w:noProof/>
        </w:rPr>
        <w:t>Съгласно член 7, параграф 5, буква а) от Решение на Съвета на министрите относно изпълнението на Регламент (ЕС) № 347/2013</w:t>
      </w:r>
      <w:r>
        <w:rPr>
          <w:rStyle w:val="FootnoteReference"/>
          <w:noProof/>
        </w:rPr>
        <w:footnoteReference w:id="3"/>
      </w:r>
      <w:r>
        <w:rPr>
          <w:noProof/>
        </w:rPr>
        <w:t xml:space="preserve"> Съветът на министрите съставя списъка с проекти от интерес за Енергийната общност чрез решение съгласно дял III от Договора за създаване на Енергийна общност. </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noProof/>
        </w:rPr>
        <w:t>Съгласно член 82 от Договора за създаване на Енергийна общност Съветът на министрите взема мерки съгласно дял III по предложение на някоя от страните или на секретариата. Комисията предлага да представи от името на Европейския съюз предложение до Съвета на министрите на Енергийната общност.</w:t>
      </w:r>
    </w:p>
    <w:p>
      <w:pPr>
        <w:spacing w:before="100" w:beforeAutospacing="1" w:after="100" w:afterAutospacing="1" w:line="276" w:lineRule="auto"/>
        <w:contextualSpacing/>
        <w:rPr>
          <w:rFonts w:eastAsia="Times New Roman"/>
          <w:noProof/>
          <w:szCs w:val="24"/>
        </w:rPr>
      </w:pPr>
    </w:p>
    <w:p>
      <w:pPr>
        <w:spacing w:before="100" w:beforeAutospacing="1" w:after="100" w:afterAutospacing="1" w:line="276" w:lineRule="auto"/>
        <w:contextualSpacing/>
        <w:rPr>
          <w:rFonts w:eastAsia="Calibri"/>
          <w:bCs/>
          <w:noProof/>
        </w:rPr>
      </w:pPr>
      <w:r>
        <w:rPr>
          <w:noProof/>
        </w:rPr>
        <w:t xml:space="preserve">Необходимо е позицията на Европейския съюз по отношение на решението на Съвета на министрите да бъде установена съгласно член 218, параграф 9 от Договора за функционирането на Европейския съюз и в съответствие с разпоредбите на Решение 2006/500/ЕО на Съвета от 29 май 2006 г. за сключване от страна на Европейската общност на Договора за създаване на Енергийна общност. </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noProof/>
        </w:rPr>
        <w:t xml:space="preserve">В съответствие с член 76 от Договора за създаване на Енергийна общност препоръката на Съвета на министрите няма правно обвързващ характер и следователно попада извън обхвата на член 218, параграф 9 от ДФЕС. Текстът на препоръката е приложен към настоящото решение за информация.  </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noProof/>
        </w:rPr>
        <w:t>Съгласно процедурния акт относно работата на Съвета на министрите</w:t>
      </w:r>
      <w:r>
        <w:rPr>
          <w:rStyle w:val="FootnoteReference"/>
          <w:noProof/>
        </w:rPr>
        <w:footnoteReference w:id="4"/>
      </w:r>
      <w:r>
        <w:rPr>
          <w:noProof/>
        </w:rPr>
        <w:t xml:space="preserve"> документи се представят два месеца преди срещата на Съвета на министрите, т.е. до 13 август 2016 г. </w:t>
      </w:r>
    </w:p>
    <w:p>
      <w:pPr>
        <w:pStyle w:val="ManualHeading1"/>
        <w:rPr>
          <w:noProof/>
        </w:rPr>
      </w:pPr>
      <w:r>
        <w:rPr>
          <w:noProof/>
        </w:rPr>
        <w:t>3.</w:t>
      </w:r>
      <w:r>
        <w:rPr>
          <w:noProof/>
        </w:rPr>
        <w:tab/>
        <w:t>КОНСУЛТАЦИИ СЪС ЗАИНТЕРЕСОВАНИТЕ СТРАНИ</w:t>
      </w:r>
    </w:p>
    <w:p>
      <w:pPr>
        <w:spacing w:before="100" w:beforeAutospacing="1" w:after="100" w:afterAutospacing="1" w:line="276" w:lineRule="auto"/>
        <w:contextualSpacing/>
        <w:rPr>
          <w:rFonts w:eastAsia="Times New Roman"/>
          <w:noProof/>
          <w:szCs w:val="24"/>
        </w:rPr>
      </w:pPr>
      <w:r>
        <w:rPr>
          <w:noProof/>
        </w:rPr>
        <w:t xml:space="preserve">В съответствие с разпоредбите на приетия регламент бяха създадени две работни групи, които да подготвят списъка на ПИЕО. Проектите, представени от организаторите на проекти бяха обсъдени в рамките на публична консултация, организирана от секретариата на Енергийната общност на 2 май 2016 г. В хода на 2016 г. проектите бяха оценени по отношение на тяхната допустимост за статут на ПИЕО и ПВИ. Бе направен анализ на разходите и ползите за всеки проект, завършил с класирането на проектите според конкретни резултати според степента на изпълнение на критериите. При завършването на процеса, предвиден за края на септември 2016 г., групите ще представят с единодушие проект на предварителен списък на ПИЕО на органа, приемащ решенията, който е Постоянната група на високо равнище (ПГВР) на Енергийната общност. След положително становище от Регулаторния съвет на Енергийната общност, окончателният предварителен списък на ПИЕО ще бъде представен за одобрение на органа, приемащ решенията, на заседанието на 13 октомври 2016 г. Окончателният списък на Енергийната общност ще бъде представен на Съвета на министрите за решение на 14 октомври 2016 г. </w:t>
      </w:r>
    </w:p>
    <w:p>
      <w:pPr>
        <w:pStyle w:val="ManualHeading1"/>
        <w:rPr>
          <w:noProof/>
        </w:rPr>
      </w:pPr>
      <w:r>
        <w:rPr>
          <w:noProof/>
        </w:rPr>
        <w:t>4.</w:t>
      </w:r>
      <w:r>
        <w:rPr>
          <w:noProof/>
        </w:rPr>
        <w:tab/>
        <w:t>ОТРАЖЕНИЕ ВЪРХУ БЮДЖЕТА</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Не е приложимо.</w:t>
      </w:r>
    </w:p>
    <w:p>
      <w:pPr>
        <w:pStyle w:val="Rfrenceinterinstitutionnelle"/>
        <w:rPr>
          <w:noProof/>
        </w:rPr>
      </w:pPr>
      <w:r>
        <w:rPr>
          <w:noProof/>
        </w:rPr>
        <w:t>2016/0213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предложение за изготвяне на списък на Енергийната общност с енергийни инфраструктурни проекти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194 и член 218, параграф 9 от него,</w:t>
      </w:r>
    </w:p>
    <w:p>
      <w:pPr>
        <w:rPr>
          <w:noProof/>
        </w:rPr>
      </w:pPr>
      <w:r>
        <w:rPr>
          <w:noProof/>
        </w:rPr>
        <w:t>като взе предвид Решение 2006/500/ЕО на Съвета от 29 май 2006 година за сключване от страна на Европейската общност на Договора за създаване на Енергийна общност</w:t>
      </w:r>
      <w:r>
        <w:rPr>
          <w:rStyle w:val="FootnoteReference"/>
          <w:noProof/>
        </w:rPr>
        <w:footnoteReference w:id="5"/>
      </w:r>
      <w:r>
        <w:rPr>
          <w:noProof/>
        </w:rPr>
        <w:t>, и по-специално членове 4 и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на Съвета на министрите на Енергийната общност</w:t>
      </w:r>
      <w:r>
        <w:rPr>
          <w:rStyle w:val="FootnoteReference"/>
          <w:noProof/>
        </w:rPr>
        <w:footnoteReference w:id="6"/>
      </w:r>
      <w:r>
        <w:rPr>
          <w:noProof/>
        </w:rPr>
        <w:t xml:space="preserve"> относно прилагането на Регламент (ЕС) № 347/2013 на Европейския парламент и на Съвета относно указания за трансевропейската енергийна инфраструктура се създава процедура за изготвяне на списък с проекти от интерес за Енергийната общност и се дава възможност разпоредбите на регламента да се прилагат и към проекти от взаимен интерес на доброволна основа.</w:t>
      </w:r>
    </w:p>
    <w:p>
      <w:pPr>
        <w:pStyle w:val="ManualConsidrant"/>
        <w:rPr>
          <w:noProof/>
        </w:rPr>
      </w:pPr>
      <w:r>
        <w:t>(2)</w:t>
      </w:r>
      <w:r>
        <w:tab/>
      </w:r>
      <w:r>
        <w:rPr>
          <w:noProof/>
        </w:rPr>
        <w:t>Европейският съюз следва да направи предложение за изготвянето на такъв списък в съответствие с дял III и член 82 от Договора за създаване на Енергийна общност.</w:t>
      </w:r>
    </w:p>
    <w:p>
      <w:pPr>
        <w:pStyle w:val="ManualConsidrant"/>
        <w:rPr>
          <w:noProof/>
        </w:rPr>
      </w:pPr>
      <w:r>
        <w:t>(3)</w:t>
      </w:r>
      <w:r>
        <w:tab/>
      </w:r>
      <w:r>
        <w:rPr>
          <w:noProof/>
        </w:rPr>
        <w:t xml:space="preserve">Приложението към предложението, посочено в предходното съображение, и състоящо се от окончателния списък с проекти към предложението, може да бъде съставено едва на по-късен етап — след приключване на оценката на различните предложени проекти. Поради това в настоящото решение следва да се изброят всички проекти, от които Комисията може да избере тези, които по-късно да бъдат включени в списъка. </w:t>
      </w:r>
    </w:p>
    <w:p>
      <w:pPr>
        <w:pStyle w:val="Formuledadoption"/>
        <w:rPr>
          <w:noProof/>
        </w:rPr>
      </w:pPr>
      <w:r>
        <w:rPr>
          <w:noProof/>
        </w:rPr>
        <w:t xml:space="preserve">ПРИЕ НАСТОЯЩОТО РЕШЕНИЕ: </w:t>
      </w:r>
    </w:p>
    <w:p>
      <w:pPr>
        <w:pStyle w:val="Titrearticle"/>
        <w:rPr>
          <w:noProof/>
        </w:rPr>
      </w:pPr>
      <w:r>
        <w:rPr>
          <w:noProof/>
        </w:rPr>
        <w:t>Член 1</w:t>
      </w:r>
    </w:p>
    <w:p>
      <w:pPr>
        <w:spacing w:line="276" w:lineRule="auto"/>
        <w:rPr>
          <w:noProof/>
        </w:rPr>
      </w:pPr>
      <w:r>
        <w:rPr>
          <w:noProof/>
        </w:rPr>
        <w:t>Предложението на Европейския съюз за текста на решението на Съвета на министрите на Енергийната общност относно изготвянето на списък с проекти от интерес за Енергийната общност се съдържа в приложение 1 към настоящото решение.</w:t>
      </w:r>
    </w:p>
    <w:p>
      <w:pPr>
        <w:pStyle w:val="Titrearticle"/>
        <w:rPr>
          <w:noProof/>
        </w:rPr>
      </w:pPr>
      <w:r>
        <w:rPr>
          <w:noProof/>
        </w:rPr>
        <w:t>Член 2</w:t>
      </w:r>
    </w:p>
    <w:p>
      <w:pPr>
        <w:spacing w:line="276" w:lineRule="auto"/>
        <w:rPr>
          <w:noProof/>
        </w:rPr>
      </w:pPr>
    </w:p>
    <w:p>
      <w:pPr>
        <w:spacing w:line="276" w:lineRule="auto"/>
        <w:rPr>
          <w:noProof/>
        </w:rPr>
      </w:pPr>
      <w:r>
        <w:rPr>
          <w:noProof/>
        </w:rPr>
        <w:t xml:space="preserve">Приложението към предложението, посочено в член 1, съдържа проектите, включени в приложение 2 към настоящото решение. Приложение 2 се състои от проектите, представени за оценка и окончателно решение, съгласно Решение 2015/09/MC-EnC на Съвета на министрите на Енергийната общност за прилагането на Регламент 347/2013 относно насоките за трансевропейската енергийна инфраструктура. </w:t>
      </w:r>
    </w:p>
    <w:p>
      <w:pPr>
        <w:rPr>
          <w:noProof/>
        </w:rPr>
      </w:pPr>
      <w:r>
        <w:rPr>
          <w:noProof/>
        </w:rPr>
        <w:t xml:space="preserve">От името на Европейския съюз Комисията може да изрази подкрепа за това някои от проектите в приложение 2 да бъдат включени в окончателния списък, при условие че отговарят на критериите в Решение 2015/09/MC-EnC на Съвета на министрите. Проектите могат да бъдат избрани само сред посочените в приложение 2. </w:t>
      </w:r>
    </w:p>
    <w:p>
      <w:pPr>
        <w:pStyle w:val="Titrearticle"/>
        <w:keepNext w:val="0"/>
        <w:rPr>
          <w:noProof/>
        </w:rPr>
      </w:pPr>
      <w:r>
        <w:rPr>
          <w:noProof/>
        </w:rPr>
        <w:t>Член 3</w:t>
      </w:r>
    </w:p>
    <w:p>
      <w:pPr>
        <w:keepLines/>
        <w:rPr>
          <w:noProof/>
        </w:rPr>
      </w:pPr>
      <w:r>
        <w:rPr>
          <w:noProof/>
        </w:rPr>
        <w:t>Настоящото решение влиза в сила в деня на приемането му.</w:t>
      </w:r>
    </w:p>
    <w:p>
      <w:pPr>
        <w:pStyle w:val="Titrearticle"/>
        <w:rPr>
          <w:noProof/>
        </w:rPr>
      </w:pPr>
      <w:r>
        <w:rPr>
          <w:noProof/>
        </w:rPr>
        <w:t>Член 4</w:t>
      </w:r>
    </w:p>
    <w:p>
      <w:pPr>
        <w:keepNext/>
        <w:keepLines/>
        <w:rPr>
          <w:noProof/>
          <w:color w:val="000000"/>
        </w:rPr>
      </w:pPr>
      <w:r>
        <w:rPr>
          <w:noProof/>
          <w:color w:val="000000"/>
        </w:rPr>
        <w:t>Адресат на настоящото решение е Комисията.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D/2015/09/MC-EnC</w:t>
      </w:r>
    </w:p>
  </w:footnote>
  <w:footnote w:id="2">
    <w:p>
      <w:pPr>
        <w:pStyle w:val="FootnoteText"/>
        <w:rPr>
          <w:lang w:val="fr-BE"/>
        </w:rPr>
      </w:pPr>
      <w:r>
        <w:rPr>
          <w:rStyle w:val="FootnoteReference"/>
        </w:rPr>
        <w:footnoteRef/>
      </w:r>
      <w:r>
        <w:tab/>
        <w:t>https://www.energy-community.org/portal/page/portal/ENC_HOME/SECRETARIAT/Consultation/2016_PROJECTS</w:t>
      </w:r>
    </w:p>
  </w:footnote>
  <w:footnote w:id="3">
    <w:p>
      <w:pPr>
        <w:pStyle w:val="FootnoteText"/>
      </w:pPr>
      <w:r>
        <w:rPr>
          <w:rStyle w:val="FootnoteReference"/>
        </w:rPr>
        <w:footnoteRef/>
      </w:r>
      <w:r>
        <w:tab/>
        <w:t>D/2015/09/MC-EnC</w:t>
      </w:r>
    </w:p>
  </w:footnote>
  <w:footnote w:id="4">
    <w:p>
      <w:pPr>
        <w:pStyle w:val="FootnoteText"/>
      </w:pPr>
      <w:r>
        <w:rPr>
          <w:rStyle w:val="FootnoteReference"/>
        </w:rPr>
        <w:footnoteRef/>
      </w:r>
      <w:r>
        <w:tab/>
        <w:t>Процедурен акт 2006/01/MC-EnC — Вътрешен процедурен правилник на Съвета на министрите на Енергийната общност</w:t>
      </w:r>
    </w:p>
  </w:footnote>
  <w:footnote w:id="5">
    <w:p>
      <w:pPr>
        <w:pStyle w:val="FootnoteText"/>
      </w:pPr>
      <w:r>
        <w:rPr>
          <w:rStyle w:val="FootnoteReference"/>
        </w:rPr>
        <w:footnoteRef/>
      </w:r>
      <w:r>
        <w:tab/>
        <w:t>ОВ L 198, 20.7.2006 г., стр. 15.</w:t>
      </w:r>
    </w:p>
  </w:footnote>
  <w:footnote w:id="6">
    <w:p>
      <w:pPr>
        <w:pStyle w:val="FootnoteText"/>
      </w:pPr>
      <w:r>
        <w:rPr>
          <w:rStyle w:val="FootnoteReference"/>
        </w:rPr>
        <w:footnoteRef/>
      </w:r>
      <w:r>
        <w:tab/>
        <w:t>D/2015/09/MC-EnC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88E13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A3467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7E9D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D6CC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25ACB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F6DD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FAA910"/>
    <w:lvl w:ilvl="0">
      <w:start w:val="1"/>
      <w:numFmt w:val="decimal"/>
      <w:pStyle w:val="ListNumber"/>
      <w:lvlText w:val="%1."/>
      <w:lvlJc w:val="left"/>
      <w:pPr>
        <w:tabs>
          <w:tab w:val="num" w:pos="360"/>
        </w:tabs>
        <w:ind w:left="360" w:hanging="360"/>
      </w:pPr>
    </w:lvl>
  </w:abstractNum>
  <w:abstractNum w:abstractNumId="7">
    <w:nsid w:val="FFFFFF89"/>
    <w:multiLevelType w:val="singleLevel"/>
    <w:tmpl w:val="010ED8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2 10:15:5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B4B9C2885AC4DEAA8D77EA397756A85"/>
    <w:docVar w:name="LW_CROSSREFERENCE" w:val="&lt;UNUSED&gt;"/>
    <w:docVar w:name="LW_DocType" w:val="COM"/>
    <w:docVar w:name="LW_EMISSION" w:val="12.7.2016"/>
    <w:docVar w:name="LW_EMISSION_ISODATE" w:val="2016-07-1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3"/>
    <w:docVar w:name="LW_REF.II.NEW.CP_YEAR" w:val="2016"/>
    <w:docVar w:name="LW_REF.INST.NEW" w:val="COM"/>
    <w:docVar w:name="LW_REF.INST.NEW_ADOPTED" w:val="final"/>
    <w:docVar w:name="LW_REF.INST.NEW_TEXT" w:val="(2016) 456"/>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8?\u1077?\u1076?\u1083?\u1086?\u1078?\u1077?\u1085?\u1080?\u1077? \u1079?\u1072? \u1080?\u1079?\u1075?\u1086?\u1090?\u1074?\u1103?\u1085?\u1077? \u1085?\u1072? \u1089?\u1087?\u1080?\u1089?\u1098?\u1082? \u1085?\u1072? \u1045?\u1085?\u1077?\u1088?\u1075?\u1080?\u1081?\u1085?\u1072?\u1090?\u1072? \u1086?\u1073?\u1097?\u1085?\u1086?\u1089?\u1090? \u1089? \u1077?\u1085?\u1077?\u1088?\u1075?\u1080?\u1081?\u1085?\u1080? \u1080?\u1085?\u1092?\u1088?\u1072?\u1089?\u1090?\u1088?\u1091?\u1082?\u1090?\u1091?\u1088?\u1085?\u1080? \u1087?\u1088?\u1086?\u1077?\u1082?\u1090?\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8915E-BEEC-4965-A78E-B376C704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1179</Words>
  <Characters>6699</Characters>
  <Application>Microsoft Office Word</Application>
  <DocSecurity>0</DocSecurity>
  <Lines>133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2016-06-16T13:41:00Z</cp:lastPrinted>
  <dcterms:created xsi:type="dcterms:W3CDTF">2016-07-07T13:29:00Z</dcterms:created>
  <dcterms:modified xsi:type="dcterms:W3CDTF">2016-07-12T08:15:00Z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