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97B9D5E6AA64AAE9F01E09064CE03BF" style="width:450.8pt;height:38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Предложението за решение на Съвета</w:t>
      </w:r>
    </w:p>
    <w:p>
      <w:pPr>
        <w:pStyle w:val="Objetacteprincipal"/>
        <w:rPr>
          <w:noProof/>
        </w:rPr>
      </w:pPr>
      <w:r>
        <w:rPr>
          <w:noProof/>
        </w:rPr>
        <w:t>относно предложение за изготвяне на списък на Енергийната общност с енергийни инфраструктурни проекти</w:t>
      </w:r>
    </w:p>
    <w:p>
      <w:pPr>
        <w:pStyle w:val="Objetacteprincipal"/>
        <w:rPr>
          <w:noProof/>
        </w:rPr>
      </w:pPr>
    </w:p>
    <w:p>
      <w:pPr>
        <w:spacing w:before="100" w:beforeAutospacing="1" w:after="100" w:afterAutospacing="1" w:line="276" w:lineRule="auto"/>
        <w:contextualSpacing/>
        <w:jc w:val="center"/>
        <w:rPr>
          <w:rFonts w:eastAsia="Calibri"/>
          <w:b/>
          <w:noProof/>
          <w:u w:val="single"/>
        </w:rPr>
      </w:pPr>
      <w:r>
        <w:rPr>
          <w:b/>
          <w:noProof/>
          <w:u w:val="single"/>
        </w:rPr>
        <w:t xml:space="preserve">ОБЯСНИТЕЛЕН МЕМОРАНДУМ </w:t>
      </w:r>
    </w:p>
    <w:p>
      <w:pPr>
        <w:spacing w:before="100" w:beforeAutospacing="1" w:after="100" w:afterAutospacing="1" w:line="276" w:lineRule="auto"/>
        <w:contextualSpacing/>
        <w:jc w:val="center"/>
        <w:rPr>
          <w:rFonts w:eastAsia="Calibri"/>
          <w:b/>
          <w:noProof/>
          <w:u w:val="single"/>
        </w:rPr>
      </w:pPr>
    </w:p>
    <w:p>
      <w:pPr>
        <w:spacing w:before="100" w:beforeAutospacing="1" w:after="100" w:afterAutospacing="1" w:line="276" w:lineRule="auto"/>
        <w:contextualSpacing/>
        <w:jc w:val="center"/>
        <w:rPr>
          <w:rFonts w:eastAsia="Calibri"/>
          <w:b/>
          <w:noProof/>
          <w:u w:val="single"/>
        </w:rPr>
      </w:pPr>
    </w:p>
    <w:p>
      <w:pPr>
        <w:spacing w:before="100" w:beforeAutospacing="1" w:after="100" w:afterAutospacing="1" w:line="276" w:lineRule="auto"/>
        <w:contextualSpacing/>
        <w:jc w:val="left"/>
        <w:rPr>
          <w:rFonts w:eastAsia="Calibri"/>
          <w:b/>
          <w:noProof/>
        </w:rPr>
      </w:pPr>
      <w:r>
        <w:rPr>
          <w:b/>
          <w:noProof/>
        </w:rPr>
        <w:t>1. Въведение</w:t>
      </w:r>
    </w:p>
    <w:p>
      <w:pPr>
        <w:spacing w:before="100" w:beforeAutospacing="1" w:after="100" w:afterAutospacing="1" w:line="276" w:lineRule="auto"/>
        <w:contextualSpacing/>
        <w:rPr>
          <w:rFonts w:eastAsia="Calibri"/>
          <w:noProof/>
        </w:rPr>
      </w:pPr>
    </w:p>
    <w:p>
      <w:pPr>
        <w:spacing w:before="100" w:beforeAutospacing="1" w:after="100" w:afterAutospacing="1" w:line="276" w:lineRule="auto"/>
        <w:contextualSpacing/>
        <w:rPr>
          <w:rFonts w:eastAsia="Calibri"/>
          <w:bCs/>
          <w:noProof/>
        </w:rPr>
      </w:pPr>
      <w:r>
        <w:rPr>
          <w:noProof/>
        </w:rPr>
        <w:t>На 16 октомври 2015 г. Съветът на министрите на Енергийната общност прие решение относно прилагането на Регламент (ЕС) № 347/2013 на Европейския парламент и на Съвета относно указания за трансевропейската енергийна инфраструктура</w:t>
      </w:r>
      <w:r>
        <w:rPr>
          <w:rStyle w:val="FootnoteReference"/>
          <w:noProof/>
        </w:rPr>
        <w:footnoteReference w:id="1"/>
      </w:r>
      <w:r>
        <w:rPr>
          <w:noProof/>
        </w:rPr>
        <w:t>. Целта на тази мярка бе да се създаде правна рамка за подреждане по важност на ключовите енергийни инфраструктурни проекти между договарящи се страни и между договарящи се страни и държави — членки на ЕС.</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noProof/>
        </w:rPr>
        <w:t xml:space="preserve">Регламент (ЕС) № 347/2013, приет в рамките на Енергийната общност, установява всеобхватна рамка за рационализиране на процедурите по издаване на разрешения, регулиране и разпределяне на разходите в договарящите се страни. Съгласно него се изисква също така, при спазване на няколко критерии, с решение на Съвета на министрите да се изготви съгласно дял III от Договора за създаване на Енергийна общност списък с приоритетни инфраструктурни проекти, наречен „Проекти от интерес за Енергийната общност (ПИЕО)“. Крайният срок за транспонирането на основните разпоредби на регламента и крайният срок за изготвяне на списъка ПИЕО е 31 декември 2016 г.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noProof/>
        </w:rPr>
        <w:t xml:space="preserve">В съответствие с разпоредбите на Регламент (ЕС) № 347/2013, приет в рамките на Енергийната общност, бяха създадени две работни групи, които да подготвят списъка на ПИЕО. Проектите, представени от организаторите на проекти бяха обсъдени в рамките на публична консултация, организирана от секретариата на Енергийната общност на 2 май 2016 г. В хода на 2016 г. проектите бяха оценени по отношение на тяхната допустимост за статут на ПИЕО. Бе направен анализ на разходите и ползите за всеки проект, завършил с класирането на проектите според конкретни резултати според степента на изпълнение на критериите. В края на процеса, при единодушие, следва да </w:t>
      </w:r>
      <w:r>
        <w:rPr>
          <w:noProof/>
        </w:rPr>
        <w:lastRenderedPageBreak/>
        <w:t xml:space="preserve">бъде представен проект на предварителен списък на ПИЕО на органа, приемащ решения — Постоянната група на високо равнище (ПГВР) на Енергийната общност. След положително становище от Регулаторния съвет на Енергийната общност окончателният предварителен списък на ПИЕО трябва да получи одобрението на органа, приемащ решенията.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noProof/>
        </w:rPr>
        <w:t xml:space="preserve">Приложението със съответния списък с проекти ще бъде изготвено след приключването на процес за вземане на решение, съгласно описаното по-горе.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
          <w:noProof/>
        </w:rPr>
      </w:pPr>
      <w:r>
        <w:rPr>
          <w:b/>
          <w:noProof/>
        </w:rPr>
        <w:t>2. Правно основание за предложението</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noProof/>
        </w:rPr>
        <w:t>Съгласно член 82 от Договора Съветът на министрите взема мерки съгласно дял III по предложение на някоя от страните или на Секретариата. Комисията представя от името на Европейския съюз предложение до Съвета на министрите на Енергийната общност.</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noProof/>
        </w:rPr>
        <w:t xml:space="preserve">Съгласно член 7, параграф 5, буква а) от решението Съветът на министрите съставя списъка с проекти от интерес за Енергийната общност чрез решение съгласно дял III от Договора.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noProof/>
        </w:rPr>
      </w:pPr>
    </w:p>
    <w:p>
      <w:pPr>
        <w:spacing w:before="0" w:after="200" w:line="276" w:lineRule="auto"/>
        <w:jc w:val="left"/>
        <w:rPr>
          <w:noProof/>
        </w:rPr>
      </w:pPr>
      <w:r>
        <w:rPr>
          <w:noProof/>
        </w:rPr>
        <w:br w:type="page"/>
      </w:r>
    </w:p>
    <w:p>
      <w:pPr>
        <w:spacing w:before="100" w:beforeAutospacing="1" w:after="100" w:afterAutospacing="1" w:line="276" w:lineRule="auto"/>
        <w:contextualSpacing/>
        <w:jc w:val="center"/>
        <w:rPr>
          <w:rFonts w:eastAsia="Calibri"/>
          <w:noProof/>
        </w:rPr>
      </w:pPr>
      <w:r>
        <w:rPr>
          <w:b/>
          <w:noProof/>
        </w:rPr>
        <w:lastRenderedPageBreak/>
        <w:t>Предложение на Европейски съюз за</w:t>
      </w:r>
    </w:p>
    <w:p>
      <w:pPr>
        <w:spacing w:before="100" w:beforeAutospacing="1" w:after="100" w:afterAutospacing="1" w:line="276" w:lineRule="auto"/>
        <w:contextualSpacing/>
        <w:jc w:val="center"/>
        <w:rPr>
          <w:rFonts w:eastAsia="Calibri"/>
          <w:b/>
          <w:noProof/>
        </w:rPr>
      </w:pPr>
    </w:p>
    <w:p>
      <w:pPr>
        <w:spacing w:before="100" w:beforeAutospacing="1" w:after="100" w:afterAutospacing="1" w:line="276" w:lineRule="auto"/>
        <w:contextualSpacing/>
        <w:jc w:val="center"/>
        <w:rPr>
          <w:rFonts w:eastAsia="Calibri"/>
          <w:b/>
          <w:noProof/>
        </w:rPr>
      </w:pPr>
      <w:r>
        <w:rPr>
          <w:b/>
          <w:noProof/>
        </w:rPr>
        <w:t>РЕШЕНИЕ НА</w:t>
      </w:r>
      <w:r>
        <w:rPr>
          <w:rFonts w:eastAsia="Calibri"/>
          <w:b/>
          <w:noProof/>
        </w:rPr>
        <w:br/>
      </w:r>
      <w:r>
        <w:rPr>
          <w:b/>
          <w:noProof/>
        </w:rPr>
        <w:t>СЪВЕТА НА МИНИСТРИТЕ НА ЕНЕРГИЙНАТА ОБЩНОСТ</w:t>
      </w:r>
    </w:p>
    <w:p>
      <w:pPr>
        <w:spacing w:before="100" w:beforeAutospacing="1" w:after="100" w:afterAutospacing="1" w:line="276" w:lineRule="auto"/>
        <w:contextualSpacing/>
        <w:jc w:val="center"/>
        <w:rPr>
          <w:rFonts w:eastAsia="Calibri"/>
          <w:b/>
          <w:bCs/>
          <w:noProof/>
        </w:rPr>
      </w:pPr>
      <w:r>
        <w:rPr>
          <w:b/>
          <w:noProof/>
        </w:rPr>
        <w:t>за изготвяне на списъка с проекти от интерес за Енергийната общност („списък на Енергийната общност“)</w:t>
      </w:r>
    </w:p>
    <w:p>
      <w:pPr>
        <w:spacing w:before="100" w:beforeAutospacing="1" w:after="100" w:afterAutospacing="1" w:line="276" w:lineRule="auto"/>
        <w:contextualSpacing/>
        <w:jc w:val="left"/>
        <w:rPr>
          <w:rFonts w:eastAsia="Calibri"/>
          <w:noProof/>
        </w:rPr>
      </w:pPr>
    </w:p>
    <w:p>
      <w:pPr>
        <w:spacing w:before="100" w:beforeAutospacing="1" w:after="100" w:afterAutospacing="1" w:line="276" w:lineRule="auto"/>
        <w:contextualSpacing/>
        <w:jc w:val="left"/>
        <w:rPr>
          <w:rFonts w:eastAsia="Calibri"/>
          <w:noProof/>
        </w:rPr>
      </w:pPr>
      <w:r>
        <w:rPr>
          <w:noProof/>
        </w:rPr>
        <w:t>СЪВЕТЪТ НА МИНИСТРИТЕ НА ЕНЕРГИЙНАТА ОБЩНОСТ,</w:t>
      </w:r>
    </w:p>
    <w:p>
      <w:pPr>
        <w:spacing w:before="100" w:beforeAutospacing="1" w:after="100" w:afterAutospacing="1" w:line="276" w:lineRule="auto"/>
        <w:contextualSpacing/>
        <w:jc w:val="left"/>
        <w:rPr>
          <w:rFonts w:eastAsia="Calibri"/>
          <w:noProof/>
        </w:rPr>
      </w:pPr>
    </w:p>
    <w:p>
      <w:pPr>
        <w:spacing w:before="100" w:beforeAutospacing="1" w:after="100" w:afterAutospacing="1" w:line="276" w:lineRule="auto"/>
        <w:contextualSpacing/>
        <w:rPr>
          <w:rFonts w:eastAsia="Calibri"/>
          <w:noProof/>
        </w:rPr>
      </w:pPr>
      <w:r>
        <w:rPr>
          <w:noProof/>
        </w:rPr>
        <w:t>като взе предвид Договора за създаване на Енергийна общност (наричан по-долу „Договора“) и по-специално членове 2, 26, 27 и  82 от него,</w:t>
      </w:r>
    </w:p>
    <w:p>
      <w:pPr>
        <w:spacing w:before="100" w:beforeAutospacing="1" w:after="100" w:afterAutospacing="1" w:line="276" w:lineRule="auto"/>
        <w:contextualSpacing/>
        <w:rPr>
          <w:rFonts w:eastAsia="Calibri"/>
          <w:noProof/>
        </w:rPr>
      </w:pPr>
    </w:p>
    <w:p>
      <w:pPr>
        <w:spacing w:before="100" w:beforeAutospacing="1" w:after="100" w:afterAutospacing="1" w:line="276" w:lineRule="auto"/>
        <w:contextualSpacing/>
        <w:rPr>
          <w:rFonts w:eastAsia="Calibri"/>
          <w:noProof/>
        </w:rPr>
      </w:pPr>
      <w:r>
        <w:rPr>
          <w:noProof/>
        </w:rPr>
        <w:t>Като взе предвид решението на Съвета на министрите на Енергийната общност D/2015/09/MC-EnC относно прилагането на Регламент (ЕС) № 347/2013 на Европейския парламент и на Съвета относно указания за трансевропейската енергийна инфраструктура, и по-специално член 3, параграф 4 от посочения регламент, възприет в рамките на Енергийната общност.</w:t>
      </w:r>
    </w:p>
    <w:p>
      <w:pPr>
        <w:spacing w:before="100" w:beforeAutospacing="1" w:after="100" w:afterAutospacing="1" w:line="276" w:lineRule="auto"/>
        <w:contextualSpacing/>
        <w:rPr>
          <w:rFonts w:eastAsia="Calibri"/>
          <w:noProof/>
        </w:rPr>
      </w:pPr>
    </w:p>
    <w:p>
      <w:pPr>
        <w:spacing w:before="100" w:beforeAutospacing="1" w:after="100" w:afterAutospacing="1" w:line="276" w:lineRule="auto"/>
        <w:contextualSpacing/>
        <w:rPr>
          <w:rFonts w:eastAsia="Calibri"/>
          <w:noProof/>
        </w:rPr>
      </w:pPr>
      <w:r>
        <w:rPr>
          <w:noProof/>
        </w:rPr>
        <w:t>като взе предвид предложението на Европейския съюз,</w:t>
      </w:r>
    </w:p>
    <w:p>
      <w:pPr>
        <w:spacing w:before="100" w:beforeAutospacing="1" w:after="100" w:afterAutospacing="1" w:line="276" w:lineRule="auto"/>
        <w:contextualSpacing/>
        <w:jc w:val="left"/>
        <w:rPr>
          <w:rFonts w:eastAsia="Calibri"/>
          <w:noProof/>
        </w:rPr>
      </w:pPr>
    </w:p>
    <w:p>
      <w:pPr>
        <w:spacing w:before="100" w:beforeAutospacing="1" w:after="100" w:afterAutospacing="1" w:line="276" w:lineRule="auto"/>
        <w:contextualSpacing/>
        <w:jc w:val="left"/>
        <w:rPr>
          <w:rFonts w:eastAsia="Calibri"/>
          <w:noProof/>
        </w:rPr>
      </w:pPr>
      <w:r>
        <w:rPr>
          <w:noProof/>
        </w:rPr>
        <w:t>като има предвид, че:</w:t>
      </w:r>
    </w:p>
    <w:p>
      <w:pPr>
        <w:tabs>
          <w:tab w:val="num" w:pos="850"/>
        </w:tabs>
        <w:spacing w:before="100" w:beforeAutospacing="1" w:after="100" w:afterAutospacing="1" w:line="276" w:lineRule="auto"/>
        <w:ind w:left="850" w:hanging="850"/>
        <w:contextualSpacing/>
        <w:jc w:val="left"/>
        <w:rPr>
          <w:rFonts w:eastAsia="Calibri"/>
          <w:noProof/>
        </w:rPr>
      </w:pPr>
    </w:p>
    <w:p>
      <w:pPr>
        <w:tabs>
          <w:tab w:val="num" w:pos="709"/>
        </w:tabs>
        <w:spacing w:before="100" w:beforeAutospacing="1" w:after="100" w:afterAutospacing="1" w:line="276" w:lineRule="auto"/>
        <w:ind w:left="705" w:hanging="705"/>
        <w:contextualSpacing/>
        <w:rPr>
          <w:rFonts w:eastAsia="Calibri"/>
          <w:noProof/>
        </w:rPr>
      </w:pPr>
      <w:r>
        <w:rPr>
          <w:noProof/>
        </w:rPr>
        <w:t>1)</w:t>
      </w:r>
      <w:r>
        <w:rPr>
          <w:noProof/>
        </w:rPr>
        <w:tab/>
        <w:t>На 16 октомври 2015 г. Съветът на министрите на Енергийната общност прие решение</w:t>
      </w:r>
      <w:r>
        <w:rPr>
          <w:rStyle w:val="FootnoteReference"/>
          <w:noProof/>
        </w:rPr>
        <w:footnoteReference w:id="2"/>
      </w:r>
      <w:r>
        <w:rPr>
          <w:noProof/>
        </w:rPr>
        <w:t xml:space="preserve"> относно прилагането на Регламент (ЕС) № 347/2013 на Европейския парламент и на Съвета относно указания за трансевропейската енергийна инфраструктура.</w:t>
      </w:r>
    </w:p>
    <w:p>
      <w:pPr>
        <w:tabs>
          <w:tab w:val="num" w:pos="709"/>
        </w:tabs>
        <w:spacing w:before="100" w:beforeAutospacing="1" w:after="100" w:afterAutospacing="1" w:line="276" w:lineRule="auto"/>
        <w:contextualSpacing/>
        <w:rPr>
          <w:rFonts w:eastAsia="Calibri"/>
          <w:noProof/>
        </w:rPr>
      </w:pPr>
    </w:p>
    <w:p>
      <w:pPr>
        <w:tabs>
          <w:tab w:val="num" w:pos="709"/>
        </w:tabs>
        <w:spacing w:before="100" w:beforeAutospacing="1" w:after="100" w:afterAutospacing="1" w:line="276" w:lineRule="auto"/>
        <w:ind w:left="705" w:hanging="705"/>
        <w:contextualSpacing/>
        <w:rPr>
          <w:rFonts w:eastAsia="Calibri"/>
          <w:noProof/>
        </w:rPr>
      </w:pPr>
      <w:r>
        <w:rPr>
          <w:noProof/>
        </w:rPr>
        <w:t>2)</w:t>
      </w:r>
      <w:r>
        <w:rPr>
          <w:noProof/>
        </w:rPr>
        <w:tab/>
        <w:t>По силата на член 82 от Договора мерки се предлагат от някоя от страните или от Секретариата.</w:t>
      </w:r>
    </w:p>
    <w:p>
      <w:pPr>
        <w:tabs>
          <w:tab w:val="num" w:pos="850"/>
        </w:tabs>
        <w:spacing w:before="100" w:beforeAutospacing="1" w:after="100" w:afterAutospacing="1" w:line="276" w:lineRule="auto"/>
        <w:ind w:left="850" w:hanging="850"/>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r>
        <w:rPr>
          <w:noProof/>
        </w:rPr>
        <w:t>3)</w:t>
      </w:r>
      <w:r>
        <w:rPr>
          <w:noProof/>
        </w:rPr>
        <w:tab/>
        <w:t>Проектите, предложени за включване в списъка с проекти от интерес за Енергийната общност (ПИЕО), бяха оценени от групите и отговарят на критериите, определени в регламента.</w:t>
      </w:r>
    </w:p>
    <w:p>
      <w:pPr>
        <w:tabs>
          <w:tab w:val="num" w:pos="709"/>
        </w:tabs>
        <w:spacing w:before="100" w:beforeAutospacing="1" w:after="100" w:afterAutospacing="1" w:line="276" w:lineRule="auto"/>
        <w:ind w:left="709" w:hanging="709"/>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r>
        <w:rPr>
          <w:noProof/>
        </w:rPr>
        <w:t>4)</w:t>
      </w:r>
      <w:r>
        <w:rPr>
          <w:noProof/>
        </w:rPr>
        <w:tab/>
        <w:t xml:space="preserve">Предварителният списък на ПИЕО бе одобрен от групите на срещи на техническо равнище. След положителното становище на Регулаторния съвет на Енергийната общност (РСЕО) относно последователното прилагане на критериите за оценка и на анализа на разходите и ползите, предложеният списък бе обсъден и одобрен на [XX] заседание на Постоянната група на високо равнище (ПГВР) на Енергийната общност на [XX.XX] 2016 г. и настоящото </w:t>
      </w:r>
      <w:r>
        <w:rPr>
          <w:noProof/>
        </w:rPr>
        <w:lastRenderedPageBreak/>
        <w:t>решение бе финализирано и одобрено от ПГВР, които в случая играе ролята на орган, приемащ решенията.</w:t>
      </w:r>
    </w:p>
    <w:p>
      <w:pPr>
        <w:tabs>
          <w:tab w:val="num" w:pos="709"/>
        </w:tabs>
        <w:spacing w:before="100" w:beforeAutospacing="1" w:after="100" w:afterAutospacing="1" w:line="276" w:lineRule="auto"/>
        <w:ind w:left="709" w:hanging="709"/>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r>
        <w:rPr>
          <w:noProof/>
        </w:rPr>
        <w:t>5)</w:t>
      </w:r>
      <w:r>
        <w:rPr>
          <w:noProof/>
        </w:rPr>
        <w:tab/>
        <w:t>По отношение на проектите, предложени за включване в списъка на Енергийната общност, бяха проведени консултации с организации, представляващи съответни заинтересовани страни, включително производители, оператори на разпределителни системи, доставчици, потребителски организации и организации за защита на околната среда.</w:t>
      </w:r>
    </w:p>
    <w:p>
      <w:pPr>
        <w:tabs>
          <w:tab w:val="num" w:pos="709"/>
        </w:tabs>
        <w:spacing w:before="100" w:beforeAutospacing="1" w:after="100" w:afterAutospacing="1" w:line="276" w:lineRule="auto"/>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r>
        <w:rPr>
          <w:noProof/>
        </w:rPr>
        <w:t>6)</w:t>
      </w:r>
      <w:r>
        <w:rPr>
          <w:noProof/>
        </w:rPr>
        <w:tab/>
        <w:t>Включването на списъка на ПИЕО не засяга резултатите от съответната оценка за въздействие на околната среда и процедурата за издаване на разрешително. Съгласно член 5, параграф 8 от приетия регламент, проект, който не отговаря на нормативната уредба на Енергийната общност може да бъде изваден от списъка на Енергийната общност. Реализацията на ПИЕО, включително тяхното съответствие с нормативната уредба Енергийната общност, следва да се наблюдава в съответствие с член 5 от горепосочения регламент.</w:t>
      </w:r>
    </w:p>
    <w:p>
      <w:pPr>
        <w:tabs>
          <w:tab w:val="num" w:pos="709"/>
        </w:tabs>
        <w:spacing w:before="100" w:beforeAutospacing="1" w:after="100" w:afterAutospacing="1" w:line="276" w:lineRule="auto"/>
        <w:ind w:left="709" w:hanging="709"/>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r>
        <w:rPr>
          <w:noProof/>
        </w:rPr>
        <w:t>7)</w:t>
      </w:r>
      <w:r>
        <w:rPr>
          <w:noProof/>
        </w:rPr>
        <w:tab/>
        <w:t>Съгласно член 3, параграф 4, втора алинея от приетия регламент, списъкът на Енергийната общност се изготвя на всеки две години с решение съгласно дял III от Договора.</w:t>
      </w:r>
    </w:p>
    <w:p>
      <w:pPr>
        <w:tabs>
          <w:tab w:val="num" w:pos="709"/>
        </w:tabs>
        <w:spacing w:before="100" w:beforeAutospacing="1" w:after="100" w:afterAutospacing="1" w:line="276" w:lineRule="auto"/>
        <w:ind w:left="709" w:hanging="709"/>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p>
    <w:p>
      <w:pPr>
        <w:tabs>
          <w:tab w:val="num" w:pos="709"/>
        </w:tabs>
        <w:spacing w:before="100" w:beforeAutospacing="1" w:after="100" w:afterAutospacing="1" w:line="276" w:lineRule="auto"/>
        <w:ind w:left="709" w:hanging="709"/>
        <w:contextualSpacing/>
        <w:rPr>
          <w:rFonts w:eastAsia="Calibri"/>
          <w:noProof/>
        </w:rPr>
      </w:pPr>
    </w:p>
    <w:p>
      <w:pPr>
        <w:spacing w:before="100" w:beforeAutospacing="1" w:after="100" w:afterAutospacing="1" w:line="276" w:lineRule="auto"/>
        <w:contextualSpacing/>
        <w:jc w:val="left"/>
        <w:rPr>
          <w:rFonts w:eastAsia="Calibri"/>
          <w:noProof/>
        </w:rPr>
      </w:pPr>
      <w:r>
        <w:rPr>
          <w:noProof/>
        </w:rPr>
        <w:t xml:space="preserve">ПРИЕ НАСТОЯЩОТО РЕШЕНИЕ: </w:t>
      </w:r>
    </w:p>
    <w:p>
      <w:pPr>
        <w:spacing w:before="100" w:beforeAutospacing="1" w:after="100" w:afterAutospacing="1" w:line="276" w:lineRule="auto"/>
        <w:contextualSpacing/>
        <w:jc w:val="left"/>
        <w:rPr>
          <w:rFonts w:eastAsia="Calibri"/>
          <w:noProof/>
        </w:rPr>
      </w:pPr>
    </w:p>
    <w:p>
      <w:pPr>
        <w:keepNext/>
        <w:spacing w:before="100" w:beforeAutospacing="1" w:after="100" w:afterAutospacing="1" w:line="276" w:lineRule="auto"/>
        <w:contextualSpacing/>
        <w:jc w:val="center"/>
        <w:rPr>
          <w:rFonts w:eastAsia="Calibri"/>
          <w:i/>
          <w:noProof/>
        </w:rPr>
      </w:pPr>
    </w:p>
    <w:p>
      <w:pPr>
        <w:keepNext/>
        <w:spacing w:before="100" w:beforeAutospacing="1" w:after="100" w:afterAutospacing="1" w:line="276" w:lineRule="auto"/>
        <w:contextualSpacing/>
        <w:jc w:val="center"/>
        <w:rPr>
          <w:rFonts w:eastAsia="Calibri"/>
          <w:i/>
          <w:noProof/>
        </w:rPr>
      </w:pPr>
      <w:r>
        <w:rPr>
          <w:b/>
          <w:i/>
          <w:noProof/>
        </w:rPr>
        <w:t>Член 1</w:t>
      </w:r>
    </w:p>
    <w:p>
      <w:pPr>
        <w:keepNext/>
        <w:spacing w:before="100" w:beforeAutospacing="1" w:after="100" w:afterAutospacing="1" w:line="276" w:lineRule="auto"/>
        <w:contextualSpacing/>
        <w:jc w:val="left"/>
        <w:rPr>
          <w:rFonts w:eastAsia="Calibri"/>
          <w:noProof/>
        </w:rPr>
      </w:pPr>
      <w:r>
        <w:rPr>
          <w:rFonts w:eastAsia="Calibri"/>
          <w:i/>
          <w:noProof/>
        </w:rPr>
        <w:br/>
      </w:r>
      <w:r>
        <w:rPr>
          <w:noProof/>
        </w:rPr>
        <w:t>Приема се списъкът с ПИЕО съгласно с приложението към настоящото решение.</w:t>
      </w:r>
    </w:p>
    <w:p>
      <w:pPr>
        <w:keepNext/>
        <w:spacing w:before="100" w:beforeAutospacing="1" w:after="100" w:afterAutospacing="1" w:line="276" w:lineRule="auto"/>
        <w:contextualSpacing/>
        <w:jc w:val="center"/>
        <w:rPr>
          <w:rFonts w:eastAsia="Calibri"/>
          <w:b/>
          <w:i/>
          <w:noProof/>
        </w:rPr>
      </w:pPr>
    </w:p>
    <w:p>
      <w:pPr>
        <w:keepNext/>
        <w:spacing w:before="100" w:beforeAutospacing="1" w:after="100" w:afterAutospacing="1" w:line="276" w:lineRule="auto"/>
        <w:contextualSpacing/>
        <w:jc w:val="center"/>
        <w:rPr>
          <w:rFonts w:eastAsia="Calibri"/>
          <w:b/>
          <w:noProof/>
        </w:rPr>
      </w:pPr>
      <w:r>
        <w:rPr>
          <w:b/>
          <w:i/>
          <w:noProof/>
        </w:rPr>
        <w:t>Член 2</w:t>
      </w:r>
    </w:p>
    <w:p>
      <w:pPr>
        <w:keepNext/>
        <w:spacing w:before="100" w:beforeAutospacing="1" w:after="100" w:afterAutospacing="1" w:line="276" w:lineRule="auto"/>
        <w:contextualSpacing/>
        <w:jc w:val="center"/>
        <w:rPr>
          <w:rFonts w:eastAsia="Calibri"/>
          <w:b/>
          <w:noProof/>
        </w:rPr>
      </w:pPr>
    </w:p>
    <w:p>
      <w:pPr>
        <w:keepNext/>
        <w:spacing w:before="100" w:beforeAutospacing="1" w:after="100" w:afterAutospacing="1" w:line="276" w:lineRule="auto"/>
        <w:contextualSpacing/>
        <w:jc w:val="left"/>
        <w:rPr>
          <w:rFonts w:eastAsia="Calibri"/>
          <w:noProof/>
        </w:rPr>
      </w:pPr>
    </w:p>
    <w:p>
      <w:pPr>
        <w:keepNext/>
        <w:spacing w:before="100" w:beforeAutospacing="1" w:after="100" w:afterAutospacing="1" w:line="276" w:lineRule="auto"/>
        <w:contextualSpacing/>
        <w:jc w:val="left"/>
        <w:rPr>
          <w:rFonts w:eastAsia="Calibri"/>
          <w:noProof/>
        </w:rPr>
      </w:pPr>
      <w:r>
        <w:rPr>
          <w:noProof/>
        </w:rPr>
        <w:t>Настоящото решение влиза в сила в деня на приемането му.</w:t>
      </w:r>
    </w:p>
    <w:p>
      <w:pPr>
        <w:keepNext/>
        <w:spacing w:before="100" w:beforeAutospacing="1" w:after="100" w:afterAutospacing="1" w:line="276" w:lineRule="auto"/>
        <w:contextualSpacing/>
        <w:jc w:val="left"/>
        <w:rPr>
          <w:rFonts w:eastAsia="Calibri"/>
          <w:noProof/>
        </w:rPr>
      </w:pPr>
    </w:p>
    <w:p>
      <w:pPr>
        <w:keepNext/>
        <w:spacing w:before="100" w:beforeAutospacing="1" w:after="100" w:afterAutospacing="1" w:line="276" w:lineRule="auto"/>
        <w:contextualSpacing/>
        <w:rPr>
          <w:rFonts w:eastAsia="Calibri"/>
          <w:noProof/>
        </w:rPr>
      </w:pPr>
      <w:r>
        <w:rPr>
          <w:noProof/>
        </w:rPr>
        <w:t xml:space="preserve">Адресати на настоящото решение са Страните, сключили Договора за Енергийната общност, Мисията на временната администрация на Обединените нации в Косово и държавите членки, посочени в член 27 от Договора за създаване на Енергийна общност. </w:t>
      </w:r>
    </w:p>
    <w:p>
      <w:pPr>
        <w:keepNext/>
        <w:spacing w:before="100" w:beforeAutospacing="1" w:after="100" w:afterAutospacing="1" w:line="276" w:lineRule="auto"/>
        <w:contextualSpacing/>
        <w:jc w:val="left"/>
        <w:rPr>
          <w:rFonts w:eastAsia="Calibri"/>
          <w:noProof/>
        </w:rPr>
      </w:pPr>
    </w:p>
    <w:p>
      <w:pPr>
        <w:keepNext/>
        <w:spacing w:before="100" w:beforeAutospacing="1" w:after="100" w:afterAutospacing="1" w:line="276" w:lineRule="auto"/>
        <w:contextualSpacing/>
        <w:jc w:val="left"/>
        <w:rPr>
          <w:rFonts w:eastAsia="Calibri"/>
          <w:noProof/>
        </w:rPr>
      </w:pPr>
    </w:p>
    <w:p>
      <w:pPr>
        <w:spacing w:before="100" w:beforeAutospacing="1" w:after="100" w:afterAutospacing="1" w:line="276" w:lineRule="auto"/>
        <w:contextualSpacing/>
        <w:rPr>
          <w:rFonts w:eastAsia="Calibri"/>
          <w:noProof/>
        </w:rPr>
      </w:pPr>
    </w:p>
    <w:p>
      <w:pPr>
        <w:spacing w:before="100" w:beforeAutospacing="1" w:after="100" w:afterAutospacing="1" w:line="276" w:lineRule="auto"/>
        <w:contextualSpacing/>
        <w:rPr>
          <w:rFonts w:eastAsia="Calibri"/>
          <w:noProof/>
        </w:rPr>
      </w:pPr>
    </w:p>
    <w:p>
      <w:pPr>
        <w:spacing w:before="100" w:beforeAutospacing="1" w:after="100" w:afterAutospacing="1" w:line="276" w:lineRule="auto"/>
        <w:contextualSpacing/>
        <w:rPr>
          <w:rFonts w:eastAsia="Calibri"/>
          <w:noProof/>
        </w:rPr>
      </w:pPr>
      <w:r>
        <w:rPr>
          <w:noProof/>
        </w:rPr>
        <w:lastRenderedPageBreak/>
        <w:t>Съставено в … на … 2016 година.</w:t>
      </w:r>
    </w:p>
    <w:p>
      <w:pPr>
        <w:spacing w:before="100" w:beforeAutospacing="1" w:after="100" w:afterAutospacing="1" w:line="276" w:lineRule="auto"/>
        <w:contextualSpacing/>
        <w:rPr>
          <w:rFonts w:eastAsia="Calibri"/>
          <w:noProof/>
        </w:rPr>
      </w:pPr>
    </w:p>
    <w:p>
      <w:pPr>
        <w:spacing w:before="100" w:beforeAutospacing="1" w:after="100" w:afterAutospacing="1" w:line="276" w:lineRule="auto"/>
        <w:contextualSpacing/>
        <w:rPr>
          <w:rFonts w:eastAsia="Calibri"/>
          <w:noProof/>
        </w:rPr>
      </w:pPr>
      <w:r>
        <w:rPr>
          <w:noProof/>
        </w:rPr>
        <w:tab/>
      </w:r>
      <w:r>
        <w:rPr>
          <w:noProof/>
        </w:rPr>
        <w:tab/>
      </w:r>
      <w:r>
        <w:rPr>
          <w:noProof/>
        </w:rPr>
        <w:tab/>
      </w:r>
      <w:r>
        <w:rPr>
          <w:noProof/>
        </w:rPr>
        <w:tab/>
      </w:r>
      <w:r>
        <w:rPr>
          <w:noProof/>
        </w:rPr>
        <w:tab/>
      </w:r>
      <w:r>
        <w:rPr>
          <w:noProof/>
        </w:rPr>
        <w:tab/>
      </w:r>
      <w:r>
        <w:rPr>
          <w:noProof/>
        </w:rPr>
        <w:tab/>
      </w:r>
      <w:r>
        <w:rPr>
          <w:noProof/>
        </w:rPr>
        <w:tab/>
        <w:t>За Съвета на министрите</w:t>
      </w:r>
    </w:p>
    <w:p>
      <w:pPr>
        <w:spacing w:before="100" w:beforeAutospacing="1" w:after="100" w:afterAutospacing="1" w:line="276" w:lineRule="auto"/>
        <w:contextualSpacing/>
        <w:rPr>
          <w:rFonts w:eastAsia="Calibri"/>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Председател</w:t>
      </w:r>
    </w:p>
    <w:p>
      <w:pPr>
        <w:rPr>
          <w:b/>
          <w:noProof/>
        </w:rPr>
      </w:pPr>
      <w:r>
        <w:rPr>
          <w:noProof/>
        </w:rPr>
        <w:br/>
      </w:r>
      <w:bookmarkStart w:id="1" w:name="_CopyToNewDocument_"/>
      <w:bookmarkEnd w:id="1"/>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D/2015/09/MC-EnC</w:t>
      </w:r>
    </w:p>
  </w:footnote>
  <w:footnote w:id="2">
    <w:p>
      <w:pPr>
        <w:pStyle w:val="FootnoteText"/>
        <w:rPr>
          <w:lang w:val="fr-BE"/>
        </w:rPr>
      </w:pPr>
      <w:r>
        <w:rPr>
          <w:rStyle w:val="FootnoteReference"/>
        </w:rPr>
        <w:footnoteRef/>
      </w:r>
      <w:r>
        <w:tab/>
        <w:t>Решение D/2009/2015/MC-EnC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18CF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025A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3058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0A3B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5CDE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6456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963FF8"/>
    <w:lvl w:ilvl="0">
      <w:start w:val="1"/>
      <w:numFmt w:val="decimal"/>
      <w:pStyle w:val="ListNumber"/>
      <w:lvlText w:val="%1."/>
      <w:lvlJc w:val="left"/>
      <w:pPr>
        <w:tabs>
          <w:tab w:val="num" w:pos="360"/>
        </w:tabs>
        <w:ind w:left="360" w:hanging="360"/>
      </w:pPr>
    </w:lvl>
  </w:abstractNum>
  <w:abstractNum w:abstractNumId="7">
    <w:nsid w:val="FFFFFF89"/>
    <w:multiLevelType w:val="singleLevel"/>
    <w:tmpl w:val="239EC2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2 10:16: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43"/>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297B9D5E6AA64AAE9F01E09064CE03BF"/>
    <w:docVar w:name="LW_CROSSREFERENCE" w:val="&lt;UNUSED&gt;"/>
    <w:docVar w:name="LW_DocType" w:val="ANNEX"/>
    <w:docVar w:name="LW_EMISSION" w:val="12.7.2016"/>
    <w:docVar w:name="LW_EMISSION_ISODATE" w:val="2016-07-1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8?\u1077?\u1076?\u1083?\u1086?\u1078?\u1077?\u1085?\u1080?\u1077? \u1079?\u1072? \u1080?\u1079?\u1075?\u1086?\u1090?\u1074?\u1103?\u1085?\u1077? \u1085?\u1072? \u1089?\u1087?\u1080?\u1089?\u1098?\u1082? \u1085?\u1072? \u1045?\u1085?\u1077?\u1088?\u1075?\u1080?\u1081?\u1085?\u1072?\u1090?\u1072? \u1086?\u1073?\u1097?\u1085?\u1086?\u1089?\u1090? \u1089? \u1077?\u1085?\u1077?\u1088?\u1075?\u1080?\u1081?\u1085?\u1080? \u1080?\u1085?\u1092?\u1088?\u1072?\u1089?\u1090?\u1088?\u1091?\u1082?\u1090?\u1091?\u1088?\u1085?\u1080? \u1087?\u1088?\u1086?\u1077?\u1082?\u1090?\u1080?"/>
    <w:docVar w:name="LW_PART_NBR" w:val="1"/>
    <w:docVar w:name="LW_PART_NBR_TOTAL" w:val="1"/>
    <w:docVar w:name="LW_REF.INST.NEW" w:val="COM"/>
    <w:docVar w:name="LW_REF.INST.NEW_ADOPTED" w:val="final"/>
    <w:docVar w:name="LW_REF.INST.NEW_TEXT" w:val="(2016) 456"/>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2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911</Words>
  <Characters>5312</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DRAPER Priscilla (ENER)</dc:creator>
  <cp:lastModifiedBy>DIGIT/A3</cp:lastModifiedBy>
  <cp:revision>7</cp:revision>
  <cp:lastPrinted>2016-06-15T13:30:00Z</cp:lastPrinted>
  <dcterms:created xsi:type="dcterms:W3CDTF">2016-07-07T13:45:00Z</dcterms:created>
  <dcterms:modified xsi:type="dcterms:W3CDTF">2016-07-12T08:16:00Z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