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33DD4911755441D83FBEADE5157CACA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Предложението за 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предложение за изготвяне на списък на Енергийната общност с енергийни инфраструктурни проекти</w:t>
      </w:r>
    </w:p>
    <w:p>
      <w:pPr>
        <w:rPr>
          <w:noProof/>
        </w:rPr>
      </w:pPr>
    </w:p>
    <w:p>
      <w:pPr>
        <w:pStyle w:val="Titreobjet"/>
        <w:rPr>
          <w:noProof/>
        </w:rPr>
      </w:pPr>
      <w:r>
        <w:rPr>
          <w:noProof/>
        </w:rPr>
        <w:t>Списък на проекти, представени от организатори съгласно Решение 2015/09/MC-EnC на Съвета на министрите на Енергийната общност относно прилагането на Регламент № 347/2013 относно указания за трансевропейската енергийна инфраструктура</w:t>
      </w:r>
    </w:p>
    <w:p>
      <w:pPr>
        <w:pStyle w:val="NoSpacing"/>
        <w:rPr>
          <w:rFonts w:ascii="Times New Roman" w:hAnsi="Times New Roman"/>
          <w:b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ПРИРОДЕН ГАЗ (17 проекта): </w:t>
      </w:r>
    </w:p>
    <w:p>
      <w:pPr>
        <w:pStyle w:val="NoSpacing"/>
        <w:rPr>
          <w:rFonts w:ascii="Times New Roman" w:hAnsi="Times New Roman"/>
          <w:b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Проекти от интерес за Енергийната общност (ПИЕО)</w:t>
      </w:r>
    </w:p>
    <w:p>
      <w:pPr>
        <w:pStyle w:val="NoSpacing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Газопреносна връзка между Бивша югославска република Македония и Косово*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, Албания и Сърбия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— Инфраструктурен газопровод Бивша югославска република Македония — граница с Албания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— Междусистемен газопровод Сърбия — Бивша югославска република Македония, отсечка на територията на Сърбия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Междусистемен газопровод Сърбия — Черна гора (включително Косово*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), отсечка Ниш (Долевац) — Прищина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Газопровод Албания — Косово*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 xml:space="preserve"> (ALKOGAP)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Газопреносна връзка Сърбия — България, отсечка на сръбска територия (статут на ПОИ за целия междусистемен газопровод)*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— Частта в Бивша югославска република Македония от проекта TESLA* </w:t>
      </w:r>
    </w:p>
    <w:p>
      <w:pPr>
        <w:pStyle w:val="NoSpacing"/>
        <w:ind w:left="720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Проекти от взаимен интерес (ПВИ) </w:t>
      </w:r>
    </w:p>
    <w:p>
      <w:pPr>
        <w:pStyle w:val="NoSpacing"/>
        <w:jc w:val="both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Газопреносна връзка BiH-HR (Slobodnica-Bosanski Brod-Zenica)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Газопреносна връзка BiH-HR (Licka Jesenica-Trzac-Bosanska Krupa)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Газопреносна връзка BiH-HR (Zagvozd-Posusje-Novi Travnik/ Ploce-Mostar-Sarajevo)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Междусистемна връзка на Бившата югославска република Македония с България и Гърция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Междусистемна връзка Сърбия—Румъния, сръбска отсечка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— Газопреносна връзка Сърбия — Хърватия, сръбска отсечка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Газопреносна връзка Полша — Украйна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Газопреносна връзка Унгария — Украйна, разработване на гарантиран капацитет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Йонийско-Адриатически тръбопровод (IAP)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EAGLE LNG и тръбопровод</w:t>
      </w:r>
    </w:p>
    <w:p>
      <w:pPr>
        <w:pStyle w:val="NoSpacing"/>
        <w:ind w:left="360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ЕЛЕКТРОЕНЕРГИЯ (12 проекта):</w:t>
      </w:r>
    </w:p>
    <w:p>
      <w:pPr>
        <w:pStyle w:val="NoSpacing"/>
        <w:rPr>
          <w:rFonts w:ascii="Times New Roman" w:hAnsi="Times New Roman"/>
          <w:b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Проекти от интерес за Енергийната общност (ПИЕО) </w:t>
      </w:r>
    </w:p>
    <w:p>
      <w:pPr>
        <w:pStyle w:val="NoSpacing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Трансбалкански коридор Фаза 1 (Румъния, Сърбия, Черна гора, Босна и Херцеговина)*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Трансбалкански коридор Фаза 2, 400 kV, OHL Bajina Basta — Kraljevo 3 (Сърбия)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Трансбалкански коридор за електроенергия, мрежова отсечка в Черна гора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— Междусистемна връзка 400 kV OHL Битоля (FYROM) — Елбасан (AL) 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Междусистемна връзка 400 kV OHL Скопие 5 (FYROM) — Ново косово* (KS)</w:t>
      </w:r>
    </w:p>
    <w:p>
      <w:pPr>
        <w:pStyle w:val="NoSpacing"/>
        <w:rPr>
          <w:rFonts w:ascii="Times New Roman" w:hAnsi="Times New Roman"/>
          <w:b/>
          <w:noProof/>
          <w:sz w:val="24"/>
        </w:rPr>
      </w:pPr>
    </w:p>
    <w:p>
      <w:pPr>
        <w:pStyle w:val="NoSpacing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Проекти от взаимен интерес (ПВИ) </w:t>
      </w:r>
    </w:p>
    <w:p>
      <w:pPr>
        <w:pStyle w:val="NoSpacing"/>
        <w:jc w:val="both"/>
        <w:rPr>
          <w:rFonts w:ascii="Times New Roman" w:hAnsi="Times New Roman"/>
          <w:noProof/>
          <w:sz w:val="24"/>
        </w:rPr>
      </w:pP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Междусистемна връзка между Banja Luka (BA) и Lika (HR) с поддържащи вътрешни съоръжения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Междусистемна връзка между Balti (MD) и Suceava (RO)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Подстанция за ПТВН, преобразуваща пром. напр. в пром. напр., на въздушния електропрорповод 400 kV  Vulcanesti (MD) Isaccea (RO) и нов въздушен електропровод (MD)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Междусистемна връзка 400 kV с въздушен електропровод между Straseni (MD) и Iasi (RO) с Подстанция за ПТВН, преобразуваща пром. напр. в пром. напр., в Straseni (MD)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Асинхронно междусистемна връзка на системата ENTSO-E и украинската електроенергийна мрежа чрез въздушен електропровод 750 kV Khmelnytska АЕЦ (UA) — Rzeszow (PL), с ПТВН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Рехабилитация на междусистемна връзка, въздушен електропровод 400 kV, Mukacheve (UA) — V. Kapusany (SK)</w:t>
      </w:r>
    </w:p>
    <w:p>
      <w:pPr>
        <w:pStyle w:val="NoSpacing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— Рехабилитация на междусистемна връзка, въздушен електропровод  750 kV Pivdennoukrainska NPP (UA) — Isaccea (RO) и модернизация на въздушен електропровод 400 kV Primorska (UA) — Isaccea (RO)</w:t>
      </w:r>
    </w:p>
    <w:p>
      <w:pPr>
        <w:rPr>
          <w:b/>
          <w:noProof/>
        </w:rPr>
      </w:pPr>
      <w:r>
        <w:rPr>
          <w:b/>
          <w:noProof/>
        </w:rPr>
        <w:t>Проекти за интелигентни електроенергийни мрежи (2 проекта)</w:t>
      </w:r>
    </w:p>
    <w:p>
      <w:pPr>
        <w:spacing w:before="0" w:after="0"/>
        <w:rPr>
          <w:noProof/>
        </w:rPr>
      </w:pPr>
      <w:r>
        <w:rPr>
          <w:noProof/>
        </w:rPr>
        <w:t>— Намаляване на загубите по мрежата (Бивша югославска република Македония)</w:t>
      </w:r>
    </w:p>
    <w:p>
      <w:pPr>
        <w:spacing w:before="0" w:after="0"/>
        <w:rPr>
          <w:noProof/>
        </w:rPr>
      </w:pPr>
      <w:r>
        <w:rPr>
          <w:noProof/>
        </w:rPr>
        <w:t>— Проект за интелигентен измервателен уред — Косово*</w:t>
      </w:r>
    </w:p>
    <w:p>
      <w:pPr>
        <w:spacing w:before="0" w:after="0"/>
        <w:rPr>
          <w:noProof/>
        </w:rPr>
      </w:pPr>
      <w:r>
        <w:rPr>
          <w:noProof/>
        </w:rPr>
        <w:t>— Оптимизация на потреблението, акумулиране на енергия и децентрализирани енергийни ресурси за по-добро функциониране на електроенергийната система на Република Сърбия</w:t>
      </w:r>
    </w:p>
    <w:p>
      <w:pPr>
        <w:rPr>
          <w:b/>
          <w:noProof/>
        </w:rPr>
      </w:pPr>
      <w:r>
        <w:rPr>
          <w:b/>
          <w:noProof/>
        </w:rPr>
        <w:t>НЕФТ (1 проект):</w:t>
      </w:r>
    </w:p>
    <w:p>
      <w:pPr>
        <w:rPr>
          <w:noProof/>
        </w:rPr>
      </w:pPr>
      <w:r>
        <w:rPr>
          <w:noProof/>
        </w:rPr>
        <w:t>— Изграждане на нефтопровода Brody-Adamowo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Това название не засяга позициите по отношение на статута и е съобразено с Резолюция 1244 на Съвета за сигурност на ООН и становището на Международния съд относно обявяването на независимост от страна на Косово.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ibidem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ibidem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 xml:space="preserve">Проектите, отбелязани с „*“ имат статут на проект от общ интерес (ПОИ) в Европейския съюз.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9D4F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BAA2D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A7454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9589A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5F0C5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38CCD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0DCE7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0E8E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7-12 10:17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3"/>
    <w:docVar w:name="DQCResult_UnknownFonts" w:val="0;0"/>
    <w:docVar w:name="DQCResult_UnknownStyles" w:val="0;45"/>
    <w:docVar w:name="DQCStatus" w:val="Green"/>
    <w:docVar w:name="DQCVersion" w:val="3"/>
    <w:docVar w:name="DQCWithWarnings" w:val="0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33DD4911755441D83FBEADE5157CACA"/>
    <w:docVar w:name="LW_CROSSREFERENCE" w:val="&lt;UNUSED&gt;"/>
    <w:docVar w:name="LW_DocType" w:val="ANNEX"/>
    <w:docVar w:name="LW_EMISSION" w:val="12.7.2016"/>
    <w:docVar w:name="LW_EMISSION_ISODATE" w:val="2016-07-1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8?\u1077?\u1076?\u1083?\u1086?\u1078?\u1077?\u1085?\u1080?\u1077? \u1079?\u1072? \u1080?\u1079?\u1075?\u1086?\u1090?\u1074?\u1103?\u1085?\u1077? \u1085?\u1072? \u1089?\u1087?\u1080?\u1089?\u1098?\u1082? \u1085?\u1072? \u1045?\u1085?\u1077?\u1088?\u1075?\u1080?\u1081?\u1085?\u1072?\u1090?\u1072? \u1086?\u1073?\u1097?\u1085?\u1086?\u1089?\u1090? \u1089? \u1077?\u1085?\u1077?\u1088?\u1075?\u1080?\u1081?\u1085?\u1080? \u1080?\u1085?\u1092?\u1088?\u1072?\u1089?\u1090?\u1088?\u1091?\u1082?\u1090?\u1091?\u1088?\u1085?\u1080? \u1087?\u1088?\u1086?\u1077?\u1082?\u1090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6) 45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\u1090?\u1086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450</Words>
  <Characters>3126</Characters>
  <Application>Microsoft Office Word</Application>
  <DocSecurity>0</DocSecurity>
  <Lines>84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DRAPER Priscilla (ENER)</dc:creator>
  <cp:lastModifiedBy>DIGIT/A3</cp:lastModifiedBy>
  <cp:revision>7</cp:revision>
  <cp:lastPrinted>2016-06-15T13:30:00Z</cp:lastPrinted>
  <dcterms:created xsi:type="dcterms:W3CDTF">2016-07-08T08:26:00Z</dcterms:created>
  <dcterms:modified xsi:type="dcterms:W3CDTF">2016-07-12T08:17:00Z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