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A0EA14645FB4BF0A7B18E5F827521BD" style="width:450.75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both"/>
        <w:rPr>
          <w:noProof/>
        </w:rPr>
      </w:pPr>
      <w:bookmarkStart w:id="1" w:name="_GoBack"/>
      <w:bookmarkEnd w:id="1"/>
      <w:r>
        <w:rPr>
          <w:noProof/>
        </w:rPr>
        <w:lastRenderedPageBreak/>
        <w:t>Като част от незабавните действия в помощ на държавите членки, изправени пред силен миграционен натиск по външните граници на ЕС, в Европейската програма за миграцията, приета през май 2015 г., беше очертан нов подход на горещите точки</w:t>
      </w:r>
      <w:r>
        <w:rPr>
          <w:rStyle w:val="FootnoteReference"/>
          <w:noProof/>
        </w:rPr>
        <w:footnoteReference w:id="1"/>
      </w:r>
      <w:r>
        <w:rPr>
          <w:noProof/>
        </w:rPr>
        <w:t xml:space="preserve">. Италия и Гърция са двете държави членки, където понастоящем се прилага този подход на горещите точки. </w:t>
      </w:r>
    </w:p>
    <w:p>
      <w:pPr>
        <w:jc w:val="both"/>
        <w:rPr>
          <w:noProof/>
        </w:rPr>
      </w:pPr>
    </w:p>
    <w:p>
      <w:pPr>
        <w:jc w:val="both"/>
        <w:rPr>
          <w:noProof/>
        </w:rPr>
      </w:pPr>
      <w:r>
        <w:rPr>
          <w:noProof/>
        </w:rPr>
        <w:t>Съгласно този подход всички съответни агенции на ЕС и експерти от държавите членки работят на място съвместно с националните и местните органи, за да се помогне на засегнатите държави членки да изпълнят своите задължения съгласно правото на ЕС. Бяха установени пет ключови области: изграждане на функциониращи горещи точки, изпълнение на решенията за преместване, гарантиране на ефективни връщания на мигрантите, които нямат право на международна закрила, подобряване на управлението на границите и създаване на достатъчен и адекватен капацитет за приемане.</w:t>
      </w:r>
    </w:p>
    <w:p>
      <w:pPr>
        <w:jc w:val="both"/>
        <w:rPr>
          <w:noProof/>
        </w:rPr>
      </w:pPr>
    </w:p>
    <w:p>
      <w:pPr>
        <w:jc w:val="both"/>
        <w:rPr>
          <w:noProof/>
        </w:rPr>
      </w:pPr>
      <w:r>
        <w:rPr>
          <w:noProof/>
        </w:rPr>
        <w:t>През септември 2015 г. Комисията предприе допълнителни мерки, като очерта приоритетните действия на ЕС за справяне с бежанската криза</w:t>
      </w:r>
      <w:r>
        <w:rPr>
          <w:rStyle w:val="FootnoteReference"/>
          <w:noProof/>
        </w:rPr>
        <w:footnoteReference w:id="2"/>
      </w:r>
      <w:r>
        <w:rPr>
          <w:noProof/>
        </w:rPr>
        <w:t>. Те включват цялостното разгръщане на схемата за преместване и на екипите за съдействие в управлението на миграцията, работещи в горещите точки. След това през октомври Комисията публикува доклад за актуалното състояние</w:t>
      </w:r>
      <w:r>
        <w:rPr>
          <w:rStyle w:val="FootnoteReference"/>
          <w:noProof/>
        </w:rPr>
        <w:footnoteReference w:id="3"/>
      </w:r>
      <w:r>
        <w:rPr>
          <w:noProof/>
        </w:rPr>
        <w:t xml:space="preserve">. В него се съдържа подробна информация за следващите стъпки, необходими в ключовите области, включително конкретни действия, които да бъдат изпълнени от Гърция. </w:t>
      </w:r>
    </w:p>
    <w:p>
      <w:pPr>
        <w:jc w:val="both"/>
        <w:rPr>
          <w:noProof/>
        </w:rPr>
      </w:pPr>
    </w:p>
    <w:p>
      <w:pPr>
        <w:jc w:val="both"/>
        <w:rPr>
          <w:noProof/>
        </w:rPr>
      </w:pPr>
      <w:r>
        <w:rPr>
          <w:noProof/>
        </w:rPr>
        <w:t>През декември 2015 г. Комисията публикува подробен доклад относно реализирането на подхода на „горещите точки“ в Гърция в петте области, посочени по-горе</w:t>
      </w:r>
      <w:r>
        <w:rPr>
          <w:rStyle w:val="FootnoteReference"/>
          <w:noProof/>
        </w:rPr>
        <w:footnoteReference w:id="4"/>
      </w:r>
      <w:r>
        <w:rPr>
          <w:noProof/>
        </w:rPr>
        <w:t>. На 10 февруари Комисията представи доклад за цялостното изпълнение на приоритетните действия</w:t>
      </w:r>
      <w:r>
        <w:rPr>
          <w:rStyle w:val="FootnoteReference"/>
          <w:noProof/>
        </w:rPr>
        <w:footnoteReference w:id="5"/>
      </w:r>
      <w:r>
        <w:rPr>
          <w:noProof/>
        </w:rPr>
        <w:t>, с приложен към него доклад за текущото състояние в Гърция.</w:t>
      </w:r>
    </w:p>
    <w:p>
      <w:pPr>
        <w:jc w:val="both"/>
        <w:rPr>
          <w:noProof/>
        </w:rPr>
      </w:pPr>
    </w:p>
    <w:p>
      <w:pPr>
        <w:jc w:val="both"/>
        <w:rPr>
          <w:noProof/>
        </w:rPr>
      </w:pPr>
      <w:r>
        <w:rPr>
          <w:noProof/>
        </w:rPr>
        <w:t>Чрез предоставената по-специално през последните месеци значителна финансова подкрепа за Гърция ЕС показа безпрекословната си солидарност със страната и подкрепи Гърция в изпълнението на приоритетните действия. В допълнение към общо отпуснатите средства за националните програми на Гърция по линията на фонд „Убежище, миграция и интеграция“ и фонд „Вътрешна сигурност“, които възлизат на 509 милиона евро за периода 2014—2020 г., през последната година беше отпусната значителна спешна помощ от приблизително 150 милиона евро по линия на двата фонда. В рамките на националните програми бяха направени предварителни плащания в размер на близо 70 милиона евро (33 милиона евро за 2014—2015 г. и 37 милиона евро за 2016 г.), а за плащанията по предварително финансиране за спешна помощ бяха осигурени около 70,3 милиона евро.</w:t>
      </w:r>
    </w:p>
    <w:p>
      <w:pPr>
        <w:jc w:val="both"/>
        <w:rPr>
          <w:noProof/>
        </w:rPr>
      </w:pPr>
    </w:p>
    <w:p>
      <w:pPr>
        <w:jc w:val="both"/>
        <w:rPr>
          <w:noProof/>
        </w:rPr>
      </w:pPr>
      <w:r>
        <w:rPr>
          <w:noProof/>
        </w:rPr>
        <w:t>Гърция е първият бенефициер на финансиране от ЕС в областта на вътрешните работи с обща сума от около 660 милиона евро, като се вземат заедно средствата за националните ѝ програми и за спешната помощ, предоставени в нейна полза до този момент. Гърция следва да използва по най-добрия начин всички налични ресурси по линия на националните програми и следва също така да се възползва изцяло от възможностите, предлагани от други механизми на ЕС за финансиране, като например структурните и инвестиционните фондове.</w:t>
      </w:r>
    </w:p>
    <w:p>
      <w:pPr>
        <w:jc w:val="both"/>
        <w:rPr>
          <w:noProof/>
        </w:rPr>
      </w:pPr>
    </w:p>
    <w:p>
      <w:pPr>
        <w:jc w:val="both"/>
        <w:rPr>
          <w:noProof/>
        </w:rPr>
      </w:pPr>
      <w:r>
        <w:rPr>
          <w:noProof/>
        </w:rPr>
        <w:t>С приложението към настоящия доклад се актуализира анализът от 10 февруари, като се прави преглед на изпълнението на приоритетните действия в петте области, посочени по-горе, и на мерките, които предстои да бъдат предприети.</w:t>
      </w:r>
    </w:p>
    <w:p>
      <w:pPr>
        <w:jc w:val="both"/>
        <w:rPr>
          <w:b/>
          <w:noProof/>
          <w:u w:val="single"/>
          <w:lang w:val="en-GB"/>
        </w:rPr>
      </w:pPr>
    </w:p>
    <w:p>
      <w:pPr>
        <w:rPr>
          <w:noProof/>
          <w:lang w:val="en-GB"/>
        </w:rPr>
      </w:pPr>
      <w:r>
        <w:rPr>
          <w:noProof/>
          <w:lang w:val="en-GB"/>
        </w:rPr>
        <w:br w:type="page"/>
      </w:r>
    </w:p>
    <w:p>
      <w:pPr>
        <w:jc w:val="both"/>
        <w:rPr>
          <w:b/>
          <w:noProof/>
        </w:rPr>
      </w:pPr>
      <w:r>
        <w:rPr>
          <w:b/>
          <w:noProof/>
          <w:u w:val="single"/>
        </w:rPr>
        <w:t>Приложение:</w:t>
      </w:r>
      <w:r>
        <w:rPr>
          <w:b/>
          <w:noProof/>
        </w:rPr>
        <w:t xml:space="preserve"> </w:t>
      </w:r>
    </w:p>
    <w:p>
      <w:pPr>
        <w:jc w:val="both"/>
        <w:rPr>
          <w:b/>
          <w:noProof/>
        </w:rPr>
      </w:pPr>
    </w:p>
    <w:tbl>
      <w:tblPr>
        <w:tblStyle w:val="TableGrid"/>
        <w:tblW w:w="9464" w:type="dxa"/>
        <w:tblLook w:val="04A0" w:firstRow="1" w:lastRow="0" w:firstColumn="1" w:lastColumn="0" w:noHBand="0" w:noVBand="1"/>
      </w:tblPr>
      <w:tblGrid>
        <w:gridCol w:w="1720"/>
        <w:gridCol w:w="3401"/>
        <w:gridCol w:w="4343"/>
      </w:tblGrid>
      <w:tr>
        <w:trPr>
          <w:cantSplit/>
          <w:tblHeader/>
        </w:trPr>
        <w:tc>
          <w:tcPr>
            <w:tcW w:w="5121" w:type="dxa"/>
            <w:gridSpan w:val="2"/>
            <w:tcBorders>
              <w:top w:val="single" w:sz="4" w:space="0" w:color="auto"/>
              <w:left w:val="single" w:sz="4" w:space="0" w:color="auto"/>
              <w:bottom w:val="single" w:sz="4" w:space="0" w:color="auto"/>
              <w:right w:val="single" w:sz="4" w:space="0" w:color="auto"/>
            </w:tcBorders>
            <w:hideMark/>
          </w:tcPr>
          <w:p>
            <w:pPr>
              <w:jc w:val="both"/>
              <w:rPr>
                <w:b/>
                <w:noProof/>
              </w:rPr>
            </w:pPr>
            <w:r>
              <w:rPr>
                <w:b/>
                <w:noProof/>
              </w:rPr>
              <w:t>Препоръки от декември 2015 г.</w:t>
            </w:r>
          </w:p>
        </w:tc>
        <w:tc>
          <w:tcPr>
            <w:tcW w:w="4343" w:type="dxa"/>
            <w:tcBorders>
              <w:top w:val="single" w:sz="4" w:space="0" w:color="auto"/>
              <w:left w:val="single" w:sz="4" w:space="0" w:color="auto"/>
              <w:bottom w:val="single" w:sz="4" w:space="0" w:color="auto"/>
              <w:right w:val="single" w:sz="4" w:space="0" w:color="auto"/>
            </w:tcBorders>
            <w:hideMark/>
          </w:tcPr>
          <w:p>
            <w:pPr>
              <w:jc w:val="both"/>
              <w:rPr>
                <w:b/>
                <w:noProof/>
              </w:rPr>
            </w:pPr>
            <w:r>
              <w:rPr>
                <w:b/>
                <w:noProof/>
              </w:rPr>
              <w:t>Положение до момента</w:t>
            </w:r>
          </w:p>
        </w:tc>
      </w:tr>
      <w:tr>
        <w:trPr>
          <w:cantSplit/>
          <w:trHeight w:val="1134"/>
        </w:trPr>
        <w:tc>
          <w:tcPr>
            <w:tcW w:w="1720" w:type="dxa"/>
            <w:vMerge w:val="restart"/>
            <w:tcBorders>
              <w:top w:val="single" w:sz="4" w:space="0" w:color="auto"/>
              <w:left w:val="single" w:sz="4" w:space="0" w:color="auto"/>
              <w:right w:val="single" w:sz="4" w:space="0" w:color="auto"/>
            </w:tcBorders>
            <w:hideMark/>
          </w:tcPr>
          <w:p>
            <w:pPr>
              <w:jc w:val="both"/>
              <w:rPr>
                <w:noProof/>
              </w:rPr>
            </w:pPr>
            <w:r>
              <w:rPr>
                <w:b/>
                <w:noProof/>
              </w:rPr>
              <w:t xml:space="preserve">Горещи точки </w:t>
            </w:r>
          </w:p>
        </w:tc>
        <w:tc>
          <w:tcPr>
            <w:tcW w:w="340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Гърция трябва да приключи строежа на горещите точки в Лесбос, Лерос и Хиос в съответствие с планирания график. Строителните работи в Кос следва да започнат незабавно, а в Самос да бъде определено мястото за строеж с цел горещата точка да започне да функционира от края на януари.</w:t>
            </w:r>
          </w:p>
          <w:p>
            <w:pPr>
              <w:jc w:val="both"/>
              <w:rPr>
                <w:noProof/>
              </w:rPr>
            </w:pPr>
          </w:p>
        </w:tc>
        <w:tc>
          <w:tcPr>
            <w:tcW w:w="434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Четири горещи точки (Лесбос, Хиос, Самос и Лерос) функционират благодарение на помощта на армията и временната координация от нейна страна, въпреки че все още е необходимо да бъдат завършени няколко дейности, за да заработят на пълни обороти (напр. третата линия за регистрация в Лесбос, завършването на съоръженията за настаняване в Самос, предоставянето на някои услуги в Лерос и Самос и др.). </w:t>
            </w:r>
          </w:p>
          <w:p>
            <w:pPr>
              <w:jc w:val="both"/>
              <w:rPr>
                <w:noProof/>
              </w:rPr>
            </w:pPr>
            <w:r>
              <w:rPr>
                <w:noProof/>
              </w:rPr>
              <w:t xml:space="preserve">X Започнати са строителните работи в Кос (бившия лагер в Пили) и горещата точка би могла да заработи отчасти до 4 март. </w:t>
            </w:r>
          </w:p>
          <w:p>
            <w:pPr>
              <w:jc w:val="both"/>
              <w:rPr>
                <w:noProof/>
              </w:rPr>
            </w:pPr>
            <w:r>
              <w:rPr>
                <w:noProof/>
              </w:rPr>
              <w:t xml:space="preserve">Х Националната процедура за възлагане на обществена поръчка за услугите, необходими за функционирането на горещите точки (т.е. осигуряване на храна, почистване), все още не е приключила. Тази седмица гръцката армия се подготвя да започне бърза процедура за възлагане на обществена поръчка за следните услуги: транспорт, осигуряване на храна, медицинско обслужване и почистване за всички горещи точки и приемни центрове. </w:t>
            </w:r>
          </w:p>
        </w:tc>
      </w:tr>
      <w:tr>
        <w:trPr>
          <w:cantSplit/>
          <w:trHeight w:val="830"/>
        </w:trPr>
        <w:tc>
          <w:tcPr>
            <w:tcW w:w="1720" w:type="dxa"/>
            <w:vMerge/>
            <w:tcBorders>
              <w:left w:val="single" w:sz="4" w:space="0" w:color="auto"/>
              <w:right w:val="single" w:sz="4" w:space="0" w:color="auto"/>
            </w:tcBorders>
            <w:vAlign w:val="center"/>
            <w:hideMark/>
          </w:tcPr>
          <w:p>
            <w:pPr>
              <w:jc w:val="both"/>
              <w:rPr>
                <w:noProof/>
              </w:rPr>
            </w:pPr>
          </w:p>
        </w:tc>
        <w:tc>
          <w:tcPr>
            <w:tcW w:w="3401" w:type="dxa"/>
            <w:tcBorders>
              <w:top w:val="single" w:sz="4" w:space="0" w:color="auto"/>
              <w:left w:val="single" w:sz="4" w:space="0" w:color="auto"/>
              <w:bottom w:val="single" w:sz="4" w:space="0" w:color="auto"/>
              <w:right w:val="single" w:sz="4" w:space="0" w:color="auto"/>
            </w:tcBorders>
            <w:hideMark/>
          </w:tcPr>
          <w:p>
            <w:pPr>
              <w:jc w:val="both"/>
              <w:rPr>
                <w:noProof/>
                <w:spacing w:val="-4"/>
              </w:rPr>
            </w:pPr>
            <w:r>
              <w:rPr>
                <w:noProof/>
                <w:spacing w:val="-4"/>
              </w:rPr>
              <w:t xml:space="preserve">Гърция следва, в сътрудничество с Европейската комисия, агенциите на ЕС и ВКБООН, да оптимизира организацията на горещите точки въз основа на конкретна оценка на потребностите на всеки остров и като се опира на констатациите от междуведомствения пилотен проект. В този контекст следва да бъде установена структурирана система за сваляне на брега на официалните места за сваляне, както и за транспортиране до районите, обявени за горещи точки. </w:t>
            </w:r>
          </w:p>
          <w:p>
            <w:pPr>
              <w:jc w:val="both"/>
              <w:rPr>
                <w:noProof/>
              </w:rPr>
            </w:pPr>
          </w:p>
        </w:tc>
        <w:tc>
          <w:tcPr>
            <w:tcW w:w="434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Frontex разположи екипи за крайбрежни патрули в Лесбос, Хиос и Самос. В Лерос процедурите за сваляне на брега се извършват контролирано: почти 100 % от пристигащите се свалят на остров Фармакос, а впоследствие служителите на бреговата охрана и Frontex прехвърлят мигрантите в Лерос.</w:t>
            </w:r>
          </w:p>
          <w:p>
            <w:pPr>
              <w:jc w:val="both"/>
              <w:rPr>
                <w:noProof/>
              </w:rPr>
            </w:pPr>
            <w:r>
              <w:rPr>
                <w:noProof/>
              </w:rPr>
              <w:sym w:font="Wingdings" w:char="F0FC"/>
            </w:r>
            <w:r>
              <w:rPr>
                <w:noProof/>
              </w:rPr>
              <w:t xml:space="preserve"> В краткосрочен план местните органи поеха отговорността за координирането на превоза на мигрантите от местата за сваляне на брега до центровете за регистрация и от центровете за регистрация до пристанищата.</w:t>
            </w:r>
          </w:p>
          <w:p>
            <w:pPr>
              <w:jc w:val="both"/>
              <w:rPr>
                <w:noProof/>
              </w:rPr>
            </w:pPr>
            <w:r>
              <w:rPr>
                <w:noProof/>
              </w:rPr>
              <w:t xml:space="preserve">Х Правителството пое ангажимент да внесе в парламента рамковия правен акт (под формата на изменение на Закон 3907/2011) относно механизмите за създаване и координация на горещите точки през седмицата, започваща на 7 март. След въвеждането на правната уредба, ще бъдат приети стандартни оперативни процедури посредством общо министерско решение и в тях ще бъдат определени ролите и процедурите, свързани с управлението на горещите точки. </w:t>
            </w:r>
          </w:p>
          <w:p>
            <w:pPr>
              <w:jc w:val="both"/>
              <w:rPr>
                <w:noProof/>
              </w:rPr>
            </w:pPr>
            <w:r>
              <w:rPr>
                <w:noProof/>
              </w:rPr>
              <w:t>X Следва спешно да бъдат осигурени достатъчен брой автобуси, за да се усъвършенства допълнително системата за сваляне на брега на островите. Държавите членки следва спешно да отговорят на искането за автобуси, подадено чрез Механизма за гражданска защита на Съюза.</w:t>
            </w:r>
          </w:p>
          <w:p>
            <w:pPr>
              <w:jc w:val="both"/>
              <w:rPr>
                <w:noProof/>
              </w:rPr>
            </w:pPr>
            <w:r>
              <w:rPr>
                <w:noProof/>
              </w:rPr>
              <w:t>Х Трябва да бъде организиран превозът на лицата, които не се нуждаят от международна закрила, от горещите точки директно до съществуващите центрове за задържане.</w:t>
            </w:r>
          </w:p>
        </w:tc>
      </w:tr>
      <w:tr>
        <w:trPr>
          <w:cantSplit/>
          <w:trHeight w:val="830"/>
        </w:trPr>
        <w:tc>
          <w:tcPr>
            <w:tcW w:w="1720" w:type="dxa"/>
            <w:vMerge/>
            <w:tcBorders>
              <w:left w:val="single" w:sz="4" w:space="0" w:color="auto"/>
              <w:right w:val="single" w:sz="4" w:space="0" w:color="auto"/>
            </w:tcBorders>
            <w:vAlign w:val="center"/>
          </w:tcPr>
          <w:p>
            <w:pPr>
              <w:jc w:val="both"/>
              <w:rPr>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Въз основа на по-точна оценка на потребностите държавите членки следва да предоставят необходимите експерти, за да се осигури пълноценното функциониране на горещите точки, веднага след като строителните работи са приключени. От своя страна, Гърция следва да гарантира, че в районите, обявени за горещи точки, е разположен достатъчен брой ръководители на екипи и е налице достатъчен персонал по сигурността.</w:t>
            </w:r>
          </w:p>
          <w:p>
            <w:pPr>
              <w:jc w:val="both"/>
              <w:rPr>
                <w:noProof/>
              </w:rPr>
            </w:pPr>
          </w:p>
        </w:tc>
        <w:tc>
          <w:tcPr>
            <w:tcW w:w="4343" w:type="dxa"/>
            <w:tcBorders>
              <w:top w:val="single" w:sz="4" w:space="0" w:color="auto"/>
              <w:left w:val="single" w:sz="4" w:space="0" w:color="auto"/>
              <w:bottom w:val="single" w:sz="4" w:space="0" w:color="auto"/>
              <w:right w:val="single" w:sz="4" w:space="0" w:color="auto"/>
            </w:tcBorders>
          </w:tcPr>
          <w:p>
            <w:pPr>
              <w:jc w:val="both"/>
              <w:rPr>
                <w:noProof/>
              </w:rPr>
            </w:pPr>
            <w:r>
              <w:rPr>
                <w:noProof/>
              </w:rPr>
              <w:t>X Гръцката полиция следва да засили допълнително своето присъствие в центровете в горещите точки, за да гарантира сигурността на центровете и на разположения персонал на агенциите.</w:t>
            </w:r>
          </w:p>
          <w:p>
            <w:pPr>
              <w:jc w:val="both"/>
              <w:rPr>
                <w:noProof/>
              </w:rPr>
            </w:pPr>
            <w:r>
              <w:rPr>
                <w:noProof/>
              </w:rPr>
              <w:t>X Frontex и Европейската служба за подкрепа в областта на убежището (EASO) засилиха своето присъствие (понастоящем съответно 516 и 14 служители), но са необходими още експерти, особено след като започнаха да функционират и други горещи точки. Държавите членки не са осигурили достатъчно експерти.</w:t>
            </w:r>
          </w:p>
          <w:p>
            <w:pPr>
              <w:jc w:val="both"/>
              <w:rPr>
                <w:noProof/>
              </w:rPr>
            </w:pPr>
            <w:r>
              <w:rPr>
                <w:noProof/>
              </w:rPr>
              <w:t>X Гърция следва да завърши процеса по осигуряване на ръководители на екипи.</w:t>
            </w:r>
          </w:p>
        </w:tc>
      </w:tr>
      <w:tr>
        <w:trPr>
          <w:cantSplit/>
          <w:trHeight w:val="830"/>
        </w:trPr>
        <w:tc>
          <w:tcPr>
            <w:tcW w:w="1720" w:type="dxa"/>
            <w:vMerge/>
            <w:tcBorders>
              <w:left w:val="single" w:sz="4" w:space="0" w:color="auto"/>
              <w:right w:val="single" w:sz="4" w:space="0" w:color="auto"/>
            </w:tcBorders>
            <w:vAlign w:val="center"/>
          </w:tcPr>
          <w:p>
            <w:pPr>
              <w:jc w:val="both"/>
              <w:rPr>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Гърция следва да набави — възможно най-скоро и като използва ускорените/опростените процедури, предвидени в директиви 2004/18/ЕО и 2014/24/ЕС в случай на „неотложни обстоятелства“ или „изключително неотложни обстоятелства“ — необходимите допълнителни устройства за пръстови отпечатъци.</w:t>
            </w:r>
          </w:p>
          <w:p>
            <w:pPr>
              <w:jc w:val="both"/>
              <w:rPr>
                <w:noProof/>
              </w:rPr>
            </w:pPr>
          </w:p>
        </w:tc>
        <w:tc>
          <w:tcPr>
            <w:tcW w:w="4343" w:type="dxa"/>
            <w:tcBorders>
              <w:top w:val="single" w:sz="4" w:space="0" w:color="auto"/>
              <w:left w:val="single" w:sz="4" w:space="0" w:color="auto"/>
              <w:bottom w:val="single" w:sz="4" w:space="0" w:color="auto"/>
              <w:right w:val="single" w:sz="4" w:space="0" w:color="auto"/>
            </w:tcBorders>
          </w:tcPr>
          <w:p>
            <w:pPr>
              <w:jc w:val="both"/>
              <w:rPr>
                <w:noProof/>
              </w:rPr>
            </w:pPr>
            <w:r>
              <w:rPr>
                <w:noProof/>
              </w:rPr>
              <w:t>По отношение на регистрацията (Евродак):</w:t>
            </w:r>
          </w:p>
          <w:p>
            <w:pPr>
              <w:jc w:val="both"/>
              <w:rPr>
                <w:noProof/>
              </w:rPr>
            </w:pPr>
            <w:r>
              <w:rPr>
                <w:noProof/>
              </w:rPr>
              <w:sym w:font="Wingdings" w:char="F0FC"/>
            </w:r>
            <w:r>
              <w:rPr>
                <w:noProof/>
              </w:rPr>
              <w:t xml:space="preserve"> EASO поръча първа партида от 25 станции за снемане на пръстови отпечатъци. Тази партида вече е доставена. EASO поръча втора партида от 65 станции за снемане на пръстови отпечатъци, която е в процес на доставка.</w:t>
            </w:r>
          </w:p>
          <w:p>
            <w:pPr>
              <w:jc w:val="both"/>
              <w:rPr>
                <w:noProof/>
              </w:rPr>
            </w:pPr>
            <w:r>
              <w:rPr>
                <w:noProof/>
              </w:rPr>
              <w:sym w:font="Wingdings" w:char="F0FC"/>
            </w:r>
            <w:r>
              <w:rPr>
                <w:noProof/>
              </w:rPr>
              <w:t xml:space="preserve"> Гръцката полиция набави чрез обществена поръчка 6 станции за снемане на пръстови отпечатъци, които бяха разположени в Лесбос.</w:t>
            </w:r>
          </w:p>
          <w:p>
            <w:pPr>
              <w:jc w:val="both"/>
              <w:rPr>
                <w:noProof/>
              </w:rPr>
            </w:pPr>
            <w:r>
              <w:rPr>
                <w:noProof/>
              </w:rPr>
              <w:sym w:font="Wingdings" w:char="F0FC"/>
            </w:r>
            <w:r>
              <w:rPr>
                <w:noProof/>
              </w:rPr>
              <w:t xml:space="preserve"> Както Комисията, така и Frontex отбелязаха, че е от септември 2015 г. насам е постигнат значителен напредък и че към настоящия момент всички мигранти на възраст над 14 години, насочени към горещите точки, се регистрират в съответствие с Кодекса на шенгенските граници.</w:t>
            </w:r>
          </w:p>
          <w:p>
            <w:pPr>
              <w:jc w:val="both"/>
              <w:rPr>
                <w:noProof/>
              </w:rPr>
            </w:pPr>
            <w:r>
              <w:rPr>
                <w:noProof/>
              </w:rPr>
              <w:t xml:space="preserve">X Връзките между станциите EURODAC и информационната мрежа, както и капацитетът на централния сървър все още не са сигурни и надеждни. Комисията и eu-LISA съдействат на гръцката полиция за подобряване на функционалността на нейните информационни системи и за укрепване на капацитета ѝ в подкрепа на системата за регистрация. </w:t>
            </w:r>
          </w:p>
        </w:tc>
      </w:tr>
      <w:tr>
        <w:trPr>
          <w:cantSplit/>
          <w:trHeight w:val="830"/>
        </w:trPr>
        <w:tc>
          <w:tcPr>
            <w:tcW w:w="1720" w:type="dxa"/>
            <w:vMerge/>
            <w:tcBorders>
              <w:left w:val="single" w:sz="4" w:space="0" w:color="auto"/>
              <w:right w:val="single" w:sz="4" w:space="0" w:color="auto"/>
            </w:tcBorders>
            <w:vAlign w:val="center"/>
          </w:tcPr>
          <w:p>
            <w:pPr>
              <w:jc w:val="both"/>
              <w:rPr>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Информационните системи следва да бъдат актуализирани първоначално с цел да бъде внедрена изцяло оборудвана автоматизирана система за дактилоскопична идентификация (AFIS), а след това за да се гарантира, че са установени взаимовръзки между националните и европейските/международните бази данни, което дава възможност за цялостна проверка на пристигащите мигранти в базата данни на Шенгенската информационна система (ШИС II)/базата данни на Интерпол за откраднати и изгубени документи за пътуване (STLD).</w:t>
            </w:r>
          </w:p>
          <w:p>
            <w:pPr>
              <w:jc w:val="both"/>
              <w:rPr>
                <w:noProof/>
              </w:rPr>
            </w:pPr>
          </w:p>
        </w:tc>
        <w:tc>
          <w:tcPr>
            <w:tcW w:w="4343" w:type="dxa"/>
            <w:tcBorders>
              <w:top w:val="single" w:sz="4" w:space="0" w:color="auto"/>
              <w:left w:val="single" w:sz="4" w:space="0" w:color="auto"/>
              <w:bottom w:val="single" w:sz="4" w:space="0" w:color="auto"/>
              <w:right w:val="single" w:sz="4" w:space="0" w:color="auto"/>
            </w:tcBorders>
          </w:tcPr>
          <w:p>
            <w:pPr>
              <w:jc w:val="both"/>
              <w:rPr>
                <w:noProof/>
              </w:rPr>
            </w:pPr>
            <w:r>
              <w:rPr>
                <w:noProof/>
              </w:rPr>
              <w:t>По отношение на проверките за сигурност:</w:t>
            </w:r>
          </w:p>
          <w:p>
            <w:pPr>
              <w:jc w:val="both"/>
              <w:rPr>
                <w:noProof/>
              </w:rPr>
            </w:pPr>
            <w:r>
              <w:rPr>
                <w:noProof/>
              </w:rPr>
              <w:sym w:font="Wingdings" w:char="F0FC"/>
            </w:r>
            <w:r>
              <w:rPr>
                <w:noProof/>
              </w:rPr>
              <w:t xml:space="preserve"> В горещите точки вече са технически налични терминали, които позволяват проверки не само в поддържаната от националната полиция база данни за граждани на трети държави, но и в базите данни на ШИС, Интерпол и Европол.</w:t>
            </w:r>
          </w:p>
          <w:p>
            <w:pPr>
              <w:jc w:val="both"/>
              <w:rPr>
                <w:noProof/>
              </w:rPr>
            </w:pPr>
            <w:r>
              <w:rPr>
                <w:noProof/>
              </w:rPr>
              <w:sym w:font="Wingdings" w:char="F0FC"/>
            </w:r>
            <w:r>
              <w:rPr>
                <w:noProof/>
              </w:rPr>
              <w:t xml:space="preserve"> Отправено е искане до Европол за осигуряване на достъп до нейната база данни за целите на проверките за сигурност.</w:t>
            </w:r>
          </w:p>
          <w:p>
            <w:pPr>
              <w:jc w:val="both"/>
              <w:rPr>
                <w:noProof/>
              </w:rPr>
            </w:pPr>
            <w:r>
              <w:rPr>
                <w:noProof/>
              </w:rPr>
              <w:sym w:font="Wingdings" w:char="F0FC"/>
            </w:r>
            <w:r>
              <w:rPr>
                <w:noProof/>
              </w:rPr>
              <w:t xml:space="preserve"> Единната автоматизирана система за достъп до съответните бази данни, свързани със сигурността (национални, ШИС и Интерпол), вече е въведена в експлоатация във всички горещи точки. </w:t>
            </w:r>
          </w:p>
          <w:p>
            <w:pPr>
              <w:jc w:val="both"/>
              <w:rPr>
                <w:noProof/>
              </w:rPr>
            </w:pPr>
            <w:r>
              <w:rPr>
                <w:noProof/>
              </w:rPr>
              <w:t>X Трябва изцяло да се въведат систематични проверки в тези бази данни и да се предприемат съответните последващи действия. Следва да бъде доразработена изцяло автоматизирана система за дактилоскопична идентификация.</w:t>
            </w:r>
          </w:p>
        </w:tc>
      </w:tr>
      <w:tr>
        <w:trPr>
          <w:cantSplit/>
          <w:trHeight w:val="830"/>
        </w:trPr>
        <w:tc>
          <w:tcPr>
            <w:tcW w:w="1720" w:type="dxa"/>
            <w:vMerge/>
            <w:tcBorders>
              <w:left w:val="single" w:sz="4" w:space="0" w:color="auto"/>
              <w:right w:val="single" w:sz="4" w:space="0" w:color="auto"/>
            </w:tcBorders>
            <w:vAlign w:val="center"/>
          </w:tcPr>
          <w:p>
            <w:pPr>
              <w:jc w:val="both"/>
              <w:rPr>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Гърция, с подкрепата на Европейската комисия и агенциите на ЕС, следва да определи потребностите от културни посредници/устни преводачи и да засили тяхното присъствие в районите, обявени за горещи точки.</w:t>
            </w:r>
          </w:p>
          <w:p>
            <w:pPr>
              <w:jc w:val="both"/>
              <w:rPr>
                <w:noProof/>
              </w:rPr>
            </w:pPr>
          </w:p>
        </w:tc>
        <w:tc>
          <w:tcPr>
            <w:tcW w:w="4343" w:type="dxa"/>
            <w:tcBorders>
              <w:top w:val="single" w:sz="4" w:space="0" w:color="auto"/>
              <w:left w:val="single" w:sz="4" w:space="0" w:color="auto"/>
              <w:bottom w:val="single" w:sz="4" w:space="0" w:color="auto"/>
              <w:right w:val="single" w:sz="4" w:space="0" w:color="auto"/>
            </w:tcBorders>
          </w:tcPr>
          <w:p>
            <w:pPr>
              <w:jc w:val="both"/>
              <w:rPr>
                <w:noProof/>
              </w:rPr>
            </w:pPr>
            <w:r>
              <w:rPr>
                <w:noProof/>
              </w:rPr>
              <w:t>Х Гръцките органи следва да определят своите потребности от културни посредници/устни преводачи.</w:t>
            </w:r>
          </w:p>
          <w:p>
            <w:pPr>
              <w:jc w:val="both"/>
              <w:rPr>
                <w:noProof/>
              </w:rPr>
            </w:pPr>
            <w:r>
              <w:rPr>
                <w:noProof/>
              </w:rPr>
              <w:t>X Гръцките органи следва да създадат резерв от устни преводачи, намиращи се на място, евентуално чрез рамков договор, за да могат бързо да разполагат с услуги за устен превод.</w:t>
            </w:r>
          </w:p>
        </w:tc>
      </w:tr>
      <w:tr>
        <w:trPr>
          <w:cantSplit/>
          <w:trHeight w:val="830"/>
        </w:trPr>
        <w:tc>
          <w:tcPr>
            <w:tcW w:w="1720" w:type="dxa"/>
            <w:vMerge/>
            <w:tcBorders>
              <w:left w:val="single" w:sz="4" w:space="0" w:color="auto"/>
              <w:right w:val="single" w:sz="4" w:space="0" w:color="auto"/>
            </w:tcBorders>
            <w:vAlign w:val="center"/>
          </w:tcPr>
          <w:p>
            <w:pPr>
              <w:jc w:val="both"/>
              <w:rPr>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Необходимо е да се подобри допълнително координацията посредством систематичното и ефективното използване на внедрените механизми за координация. На назначените координатори за островите следва да бъдат предоставени специални правомощия за координиране на всички правителствени и неправителствени участници в горещите точки.</w:t>
            </w:r>
          </w:p>
        </w:tc>
        <w:tc>
          <w:tcPr>
            <w:tcW w:w="434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Законопроектът, с който се установяват горещите точки (вж. по-горе), ще включва специални разпоредби за назначаването на координатори на горещите точки, полицейски координатори и специални координатори, които да ръководят отношенията с всички заинтересовани страни, участващи в процедурата за горещите точки.</w:t>
            </w:r>
          </w:p>
          <w:p>
            <w:pPr>
              <w:jc w:val="both"/>
              <w:rPr>
                <w:noProof/>
              </w:rPr>
            </w:pPr>
            <w:r>
              <w:rPr>
                <w:noProof/>
              </w:rPr>
              <w:t>X След приемането на новото законодателство гръцките органи трябва спешно да проведат съответната процедура за назначаване на постоянните координатори за горещите точки, предвидени в новоприетия закон.</w:t>
            </w:r>
          </w:p>
        </w:tc>
      </w:tr>
      <w:tr>
        <w:trPr>
          <w:cantSplit/>
          <w:trHeight w:val="830"/>
        </w:trPr>
        <w:tc>
          <w:tcPr>
            <w:tcW w:w="1720" w:type="dxa"/>
            <w:vMerge/>
            <w:tcBorders>
              <w:left w:val="single" w:sz="4" w:space="0" w:color="auto"/>
              <w:right w:val="single" w:sz="4" w:space="0" w:color="auto"/>
            </w:tcBorders>
            <w:vAlign w:val="center"/>
          </w:tcPr>
          <w:p>
            <w:pPr>
              <w:jc w:val="both"/>
              <w:rPr>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Европол следва да засили присъствието си в Гърция и да сключи оперативни споразумения с гръцките органи, за да ги подкрепя в борбата с контрабандата на хора. Подкрепата следва да включва започването на финансови разследвания, действия срещу документните измами и по-добро използване на мрежите на служителите за връзка по въпросите на имиграцията в трети държави като източници на съответна информация.</w:t>
            </w:r>
          </w:p>
          <w:p>
            <w:pPr>
              <w:jc w:val="both"/>
              <w:rPr>
                <w:noProof/>
              </w:rPr>
            </w:pPr>
          </w:p>
          <w:p>
            <w:pPr>
              <w:jc w:val="both"/>
              <w:rPr>
                <w:noProof/>
              </w:rPr>
            </w:pPr>
          </w:p>
        </w:tc>
        <w:tc>
          <w:tcPr>
            <w:tcW w:w="434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Има служител за връзка на Европол в Лесбос, както и в Регионалната работна група на ЕС в Пирея.</w:t>
            </w:r>
          </w:p>
          <w:p>
            <w:pPr>
              <w:jc w:val="both"/>
              <w:rPr>
                <w:noProof/>
              </w:rPr>
            </w:pPr>
            <w:r>
              <w:rPr>
                <w:noProof/>
              </w:rPr>
              <w:sym w:font="Wingdings" w:char="F0FC"/>
            </w:r>
            <w:r>
              <w:rPr>
                <w:noProof/>
              </w:rPr>
              <w:t xml:space="preserve"> Frontex осигури висококвалифицирани експерти за проверка на документи във всички горещи точки, заедно със специално оборудване за откриване на подправени документи.</w:t>
            </w:r>
          </w:p>
          <w:p>
            <w:pPr>
              <w:jc w:val="both"/>
              <w:rPr>
                <w:noProof/>
              </w:rPr>
            </w:pPr>
            <w:r>
              <w:rPr>
                <w:noProof/>
              </w:rPr>
              <w:t xml:space="preserve">X Гръцката полиция реши да използва нов и по-сложен регистрационен документ със защитни елементи, който да бъде използван във всички горещи точки. При все това, макар че вече се използва нов печат, защитената хартия все още е недостатъчна. </w:t>
            </w:r>
          </w:p>
          <w:p>
            <w:pPr>
              <w:jc w:val="both"/>
              <w:rPr>
                <w:noProof/>
              </w:rPr>
            </w:pPr>
            <w:r>
              <w:rPr>
                <w:noProof/>
              </w:rPr>
              <w:t>Х Гърция следва да набави чрез обществена поръчка допълнително оборудване за разкриване на документни измами. Очаква се, че за тази цел ще бъде отправено искане за финансиране.</w:t>
            </w:r>
          </w:p>
          <w:p>
            <w:pPr>
              <w:jc w:val="both"/>
              <w:rPr>
                <w:noProof/>
              </w:rPr>
            </w:pPr>
            <w:r>
              <w:rPr>
                <w:noProof/>
              </w:rPr>
              <w:t>X Гръцките органи трябва да гарантират предприемането на подходящи последващи действия във връзка с установени случаи на подправени документи и да подсилят операциите в областта на правоприлагането на островите с цел пресичане на дейностите, свързани с контрабанда на хора.</w:t>
            </w:r>
          </w:p>
        </w:tc>
      </w:tr>
      <w:tr>
        <w:trPr>
          <w:cantSplit/>
          <w:trHeight w:val="830"/>
        </w:trPr>
        <w:tc>
          <w:tcPr>
            <w:tcW w:w="1720" w:type="dxa"/>
            <w:vMerge/>
            <w:tcBorders>
              <w:left w:val="single" w:sz="4" w:space="0" w:color="auto"/>
              <w:right w:val="single" w:sz="4" w:space="0" w:color="auto"/>
            </w:tcBorders>
            <w:vAlign w:val="center"/>
          </w:tcPr>
          <w:p>
            <w:pPr>
              <w:jc w:val="both"/>
              <w:rPr>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Гръцката полиция следва да предостави на полицейските служители, разположени в горещите точки, обучение за разкриване на подправени документи.</w:t>
            </w:r>
          </w:p>
          <w:p>
            <w:pPr>
              <w:jc w:val="both"/>
              <w:rPr>
                <w:noProof/>
              </w:rPr>
            </w:pPr>
          </w:p>
        </w:tc>
        <w:tc>
          <w:tcPr>
            <w:tcW w:w="4343" w:type="dxa"/>
            <w:tcBorders>
              <w:top w:val="single" w:sz="4" w:space="0" w:color="auto"/>
              <w:left w:val="single" w:sz="4" w:space="0" w:color="auto"/>
              <w:bottom w:val="single" w:sz="4" w:space="0" w:color="auto"/>
              <w:right w:val="single" w:sz="4" w:space="0" w:color="auto"/>
            </w:tcBorders>
          </w:tcPr>
          <w:p>
            <w:pPr>
              <w:jc w:val="both"/>
              <w:rPr>
                <w:noProof/>
              </w:rPr>
            </w:pPr>
            <w:r>
              <w:rPr>
                <w:noProof/>
              </w:rPr>
              <w:t>Х Все още се обсъжда.</w:t>
            </w:r>
          </w:p>
        </w:tc>
      </w:tr>
      <w:tr>
        <w:trPr>
          <w:cantSplit/>
        </w:trPr>
        <w:tc>
          <w:tcPr>
            <w:tcW w:w="1720" w:type="dxa"/>
            <w:vMerge w:val="restart"/>
            <w:tcBorders>
              <w:top w:val="single" w:sz="4" w:space="0" w:color="auto"/>
              <w:left w:val="single" w:sz="4" w:space="0" w:color="auto"/>
              <w:right w:val="single" w:sz="4" w:space="0" w:color="auto"/>
            </w:tcBorders>
            <w:hideMark/>
          </w:tcPr>
          <w:p>
            <w:pPr>
              <w:jc w:val="both"/>
              <w:rPr>
                <w:noProof/>
              </w:rPr>
            </w:pPr>
            <w:r>
              <w:rPr>
                <w:b/>
                <w:noProof/>
              </w:rPr>
              <w:t>Преместване</w:t>
            </w:r>
          </w:p>
        </w:tc>
        <w:tc>
          <w:tcPr>
            <w:tcW w:w="340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Предоставянето на информация на бежанците относно програмата за преместване трябва да бъде засилено, наред с другото чрез увеличено присъствие на служителите на гръцката служба по въпросите на убежището и на EASO в горещите точки, както и чрез изготвянето и разпространението на информационни материали сред потенциални кандидати за преместване относно процеса на преместване и техните права и задължения в този контекст. Служителите за връзка на държавите членки следва да предоставят на кандидатите за преместване информация относно определените държави на местоназначение, включително относно техните системи за убежище и приемане.</w:t>
            </w:r>
          </w:p>
          <w:p>
            <w:pPr>
              <w:jc w:val="both"/>
              <w:rPr>
                <w:noProof/>
              </w:rPr>
            </w:pPr>
          </w:p>
        </w:tc>
        <w:tc>
          <w:tcPr>
            <w:tcW w:w="434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Службата по въпросите на убежището осъществява дейност на островите Лесбос и Самос. EASO разположи експерти в Самос за целите на предоставянето на информация, включително информационни брошури. </w:t>
            </w:r>
          </w:p>
          <w:p>
            <w:pPr>
              <w:jc w:val="both"/>
              <w:rPr>
                <w:noProof/>
              </w:rPr>
            </w:pPr>
            <w:r>
              <w:rPr>
                <w:noProof/>
              </w:rPr>
              <w:t>Х Мигрантите следва системно да бъдат информирани във всички горещи точки относно правата им като кандидатстващи за убежище лица, както и за правата и задълженията им съгласно механизма за преместване. За тази цел Службата по въпросите на убежището и EASO следва да изпратят експерти в оставащите горещи точки.</w:t>
            </w:r>
          </w:p>
          <w:p>
            <w:pPr>
              <w:jc w:val="both"/>
              <w:rPr>
                <w:noProof/>
              </w:rPr>
            </w:pPr>
            <w:r>
              <w:rPr>
                <w:noProof/>
              </w:rPr>
              <w:t>Х Повече държави членки следва да предоставят информационни пакети за лицата, които ще бъдат премествани (досега само няколко държави членки (Белгия, Ирландия, Полша и Португалия) са предоставили такава информация). EASO също така ръководи процес за координиране на информацията преди заминаване, предоставяна от държавите членки на преместване (изготвят се насоки).</w:t>
            </w:r>
          </w:p>
          <w:p>
            <w:pPr>
              <w:jc w:val="both"/>
              <w:rPr>
                <w:noProof/>
              </w:rPr>
            </w:pPr>
          </w:p>
        </w:tc>
      </w:tr>
      <w:tr>
        <w:trPr>
          <w:cantSplit/>
        </w:trPr>
        <w:tc>
          <w:tcPr>
            <w:tcW w:w="1720" w:type="dxa"/>
            <w:vMerge/>
            <w:tcBorders>
              <w:left w:val="single" w:sz="4" w:space="0" w:color="auto"/>
              <w:right w:val="single" w:sz="4" w:space="0" w:color="auto"/>
            </w:tcBorders>
          </w:tcPr>
          <w:p>
            <w:pPr>
              <w:jc w:val="both"/>
              <w:rPr>
                <w:b/>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 xml:space="preserve">Необходимо е да бъде увеличен значително капацитетът за регистриране и обработка на молби за убежище. За тази цел гръцката служба по въпросите на убежището възнамерява да наеме още 40 служители до средата на февруари, което следва да повиши нейния капацитет, така че да бъде в състояние да регистрира 100—120 молби на ден. Налага се допълнително увеличение на персонала, за да се ускори регистрацията според необходимостта. </w:t>
            </w:r>
          </w:p>
          <w:p>
            <w:pPr>
              <w:jc w:val="both"/>
              <w:rPr>
                <w:noProof/>
              </w:rPr>
            </w:pPr>
          </w:p>
        </w:tc>
        <w:tc>
          <w:tcPr>
            <w:tcW w:w="434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EASO оказва подкрепа на гръцките органи в Лесбос и Самос при проверката на гражданството на кандидатите за преместване. </w:t>
            </w:r>
          </w:p>
          <w:p>
            <w:pPr>
              <w:jc w:val="both"/>
              <w:rPr>
                <w:noProof/>
              </w:rPr>
            </w:pPr>
            <w:r>
              <w:rPr>
                <w:noProof/>
              </w:rPr>
              <w:sym w:font="Wingdings" w:char="F0FC"/>
            </w:r>
            <w:r>
              <w:rPr>
                <w:noProof/>
              </w:rPr>
              <w:t xml:space="preserve"> 37 лица ще бъдат наети до април и още (най-много) 40 лица ще бъдат наети през юни 2016 г. През януари 2017 г. ще бъдат наети служители за останалите позиции. Необходимото финансиране е осигурено посредством фонд „Убежище, миграция и интеграция“.</w:t>
            </w:r>
          </w:p>
          <w:p>
            <w:pPr>
              <w:jc w:val="both"/>
              <w:rPr>
                <w:noProof/>
              </w:rPr>
            </w:pPr>
            <w:r>
              <w:rPr>
                <w:noProof/>
              </w:rPr>
              <w:sym w:font="Wingdings" w:char="F0FC"/>
            </w:r>
            <w:r>
              <w:rPr>
                <w:noProof/>
              </w:rPr>
              <w:t xml:space="preserve"> С подкрепата на EASO през следващите дни ще започне и пилотен проект за увеличаване на капацитета за регистрация.</w:t>
            </w:r>
          </w:p>
        </w:tc>
      </w:tr>
      <w:tr>
        <w:trPr>
          <w:cantSplit/>
        </w:trPr>
        <w:tc>
          <w:tcPr>
            <w:tcW w:w="1720" w:type="dxa"/>
            <w:vMerge/>
            <w:tcBorders>
              <w:left w:val="single" w:sz="4" w:space="0" w:color="auto"/>
              <w:right w:val="single" w:sz="4" w:space="0" w:color="auto"/>
            </w:tcBorders>
          </w:tcPr>
          <w:p>
            <w:pPr>
              <w:jc w:val="both"/>
              <w:rPr>
                <w:b/>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 xml:space="preserve">Държавите членки следва да намалят съществено времето за отговор на исканията за преместване, подадени от гръцките органи (и да се въздържат от прекалени ad hoc проверки, извършвани в Гърция). </w:t>
            </w:r>
          </w:p>
          <w:p>
            <w:pPr>
              <w:jc w:val="both"/>
              <w:rPr>
                <w:noProof/>
              </w:rPr>
            </w:pPr>
          </w:p>
        </w:tc>
        <w:tc>
          <w:tcPr>
            <w:tcW w:w="4343" w:type="dxa"/>
            <w:tcBorders>
              <w:top w:val="single" w:sz="4" w:space="0" w:color="auto"/>
              <w:left w:val="single" w:sz="4" w:space="0" w:color="auto"/>
              <w:bottom w:val="single" w:sz="4" w:space="0" w:color="auto"/>
              <w:right w:val="single" w:sz="4" w:space="0" w:color="auto"/>
            </w:tcBorders>
          </w:tcPr>
          <w:p>
            <w:pPr>
              <w:jc w:val="both"/>
              <w:rPr>
                <w:noProof/>
              </w:rPr>
            </w:pPr>
            <w:r>
              <w:rPr>
                <w:noProof/>
              </w:rPr>
              <w:t>X Държавите членки продължават да отговарят бавно на исканията за преместване и това е отчасти причината за високия процент на отказ от процеса на преместване.</w:t>
            </w:r>
          </w:p>
          <w:p>
            <w:pPr>
              <w:jc w:val="both"/>
              <w:rPr>
                <w:noProof/>
              </w:rPr>
            </w:pPr>
            <w:r>
              <w:rPr>
                <w:noProof/>
              </w:rPr>
              <w:t>Х Държавите членки не осигуряват предварително подходяща информация относно своите планове във връзка с преместването. Тази информация е абсолютно необходима, за да могат гръцките органи да повишат ефикасността на процеса.</w:t>
            </w:r>
          </w:p>
          <w:p>
            <w:pPr>
              <w:jc w:val="both"/>
              <w:rPr>
                <w:noProof/>
              </w:rPr>
            </w:pPr>
            <w:r>
              <w:rPr>
                <w:noProof/>
              </w:rPr>
              <w:t>Х Няколко държави членки изискват провеждането на системни интервюта във връзка със сигурността.</w:t>
            </w:r>
          </w:p>
        </w:tc>
      </w:tr>
      <w:tr>
        <w:trPr>
          <w:cantSplit/>
        </w:trPr>
        <w:tc>
          <w:tcPr>
            <w:tcW w:w="1720" w:type="dxa"/>
            <w:vMerge/>
            <w:tcBorders>
              <w:left w:val="single" w:sz="4" w:space="0" w:color="auto"/>
              <w:right w:val="single" w:sz="4" w:space="0" w:color="auto"/>
            </w:tcBorders>
          </w:tcPr>
          <w:p>
            <w:pPr>
              <w:jc w:val="both"/>
              <w:rPr>
                <w:b/>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 xml:space="preserve">Държавите членки следва да увеличат съществено своите ангажименти в рамките на програмата за преместване. </w:t>
            </w:r>
          </w:p>
          <w:p>
            <w:pPr>
              <w:jc w:val="both"/>
              <w:rPr>
                <w:noProof/>
              </w:rPr>
            </w:pPr>
          </w:p>
        </w:tc>
        <w:tc>
          <w:tcPr>
            <w:tcW w:w="4343" w:type="dxa"/>
            <w:tcBorders>
              <w:top w:val="single" w:sz="4" w:space="0" w:color="auto"/>
              <w:left w:val="single" w:sz="4" w:space="0" w:color="auto"/>
              <w:bottom w:val="single" w:sz="4" w:space="0" w:color="auto"/>
              <w:right w:val="single" w:sz="4" w:space="0" w:color="auto"/>
            </w:tcBorders>
          </w:tcPr>
          <w:p>
            <w:pPr>
              <w:jc w:val="both"/>
              <w:rPr>
                <w:noProof/>
              </w:rPr>
            </w:pPr>
            <w:r>
              <w:rPr>
                <w:noProof/>
              </w:rPr>
              <w:t xml:space="preserve">X Недостатъчен брой на ангажиментите за преместване и на преместените лица: към 2 март едва 16 държави членки са поели ангажименти за преместване на мигранти от Гърция. Следва също да се отбележи, че през последните няколко седмици броят на поетите от държавите членки ангажименти се увеличи значително и понастоящем надвишава броя на регистрираните в Гърция кандидати, които отговарят на условията за преместване. </w:t>
            </w:r>
          </w:p>
        </w:tc>
      </w:tr>
      <w:tr>
        <w:trPr>
          <w:cantSplit/>
        </w:trPr>
        <w:tc>
          <w:tcPr>
            <w:tcW w:w="1720" w:type="dxa"/>
            <w:vMerge/>
            <w:tcBorders>
              <w:left w:val="single" w:sz="4" w:space="0" w:color="auto"/>
              <w:right w:val="single" w:sz="4" w:space="0" w:color="auto"/>
            </w:tcBorders>
          </w:tcPr>
          <w:p>
            <w:pPr>
              <w:jc w:val="both"/>
              <w:rPr>
                <w:b/>
                <w:noProof/>
              </w:rPr>
            </w:pPr>
          </w:p>
        </w:tc>
        <w:tc>
          <w:tcPr>
            <w:tcW w:w="7744" w:type="dxa"/>
            <w:gridSpan w:val="2"/>
            <w:tcBorders>
              <w:top w:val="single" w:sz="4" w:space="0" w:color="auto"/>
              <w:left w:val="single" w:sz="4" w:space="0" w:color="auto"/>
              <w:bottom w:val="single" w:sz="4" w:space="0" w:color="auto"/>
              <w:right w:val="single" w:sz="4" w:space="0" w:color="auto"/>
            </w:tcBorders>
          </w:tcPr>
          <w:p>
            <w:pPr>
              <w:jc w:val="both"/>
              <w:rPr>
                <w:i/>
                <w:noProof/>
              </w:rPr>
            </w:pPr>
            <w:r>
              <w:rPr>
                <w:i/>
                <w:noProof/>
              </w:rPr>
              <w:t>Допълнителни мерки, определени след приемането на Съобщението през декември</w:t>
            </w:r>
          </w:p>
        </w:tc>
      </w:tr>
      <w:tr>
        <w:trPr>
          <w:cantSplit/>
        </w:trPr>
        <w:tc>
          <w:tcPr>
            <w:tcW w:w="1720" w:type="dxa"/>
            <w:vMerge/>
            <w:tcBorders>
              <w:left w:val="single" w:sz="4" w:space="0" w:color="auto"/>
              <w:right w:val="single" w:sz="4" w:space="0" w:color="auto"/>
            </w:tcBorders>
          </w:tcPr>
          <w:p>
            <w:pPr>
              <w:jc w:val="both"/>
              <w:rPr>
                <w:b/>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Общо 123 кандидати за преместване са се укрили, а 88 са оттеглили своите заявления от въвеждането на схемата досега.</w:t>
            </w:r>
          </w:p>
        </w:tc>
        <w:tc>
          <w:tcPr>
            <w:tcW w:w="4343" w:type="dxa"/>
            <w:tcBorders>
              <w:top w:val="single" w:sz="4" w:space="0" w:color="auto"/>
              <w:left w:val="single" w:sz="4" w:space="0" w:color="auto"/>
              <w:bottom w:val="single" w:sz="4" w:space="0" w:color="auto"/>
              <w:right w:val="single" w:sz="4" w:space="0" w:color="auto"/>
            </w:tcBorders>
          </w:tcPr>
          <w:p>
            <w:pPr>
              <w:jc w:val="both"/>
              <w:rPr>
                <w:noProof/>
              </w:rPr>
            </w:pPr>
            <w:r>
              <w:rPr>
                <w:noProof/>
              </w:rPr>
              <w:t>X Гърция следва да гарантира, че кандидатите за убежище, които подлежат на преместване, се събират в специално предназначени за целта структури, в които техните случаи могат да бъдат наблюдавани отблизо.</w:t>
            </w:r>
          </w:p>
          <w:p>
            <w:pPr>
              <w:jc w:val="both"/>
              <w:rPr>
                <w:noProof/>
              </w:rPr>
            </w:pPr>
            <w:r>
              <w:rPr>
                <w:noProof/>
              </w:rPr>
              <w:t>X Държавите членки, в сътрудничество с EASO, следва да приключат изготвянето на целеви информационни пакети. Тези пакети следва да бъдат предоставяни на кандидатите за убежище, които подлежат на преместване, след като бъдат уведомени за държавата на местоназначение (вж. по-горе).</w:t>
            </w:r>
          </w:p>
        </w:tc>
      </w:tr>
      <w:tr>
        <w:trPr>
          <w:cantSplit/>
        </w:trPr>
        <w:tc>
          <w:tcPr>
            <w:tcW w:w="1720" w:type="dxa"/>
            <w:vMerge/>
            <w:tcBorders>
              <w:left w:val="single" w:sz="4" w:space="0" w:color="auto"/>
              <w:right w:val="single" w:sz="4" w:space="0" w:color="auto"/>
            </w:tcBorders>
          </w:tcPr>
          <w:p>
            <w:pPr>
              <w:jc w:val="both"/>
              <w:rPr>
                <w:b/>
                <w:i/>
                <w:noProof/>
              </w:rPr>
            </w:pPr>
          </w:p>
        </w:tc>
        <w:tc>
          <w:tcPr>
            <w:tcW w:w="3401" w:type="dxa"/>
            <w:tcBorders>
              <w:top w:val="single" w:sz="4" w:space="0" w:color="auto"/>
              <w:left w:val="single" w:sz="4" w:space="0" w:color="auto"/>
              <w:bottom w:val="single" w:sz="4" w:space="0" w:color="auto"/>
              <w:right w:val="single" w:sz="4" w:space="0" w:color="auto"/>
            </w:tcBorders>
          </w:tcPr>
          <w:p>
            <w:pPr>
              <w:jc w:val="both"/>
              <w:rPr>
                <w:i/>
                <w:noProof/>
              </w:rPr>
            </w:pPr>
            <w:r>
              <w:rPr>
                <w:noProof/>
              </w:rPr>
              <w:t>Едно непридружено ненавършило пълнолетие лице беше прехвърлено във Финландия. Все още се чака отговор по 10 искания, 3 от които бяха приети, отново от Финландия, след началото на процеса по преместване.</w:t>
            </w:r>
          </w:p>
        </w:tc>
        <w:tc>
          <w:tcPr>
            <w:tcW w:w="4343" w:type="dxa"/>
            <w:tcBorders>
              <w:top w:val="single" w:sz="4" w:space="0" w:color="auto"/>
              <w:left w:val="single" w:sz="4" w:space="0" w:color="auto"/>
              <w:bottom w:val="single" w:sz="4" w:space="0" w:color="auto"/>
              <w:right w:val="single" w:sz="4" w:space="0" w:color="auto"/>
            </w:tcBorders>
          </w:tcPr>
          <w:p>
            <w:pPr>
              <w:jc w:val="both"/>
              <w:rPr>
                <w:noProof/>
              </w:rPr>
            </w:pPr>
            <w:r>
              <w:rPr>
                <w:noProof/>
              </w:rPr>
              <w:t>X Гърция следва да установи специални процедури за прехвърлянето на непридружени ненавършили пълнолетие лица.</w:t>
            </w:r>
          </w:p>
          <w:p>
            <w:pPr>
              <w:jc w:val="both"/>
              <w:rPr>
                <w:noProof/>
              </w:rPr>
            </w:pPr>
            <w:r>
              <w:rPr>
                <w:noProof/>
              </w:rPr>
              <w:t xml:space="preserve">X Държавите членки следва да поемат ангажимент да предоставят специални места за непридружени ненавършили пълнолетие лица. </w:t>
            </w:r>
          </w:p>
        </w:tc>
      </w:tr>
      <w:tr>
        <w:trPr>
          <w:cantSplit/>
        </w:trPr>
        <w:tc>
          <w:tcPr>
            <w:tcW w:w="1720" w:type="dxa"/>
            <w:tcBorders>
              <w:left w:val="single" w:sz="4" w:space="0" w:color="auto"/>
              <w:right w:val="single" w:sz="4" w:space="0" w:color="auto"/>
            </w:tcBorders>
          </w:tcPr>
          <w:p>
            <w:pPr>
              <w:jc w:val="both"/>
              <w:rPr>
                <w:b/>
                <w:i/>
                <w:noProof/>
              </w:rPr>
            </w:pPr>
          </w:p>
        </w:tc>
        <w:tc>
          <w:tcPr>
            <w:tcW w:w="3401" w:type="dxa"/>
            <w:tcBorders>
              <w:top w:val="single" w:sz="4" w:space="0" w:color="auto"/>
              <w:left w:val="single" w:sz="4" w:space="0" w:color="auto"/>
              <w:bottom w:val="single" w:sz="4" w:space="0" w:color="auto"/>
              <w:right w:val="single" w:sz="4" w:space="0" w:color="auto"/>
            </w:tcBorders>
          </w:tcPr>
          <w:p>
            <w:pPr>
              <w:jc w:val="both"/>
              <w:rPr>
                <w:i/>
                <w:noProof/>
              </w:rPr>
            </w:pPr>
            <w:r>
              <w:rPr>
                <w:noProof/>
              </w:rPr>
              <w:t>Някои държави членки се позоваха на критерии, различни от предвидените в Решението на Съвета, за да отхвърлят досиета за преместване.</w:t>
            </w:r>
          </w:p>
        </w:tc>
        <w:tc>
          <w:tcPr>
            <w:tcW w:w="4343" w:type="dxa"/>
            <w:tcBorders>
              <w:top w:val="single" w:sz="4" w:space="0" w:color="auto"/>
              <w:left w:val="single" w:sz="4" w:space="0" w:color="auto"/>
              <w:bottom w:val="single" w:sz="4" w:space="0" w:color="auto"/>
              <w:right w:val="single" w:sz="4" w:space="0" w:color="auto"/>
            </w:tcBorders>
          </w:tcPr>
          <w:p>
            <w:pPr>
              <w:jc w:val="both"/>
              <w:rPr>
                <w:noProof/>
              </w:rPr>
            </w:pPr>
            <w:r>
              <w:rPr>
                <w:noProof/>
              </w:rPr>
              <w:t>Х Държавите членки следва стриктно да прилагат критериите, предвидени съгласно Решението на Съвета, когато отхвърлят заявления за преместване. По-специално заявленията за преместване не трябва да се отхвърлят поради причини, свързани с изразени от държавите членки предпочитания по отношение на профила на кандидатите за преместване.</w:t>
            </w:r>
          </w:p>
        </w:tc>
      </w:tr>
      <w:tr>
        <w:trPr>
          <w:cantSplit/>
          <w:trHeight w:val="385"/>
        </w:trPr>
        <w:tc>
          <w:tcPr>
            <w:tcW w:w="1720" w:type="dxa"/>
            <w:vMerge w:val="restart"/>
            <w:tcBorders>
              <w:top w:val="single" w:sz="4" w:space="0" w:color="auto"/>
              <w:left w:val="single" w:sz="4" w:space="0" w:color="auto"/>
              <w:right w:val="single" w:sz="4" w:space="0" w:color="auto"/>
            </w:tcBorders>
          </w:tcPr>
          <w:p>
            <w:pPr>
              <w:jc w:val="both"/>
              <w:rPr>
                <w:b/>
                <w:bCs/>
                <w:noProof/>
              </w:rPr>
            </w:pPr>
            <w:r>
              <w:rPr>
                <w:b/>
                <w:noProof/>
              </w:rPr>
              <w:t xml:space="preserve">Връщане </w:t>
            </w:r>
          </w:p>
        </w:tc>
        <w:tc>
          <w:tcPr>
            <w:tcW w:w="340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 xml:space="preserve">Гръцките органи трябва да разработят ясна стратегия за принудителните връщания, в която да се определят третите държави, с които приоритетно трябва да се осъществяват контакти и сътрудничество, и да се предвиждат мерки за преодоляване на недостатъците на тяхната система за задържане. Гърция трябва да рационализира административните си процедури, за да осигури възможност за бързо връщане. </w:t>
            </w:r>
          </w:p>
          <w:p>
            <w:pPr>
              <w:jc w:val="both"/>
              <w:rPr>
                <w:noProof/>
              </w:rPr>
            </w:pPr>
          </w:p>
        </w:tc>
        <w:tc>
          <w:tcPr>
            <w:tcW w:w="434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Гърция използва опростени процедури за издаване на решения за връщане на граждани на трети държави, които нямат право на закрила.</w:t>
            </w:r>
          </w:p>
          <w:p>
            <w:pPr>
              <w:jc w:val="both"/>
              <w:rPr>
                <w:noProof/>
              </w:rPr>
            </w:pPr>
            <w:r>
              <w:rPr>
                <w:noProof/>
              </w:rPr>
              <w:sym w:font="Wingdings" w:char="F0FC"/>
            </w:r>
            <w:r>
              <w:rPr>
                <w:noProof/>
              </w:rPr>
              <w:t xml:space="preserve"> На 15 февруари Frontex започна изпълнението на оперативен план за оказване на подкрепа на Гърция, Италия и България.</w:t>
            </w:r>
          </w:p>
          <w:p>
            <w:pPr>
              <w:jc w:val="both"/>
              <w:rPr>
                <w:noProof/>
              </w:rPr>
            </w:pPr>
            <w:r>
              <w:rPr>
                <w:noProof/>
              </w:rPr>
              <w:t>Х Заедно с Комисията и с техническата помощ на Frontex Гърция следва приоритетно да съгласува ясен график за изпълнението на оперативния план за дейности по връщане и обратно приемане, който се основава на ясно планиране и оценка на потребностите от страна на Гърция и чрез който се оказва подкрепа, според нуждите, за всички елементи от процедурата по връщане.</w:t>
            </w:r>
          </w:p>
          <w:p>
            <w:pPr>
              <w:jc w:val="both"/>
              <w:rPr>
                <w:noProof/>
              </w:rPr>
            </w:pPr>
            <w:r>
              <w:rPr>
                <w:noProof/>
              </w:rPr>
              <w:t>Х Гърция следва да използва напълно възможностите, предвидени в гръцкото законодателство в съответствие с Директивата относно връщането, за да осигури задържането на незаконни мигранти в рамките на 18-месечния максимален срок, така че да се избегне прекратяването на задържането преди ефективното им извеждане.</w:t>
            </w:r>
          </w:p>
          <w:p>
            <w:pPr>
              <w:jc w:val="both"/>
              <w:rPr>
                <w:noProof/>
              </w:rPr>
            </w:pPr>
            <w:r>
              <w:rPr>
                <w:noProof/>
              </w:rPr>
              <w:t>Х Гърция следва да използва незабавно и напълно възможностите за получаване на подкрепа по линия на финансирани от ЕС програми за връщане, и по-специално Европейския интегриран подход относно връщането към трети страни (EURINT), Европейския инструмент за реинтеграция (ERIN) и Европейската мрежа на служителите за връзка по въпросите на връщането (EURLO).</w:t>
            </w:r>
          </w:p>
        </w:tc>
      </w:tr>
      <w:tr>
        <w:trPr>
          <w:cantSplit/>
          <w:trHeight w:val="384"/>
        </w:trPr>
        <w:tc>
          <w:tcPr>
            <w:tcW w:w="1720" w:type="dxa"/>
            <w:vMerge/>
            <w:tcBorders>
              <w:left w:val="single" w:sz="4" w:space="0" w:color="auto"/>
              <w:right w:val="single" w:sz="4" w:space="0" w:color="auto"/>
            </w:tcBorders>
            <w:vAlign w:val="center"/>
            <w:hideMark/>
          </w:tcPr>
          <w:p>
            <w:pPr>
              <w:jc w:val="both"/>
              <w:rPr>
                <w:b/>
                <w:bCs/>
                <w:noProof/>
              </w:rPr>
            </w:pPr>
          </w:p>
        </w:tc>
        <w:tc>
          <w:tcPr>
            <w:tcW w:w="340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Гърция трябва да засили принудителното и доброволното връщане, както и да предприеме необходимите мерки, за да гарантира незабавното усвояване на наличното финансиране по линия на националната програма на фонд „Убежище, миграция и интеграция“.</w:t>
            </w:r>
          </w:p>
          <w:p>
            <w:pPr>
              <w:jc w:val="both"/>
              <w:rPr>
                <w:noProof/>
              </w:rPr>
            </w:pPr>
          </w:p>
        </w:tc>
        <w:tc>
          <w:tcPr>
            <w:tcW w:w="434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По линия на фонд „Убежище, миграция и интеграция“ е финансирана спешна програма за подпомагане на доброволното връщане, с която ще се окаже подкрепа на 1 000 мигранти да се върнат доброволно в своите държави. Над 1 400 мигранти са се регистрирали за доброволно напускане към настоящия момент. </w:t>
            </w:r>
          </w:p>
          <w:p>
            <w:pPr>
              <w:jc w:val="both"/>
              <w:rPr>
                <w:noProof/>
              </w:rPr>
            </w:pPr>
            <w:r>
              <w:rPr>
                <w:noProof/>
              </w:rPr>
              <w:t xml:space="preserve">X Процедурата за възлагане на обществена поръчка за новата програма за подпомагане на доброволното връщане, която следва да се финансира по линия на националната програма по фонд „Убежище, миграция и интеграция“, беше завършена, а процесът на възлагане следва да приключи възможно най-скоро. </w:t>
            </w:r>
          </w:p>
          <w:p>
            <w:pPr>
              <w:jc w:val="both"/>
              <w:rPr>
                <w:noProof/>
              </w:rPr>
            </w:pPr>
            <w:r>
              <w:rPr>
                <w:noProof/>
              </w:rPr>
              <w:t>Х По линия на фонд „Убежище, миграция и интеграция“ е финансирана спешна програма за принудително връщане (която ще бъде изпълнявана от гръцката полиция). Процедурата за възлагане на обществена поръчка за превоза (осигуряване на билети) във връзка с операциите по принудително връщане чрез търговски полети е обаче все още в ход и трябва да бъде приключена без отлагане.</w:t>
            </w:r>
          </w:p>
        </w:tc>
      </w:tr>
      <w:tr>
        <w:trPr>
          <w:cantSplit/>
          <w:trHeight w:val="384"/>
        </w:trPr>
        <w:tc>
          <w:tcPr>
            <w:tcW w:w="1720" w:type="dxa"/>
            <w:vMerge/>
            <w:tcBorders>
              <w:left w:val="single" w:sz="4" w:space="0" w:color="auto"/>
              <w:right w:val="single" w:sz="4" w:space="0" w:color="auto"/>
            </w:tcBorders>
            <w:vAlign w:val="center"/>
            <w:hideMark/>
          </w:tcPr>
          <w:p>
            <w:pPr>
              <w:jc w:val="both"/>
              <w:rPr>
                <w:b/>
                <w:bCs/>
                <w:noProof/>
              </w:rPr>
            </w:pPr>
          </w:p>
        </w:tc>
        <w:tc>
          <w:tcPr>
            <w:tcW w:w="340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 xml:space="preserve">Дейностите на гръцките органи във връзка с връщането следва да бъдат съсредоточени повече върху гражданите на най-значимите в контекста на горещите точки държави (пакистанци, но също и афганистанци, иранци и бангладешци), вместо както досега върху граждани на Албания и бившата югославска република Македония. </w:t>
            </w:r>
          </w:p>
          <w:p>
            <w:pPr>
              <w:jc w:val="both"/>
              <w:rPr>
                <w:noProof/>
              </w:rPr>
            </w:pPr>
          </w:p>
        </w:tc>
        <w:tc>
          <w:tcPr>
            <w:tcW w:w="4343" w:type="dxa"/>
            <w:tcBorders>
              <w:top w:val="single" w:sz="4" w:space="0" w:color="auto"/>
              <w:left w:val="single" w:sz="4" w:space="0" w:color="auto"/>
              <w:bottom w:val="single" w:sz="4" w:space="0" w:color="auto"/>
              <w:right w:val="single" w:sz="4" w:space="0" w:color="auto"/>
            </w:tcBorders>
          </w:tcPr>
          <w:p>
            <w:pPr>
              <w:jc w:val="both"/>
              <w:rPr>
                <w:noProof/>
              </w:rPr>
            </w:pPr>
            <w:r>
              <w:rPr>
                <w:noProof/>
              </w:rPr>
              <w:t>Х Вж. по-горе по отношение на оперативния план. В един такъв план следва да се отчетат гражданствата на лицата, които понастоящем влизат в Гърция като част от незаконните миграционни потоци и не отговарят на профила на бежанец.</w:t>
            </w:r>
          </w:p>
          <w:p>
            <w:pPr>
              <w:jc w:val="both"/>
              <w:rPr>
                <w:noProof/>
              </w:rPr>
            </w:pPr>
          </w:p>
        </w:tc>
      </w:tr>
      <w:tr>
        <w:trPr>
          <w:cantSplit/>
          <w:trHeight w:val="384"/>
        </w:trPr>
        <w:tc>
          <w:tcPr>
            <w:tcW w:w="1720" w:type="dxa"/>
            <w:vMerge/>
            <w:tcBorders>
              <w:left w:val="single" w:sz="4" w:space="0" w:color="auto"/>
              <w:right w:val="single" w:sz="4" w:space="0" w:color="auto"/>
            </w:tcBorders>
            <w:vAlign w:val="center"/>
            <w:hideMark/>
          </w:tcPr>
          <w:p>
            <w:pPr>
              <w:jc w:val="both"/>
              <w:rPr>
                <w:b/>
                <w:bCs/>
                <w:noProof/>
              </w:rPr>
            </w:pPr>
          </w:p>
        </w:tc>
        <w:tc>
          <w:tcPr>
            <w:tcW w:w="340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 xml:space="preserve">Информацията относно подпомаганите доброволни връщания следва да бъде популяризирана сред мигрантите, които вече пребивават в горещите точки. Трябва да бъде обмислено и провеждането на информационна кампания в районите в близост до границата с бившата югославска република Македония. </w:t>
            </w:r>
          </w:p>
          <w:p>
            <w:pPr>
              <w:jc w:val="both"/>
              <w:rPr>
                <w:noProof/>
              </w:rPr>
            </w:pPr>
          </w:p>
        </w:tc>
        <w:tc>
          <w:tcPr>
            <w:tcW w:w="434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Международната организация по миграция (МОМ) отвори специални бюра в Лесбос и е представена в Самос.</w:t>
            </w:r>
          </w:p>
          <w:p>
            <w:pPr>
              <w:jc w:val="both"/>
              <w:rPr>
                <w:noProof/>
              </w:rPr>
            </w:pPr>
            <w:r>
              <w:rPr>
                <w:noProof/>
              </w:rPr>
              <w:t>X В Централна Гърция и други горещи точки спешно следва да бъдат създадени специални точки за пристигащи мигранти, върнати от Идомени, за да бъде осигурена възможност за подпомагане на доброволното им връщане.</w:t>
            </w:r>
          </w:p>
          <w:p>
            <w:pPr>
              <w:jc w:val="both"/>
              <w:rPr>
                <w:noProof/>
              </w:rPr>
            </w:pPr>
            <w:r>
              <w:rPr>
                <w:noProof/>
              </w:rPr>
              <w:t>X МОМ следва да има представители във всички центрове за задържане в Гърция, за да предлага варианта за подпомагано доброволно връщане на мигранти, които подлежат на връщане.</w:t>
            </w:r>
          </w:p>
        </w:tc>
      </w:tr>
      <w:tr>
        <w:trPr>
          <w:cantSplit/>
          <w:trHeight w:val="384"/>
        </w:trPr>
        <w:tc>
          <w:tcPr>
            <w:tcW w:w="1720" w:type="dxa"/>
            <w:vMerge/>
            <w:tcBorders>
              <w:left w:val="single" w:sz="4" w:space="0" w:color="auto"/>
              <w:right w:val="single" w:sz="4" w:space="0" w:color="auto"/>
            </w:tcBorders>
            <w:vAlign w:val="center"/>
          </w:tcPr>
          <w:p>
            <w:pPr>
              <w:jc w:val="both"/>
              <w:rPr>
                <w:b/>
                <w:bCs/>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 xml:space="preserve">Европейската комисия, подпомагана от държавите членки, следва допълнително да засили сътрудничеството и контактите с трети държави, за да се улесни обратното приемане на мигранти, които нямат право на международна закрила. Това включва по-специално и допълнителни усилия, за да се гарантира обратното приемане от Турция на граждани на трети държави. </w:t>
            </w:r>
          </w:p>
          <w:p>
            <w:pPr>
              <w:jc w:val="both"/>
              <w:rPr>
                <w:noProof/>
              </w:rPr>
            </w:pPr>
          </w:p>
        </w:tc>
        <w:tc>
          <w:tcPr>
            <w:tcW w:w="4343" w:type="dxa"/>
            <w:tcBorders>
              <w:top w:val="single" w:sz="4" w:space="0" w:color="auto"/>
              <w:left w:val="single" w:sz="4" w:space="0" w:color="auto"/>
              <w:bottom w:val="single" w:sz="4" w:space="0" w:color="auto"/>
              <w:right w:val="single" w:sz="4" w:space="0" w:color="auto"/>
            </w:tcBorders>
          </w:tcPr>
          <w:p>
            <w:pPr>
              <w:jc w:val="both"/>
              <w:rPr>
                <w:noProof/>
                <w:spacing w:val="-6"/>
              </w:rPr>
            </w:pPr>
            <w:r>
              <w:rPr>
                <w:noProof/>
                <w:spacing w:val="-6"/>
              </w:rPr>
              <w:sym w:font="Wingdings" w:char="F0FC"/>
            </w:r>
            <w:r>
              <w:rPr>
                <w:noProof/>
                <w:spacing w:val="-6"/>
              </w:rPr>
              <w:t xml:space="preserve"> Съвместният комитет за обратно приемане приветства резултатите от скорошните разговори с пакистанските органи. Следващата стъпка, която трябва да бъде предприета като приоритет, е да се затвърди положителния напредък посредством нови полети от Гърция за Пакистан през следващите седмици.</w:t>
            </w:r>
          </w:p>
          <w:p>
            <w:pPr>
              <w:jc w:val="both"/>
              <w:rPr>
                <w:noProof/>
                <w:spacing w:val="-6"/>
              </w:rPr>
            </w:pPr>
            <w:r>
              <w:rPr>
                <w:noProof/>
                <w:spacing w:val="-6"/>
              </w:rPr>
              <w:sym w:font="Wingdings" w:char="F0FC"/>
            </w:r>
            <w:r>
              <w:rPr>
                <w:noProof/>
                <w:spacing w:val="-6"/>
              </w:rPr>
              <w:t xml:space="preserve"> На 1 и 2 март 267 незаконни мигранти бяха приети обратно от Турция.</w:t>
            </w:r>
          </w:p>
          <w:p>
            <w:pPr>
              <w:jc w:val="both"/>
              <w:rPr>
                <w:noProof/>
                <w:spacing w:val="-6"/>
              </w:rPr>
            </w:pPr>
            <w:r>
              <w:rPr>
                <w:noProof/>
                <w:spacing w:val="-6"/>
              </w:rPr>
              <w:t xml:space="preserve">Х Гръцките органи обаче следва да увеличат своите усилия, по-специално като ускорят подаването на исканията за обратно приемане до Турция и сведат до минимум риска мигрантите да се укрият по време на процедурата. Турция също така следва да си сътрудничи по-тясно с гръцките органи с цел да се повишат съществено броят на мигрантите, допуснати за обратно приемане, и броят на реално приетите обратно мигранти (през 2015 г. Турция е допуснала 5 148 искания, но е приела обратно само 8 лица). </w:t>
            </w:r>
          </w:p>
          <w:p>
            <w:pPr>
              <w:jc w:val="both"/>
              <w:rPr>
                <w:noProof/>
                <w:spacing w:val="-6"/>
              </w:rPr>
            </w:pPr>
            <w:r>
              <w:rPr>
                <w:noProof/>
                <w:spacing w:val="-6"/>
              </w:rPr>
              <w:t>Х Frontex, подпомагана от държавите членки, следва бързо да установи практически договорености с Гърция във връзка с новия оперативен план, така че да съдейства за навременното подаване на искания за обратно приемане до Турция и за превоза на мигранти от мястото, където са задържани, и/или от центровете за задържане до едно от трите места за напускане, договорени в гръцко-турския протокол.</w:t>
            </w:r>
          </w:p>
          <w:p>
            <w:pPr>
              <w:jc w:val="both"/>
              <w:rPr>
                <w:noProof/>
                <w:spacing w:val="-6"/>
              </w:rPr>
            </w:pPr>
            <w:r>
              <w:rPr>
                <w:noProof/>
                <w:spacing w:val="-6"/>
              </w:rPr>
              <w:t>Х Гърция следва да разгледа възможността да покани Турция да определи служител за връзка, който да бъде изпратен в Гърция, с цел улесняване на исканията за обратно приемане.</w:t>
            </w:r>
          </w:p>
          <w:p>
            <w:pPr>
              <w:jc w:val="both"/>
              <w:rPr>
                <w:noProof/>
              </w:rPr>
            </w:pPr>
            <w:r>
              <w:rPr>
                <w:noProof/>
                <w:spacing w:val="-6"/>
              </w:rPr>
              <w:t>Х Гърция следва да осигури цялостното физическо присъствие на мигрантите, допуснати от Турция за обратно приемане (при необходимост чрез своевременно задържане преди извеждането от територията на страната).</w:t>
            </w:r>
          </w:p>
        </w:tc>
      </w:tr>
      <w:tr>
        <w:trPr>
          <w:cantSplit/>
          <w:trHeight w:val="384"/>
        </w:trPr>
        <w:tc>
          <w:tcPr>
            <w:tcW w:w="1720" w:type="dxa"/>
            <w:vMerge/>
            <w:tcBorders>
              <w:left w:val="single" w:sz="4" w:space="0" w:color="auto"/>
              <w:right w:val="single" w:sz="4" w:space="0" w:color="auto"/>
            </w:tcBorders>
            <w:vAlign w:val="center"/>
          </w:tcPr>
          <w:p>
            <w:pPr>
              <w:jc w:val="both"/>
              <w:rPr>
                <w:b/>
                <w:bCs/>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Frontex следва да гарантира, че съвместните полети за връщане правят редовни междинни кацания в Гърция с цел извършване на операции по връщане.</w:t>
            </w:r>
          </w:p>
          <w:p>
            <w:pPr>
              <w:jc w:val="both"/>
              <w:rPr>
                <w:noProof/>
              </w:rPr>
            </w:pPr>
          </w:p>
        </w:tc>
        <w:tc>
          <w:tcPr>
            <w:tcW w:w="434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Frontex, подкрепяна от държавите членки, координира и подпомага всички съвместни операции по връщане с междинни кацания в Гърция. </w:t>
            </w:r>
          </w:p>
          <w:p>
            <w:pPr>
              <w:jc w:val="both"/>
              <w:rPr>
                <w:noProof/>
              </w:rPr>
            </w:pPr>
            <w:r>
              <w:rPr>
                <w:noProof/>
              </w:rPr>
              <w:sym w:font="Wingdings" w:char="F0FC"/>
            </w:r>
            <w:r>
              <w:rPr>
                <w:noProof/>
              </w:rPr>
              <w:t xml:space="preserve"> За 16 март Frontex планира съвместна операция по връщане с местоназначение Пакистан и междинно кацане в Гърция като първа стъпка от поредица нови дейности за активизиране на съвместните операции по връщане, организирани от Frontex, с участието на Гърция.</w:t>
            </w:r>
          </w:p>
          <w:p>
            <w:pPr>
              <w:jc w:val="both"/>
              <w:rPr>
                <w:noProof/>
              </w:rPr>
            </w:pPr>
            <w:r>
              <w:rPr>
                <w:noProof/>
              </w:rPr>
              <w:t>Х Гръцките органи трябва редовно и своевременно да съобщават на Frontex специфичните си потребности, за да могат да се планират и изпълняват съвместни операции по връщане.</w:t>
            </w:r>
          </w:p>
        </w:tc>
      </w:tr>
      <w:tr>
        <w:trPr>
          <w:cantSplit/>
          <w:trHeight w:val="384"/>
        </w:trPr>
        <w:tc>
          <w:tcPr>
            <w:tcW w:w="1720" w:type="dxa"/>
            <w:vMerge/>
            <w:tcBorders>
              <w:left w:val="single" w:sz="4" w:space="0" w:color="auto"/>
              <w:bottom w:val="single" w:sz="4" w:space="0" w:color="auto"/>
              <w:right w:val="single" w:sz="4" w:space="0" w:color="auto"/>
            </w:tcBorders>
            <w:vAlign w:val="center"/>
          </w:tcPr>
          <w:p>
            <w:pPr>
              <w:jc w:val="both"/>
              <w:rPr>
                <w:b/>
                <w:bCs/>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Необходимо е спешно да бъдат подобрени условията в центровете за задържане.</w:t>
            </w:r>
          </w:p>
          <w:p>
            <w:pPr>
              <w:jc w:val="both"/>
              <w:rPr>
                <w:noProof/>
              </w:rPr>
            </w:pPr>
          </w:p>
        </w:tc>
        <w:tc>
          <w:tcPr>
            <w:tcW w:w="434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Гръцките органи изготвят рамков договор за услуги за предоставяне на храна за центровете от затворен тип за настаняване преди извеждане за периода 2016—2018 г. Въз основа на правните разпоредби, приети на 29 януари 2016 г., гръцката полиция се ангажира да осигурява храна до сключването на съответния договор.</w:t>
            </w:r>
          </w:p>
          <w:p>
            <w:pPr>
              <w:jc w:val="both"/>
              <w:rPr>
                <w:noProof/>
              </w:rPr>
            </w:pPr>
            <w:r>
              <w:rPr>
                <w:noProof/>
              </w:rPr>
              <w:t xml:space="preserve">X В допълнение към услугите за предоставяне на храна, някои центрове от затворен тип за настаняване преди извеждане, по-специално тези на островите, следва при необходимост да бъдат реновирани и да се поддържат правилно, за да се осигури адекватно настаняване на мигрантите в съответствие със стандартите на ЕС. Когато се смята за необходимо, следва да се идентифицират и разработят нови места за изграждане на центрове за задържане на островите, по-специално с оглед на бързото обратно приемане от Турция. </w:t>
            </w:r>
          </w:p>
        </w:tc>
      </w:tr>
      <w:tr>
        <w:trPr>
          <w:cantSplit/>
          <w:trHeight w:val="384"/>
        </w:trPr>
        <w:tc>
          <w:tcPr>
            <w:tcW w:w="1720" w:type="dxa"/>
            <w:tcBorders>
              <w:left w:val="single" w:sz="4" w:space="0" w:color="auto"/>
              <w:bottom w:val="single" w:sz="4" w:space="0" w:color="auto"/>
              <w:right w:val="single" w:sz="4" w:space="0" w:color="auto"/>
            </w:tcBorders>
            <w:vAlign w:val="center"/>
          </w:tcPr>
          <w:p>
            <w:pPr>
              <w:jc w:val="both"/>
              <w:rPr>
                <w:b/>
                <w:bCs/>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Европейската комисия, подпомагана от държавите членки, следва допълнително да засили сътрудничеството и контактите с трети държави, за да се улесни обратното приемане на мигранти, които нямат право на международна закрила, включително чрез целево използване на Доверителния фонд за Африка.</w:t>
            </w:r>
          </w:p>
        </w:tc>
        <w:tc>
          <w:tcPr>
            <w:tcW w:w="434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Заседания на съвместните комитети с Турция и Пакистан за обратно приемане бяха проведени съответно на 19 януари и на 2 февруари 2016 г. Комисията посети Афганистан и ще посети Нигерия с цел обсъждане на обратното приемане.</w:t>
            </w:r>
          </w:p>
        </w:tc>
      </w:tr>
      <w:tr>
        <w:trPr>
          <w:cantSplit/>
          <w:trHeight w:val="384"/>
        </w:trPr>
        <w:tc>
          <w:tcPr>
            <w:tcW w:w="1720" w:type="dxa"/>
            <w:vMerge w:val="restart"/>
            <w:tcBorders>
              <w:top w:val="single" w:sz="4" w:space="0" w:color="auto"/>
              <w:left w:val="single" w:sz="4" w:space="0" w:color="auto"/>
              <w:bottom w:val="single" w:sz="4" w:space="0" w:color="auto"/>
              <w:right w:val="single" w:sz="4" w:space="0" w:color="auto"/>
            </w:tcBorders>
          </w:tcPr>
          <w:p>
            <w:pPr>
              <w:jc w:val="both"/>
              <w:rPr>
                <w:b/>
                <w:bCs/>
                <w:noProof/>
              </w:rPr>
            </w:pPr>
            <w:r>
              <w:rPr>
                <w:b/>
                <w:noProof/>
              </w:rPr>
              <w:t xml:space="preserve">Подобряване на управлението на границите </w:t>
            </w:r>
          </w:p>
        </w:tc>
        <w:tc>
          <w:tcPr>
            <w:tcW w:w="340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Гръцките органи и Frontex следва бързо да определят оперативните детайли относно разполагането на служителите на Frontex по северната граница на Гърция.</w:t>
            </w:r>
          </w:p>
          <w:p>
            <w:pPr>
              <w:jc w:val="both"/>
              <w:rPr>
                <w:noProof/>
              </w:rPr>
            </w:pPr>
          </w:p>
        </w:tc>
        <w:tc>
          <w:tcPr>
            <w:tcW w:w="434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Понастоящем е в ход операцията на Frontex по северната граница на Гърция. Както беше договорено с Frontex, Гърция е назначила 105 полицейски служители, включително 5 ръководители на екипи, които да работят заедно с 25-те служители на Frontex. Приключи ремонтът на помещенията за съвместни операции на Frontex и гръцката полиция на старата железопътна гара в близост до Идомени.</w:t>
            </w:r>
          </w:p>
          <w:p>
            <w:pPr>
              <w:jc w:val="both"/>
              <w:rPr>
                <w:noProof/>
              </w:rPr>
            </w:pPr>
            <w:r>
              <w:rPr>
                <w:noProof/>
              </w:rPr>
              <w:t>X Досега Frontex успя да разположи едва 9 от тези 25 служители поради пропуски в ангажиментите, поети от държавите членки. За възможното разширяване на обхвата на действията на Frontex в този регион също ще са необходими по-нататъшни ангажименти от държавите членки.</w:t>
            </w:r>
          </w:p>
          <w:p>
            <w:pPr>
              <w:jc w:val="both"/>
              <w:rPr>
                <w:noProof/>
              </w:rPr>
            </w:pPr>
            <w:r>
              <w:rPr>
                <w:noProof/>
              </w:rPr>
              <w:sym w:font="Wingdings" w:char="F0FC"/>
            </w:r>
            <w:r>
              <w:rPr>
                <w:noProof/>
              </w:rPr>
              <w:t xml:space="preserve"> Frontex ще подпомага гръцките органи при проверката на самоличността на граждани на трети държави и при проверката дали те са регистрирани в съответните бази данни.</w:t>
            </w:r>
          </w:p>
        </w:tc>
      </w:tr>
      <w:tr>
        <w:trPr>
          <w:cantSplit/>
          <w:trHeight w:val="384"/>
        </w:trPr>
        <w:tc>
          <w:tcPr>
            <w:tcW w:w="1720" w:type="dxa"/>
            <w:vMerge/>
            <w:tcBorders>
              <w:top w:val="single" w:sz="4" w:space="0" w:color="auto"/>
              <w:left w:val="single" w:sz="4" w:space="0" w:color="auto"/>
              <w:bottom w:val="single" w:sz="4" w:space="0" w:color="auto"/>
              <w:right w:val="single" w:sz="4" w:space="0" w:color="auto"/>
            </w:tcBorders>
            <w:vAlign w:val="center"/>
            <w:hideMark/>
          </w:tcPr>
          <w:p>
            <w:pPr>
              <w:jc w:val="both"/>
              <w:rPr>
                <w:b/>
                <w:bCs/>
                <w:noProof/>
              </w:rPr>
            </w:pPr>
          </w:p>
        </w:tc>
        <w:tc>
          <w:tcPr>
            <w:tcW w:w="340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Освен активирането на RABIT държавите членки следва незабавно да предоставят персонал и оборудване, за да се гарантира, че са напълно удовлетворени установените от Гърция и Frontex потребности.</w:t>
            </w:r>
          </w:p>
        </w:tc>
        <w:tc>
          <w:tcPr>
            <w:tcW w:w="434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Операцията за бърза намеса „Посейдон“ на островите в Егейско море започна на 28.12.2015 г. Понастоящем в операцията участват 775 командировани служители (243 членове на екипажи, 248 експерти по пръстови отпечатъци, 53 експерти по проверка, 30 квалифицирани експерти по проверка на документи, 75 устни преводачи, 16 експерти по получаване на информация, 8 служители на Frontex за подпомагане, 31 ръководители на екипи, 71 служители по координацията).</w:t>
            </w:r>
          </w:p>
          <w:p>
            <w:pPr>
              <w:jc w:val="both"/>
              <w:rPr>
                <w:noProof/>
              </w:rPr>
            </w:pPr>
            <w:r>
              <w:rPr>
                <w:noProof/>
              </w:rPr>
              <w:t>X Ангажиментите, поети от държавите членки, достигнаха 83 % от заявените нужди.</w:t>
            </w:r>
          </w:p>
        </w:tc>
      </w:tr>
      <w:tr>
        <w:trPr>
          <w:cantSplit/>
          <w:trHeight w:val="384"/>
        </w:trPr>
        <w:tc>
          <w:tcPr>
            <w:tcW w:w="1720" w:type="dxa"/>
            <w:vMerge w:val="restart"/>
            <w:tcBorders>
              <w:top w:val="single" w:sz="4" w:space="0" w:color="auto"/>
              <w:left w:val="single" w:sz="4" w:space="0" w:color="auto"/>
              <w:right w:val="single" w:sz="4" w:space="0" w:color="auto"/>
            </w:tcBorders>
            <w:vAlign w:val="center"/>
          </w:tcPr>
          <w:p>
            <w:pPr>
              <w:jc w:val="both"/>
              <w:rPr>
                <w:b/>
                <w:bCs/>
                <w:noProof/>
              </w:rPr>
            </w:pPr>
            <w:r>
              <w:rPr>
                <w:b/>
                <w:noProof/>
              </w:rPr>
              <w:t>Капацитет за приемане</w:t>
            </w: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Гърция трябва бързо да приключи изграждането на всички 7 000 места за приемане на петте острова, които са обявени за горещи точки.</w:t>
            </w:r>
          </w:p>
        </w:tc>
        <w:tc>
          <w:tcPr>
            <w:tcW w:w="434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Местата за приемане в горещите точки следва да бъдат на разположение с приключването на строителните работи.</w:t>
            </w:r>
          </w:p>
        </w:tc>
      </w:tr>
      <w:tr>
        <w:trPr>
          <w:cantSplit/>
          <w:trHeight w:val="384"/>
        </w:trPr>
        <w:tc>
          <w:tcPr>
            <w:tcW w:w="1720" w:type="dxa"/>
            <w:vMerge/>
            <w:tcBorders>
              <w:left w:val="single" w:sz="4" w:space="0" w:color="auto"/>
              <w:right w:val="single" w:sz="4" w:space="0" w:color="auto"/>
            </w:tcBorders>
            <w:vAlign w:val="center"/>
          </w:tcPr>
          <w:p>
            <w:pPr>
              <w:jc w:val="both"/>
              <w:rPr>
                <w:b/>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 xml:space="preserve">Гърция трябва да подобри приемането на уязвимите групи, по-специално на непридружените ненавършили пълнолетие лица. </w:t>
            </w:r>
          </w:p>
        </w:tc>
        <w:tc>
          <w:tcPr>
            <w:tcW w:w="434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УНИЦЕФ, ВКБООН и организацията „Спасете децата“ стартираха пилотен проект в Кос, Лесбос и Идомени за осигуряване на специални грижи за ненавършили пълнолетие лица. Планира се проектът да обхване също така Самос и Лерос.</w:t>
            </w:r>
          </w:p>
          <w:p>
            <w:pPr>
              <w:jc w:val="both"/>
              <w:rPr>
                <w:noProof/>
              </w:rPr>
            </w:pPr>
            <w:r>
              <w:rPr>
                <w:noProof/>
              </w:rPr>
              <w:sym w:font="Wingdings" w:char="F0FC"/>
            </w:r>
            <w:r>
              <w:rPr>
                <w:noProof/>
              </w:rPr>
              <w:t xml:space="preserve"> Като последна стъпка от процедурата за регистрация във всички горещи точки се предвижда медицински преглед.</w:t>
            </w:r>
          </w:p>
          <w:p>
            <w:pPr>
              <w:jc w:val="both"/>
              <w:rPr>
                <w:noProof/>
              </w:rPr>
            </w:pPr>
            <w:r>
              <w:rPr>
                <w:noProof/>
              </w:rPr>
              <w:t>X Гърция следва да осигури адекватен капацитет за настаняване на непридружени ненавършили пълнолетие лица и други уязвими групи, след като те бъдат прехвърлени от островите.</w:t>
            </w:r>
          </w:p>
        </w:tc>
      </w:tr>
      <w:tr>
        <w:trPr>
          <w:cantSplit/>
          <w:trHeight w:val="384"/>
        </w:trPr>
        <w:tc>
          <w:tcPr>
            <w:tcW w:w="1720" w:type="dxa"/>
            <w:vMerge/>
            <w:tcBorders>
              <w:left w:val="single" w:sz="4" w:space="0" w:color="auto"/>
              <w:right w:val="single" w:sz="4" w:space="0" w:color="auto"/>
            </w:tcBorders>
            <w:vAlign w:val="center"/>
          </w:tcPr>
          <w:p>
            <w:pPr>
              <w:jc w:val="both"/>
              <w:rPr>
                <w:b/>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 xml:space="preserve">Трябва да бъдат намерени повече структурни решения относно осигуряването на храна и задоволяването на други основни потребности в структурите за приемане. </w:t>
            </w:r>
          </w:p>
        </w:tc>
        <w:tc>
          <w:tcPr>
            <w:tcW w:w="434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Гръцките органи изготвят рамков договор за услуги за предоставяне на храна за структурите за приемане за периода 2016—2018 г.</w:t>
            </w:r>
          </w:p>
        </w:tc>
      </w:tr>
      <w:tr>
        <w:trPr>
          <w:cantSplit/>
          <w:trHeight w:val="384"/>
        </w:trPr>
        <w:tc>
          <w:tcPr>
            <w:tcW w:w="1720" w:type="dxa"/>
            <w:vMerge/>
            <w:tcBorders>
              <w:left w:val="single" w:sz="4" w:space="0" w:color="auto"/>
              <w:right w:val="single" w:sz="4" w:space="0" w:color="auto"/>
            </w:tcBorders>
            <w:vAlign w:val="center"/>
          </w:tcPr>
          <w:p>
            <w:pPr>
              <w:jc w:val="both"/>
              <w:rPr>
                <w:b/>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 xml:space="preserve">Гърция следва да продължи да повишава своя капацитет за приемане в съответствие с ангажиментите, поети на срещата на високо равнище, посветена на маршрута през Западните Балкани. </w:t>
            </w:r>
          </w:p>
        </w:tc>
        <w:tc>
          <w:tcPr>
            <w:tcW w:w="4343" w:type="dxa"/>
            <w:tcBorders>
              <w:top w:val="single" w:sz="4" w:space="0" w:color="auto"/>
              <w:left w:val="single" w:sz="4" w:space="0" w:color="auto"/>
              <w:bottom w:val="single" w:sz="4" w:space="0" w:color="auto"/>
              <w:right w:val="single" w:sz="4" w:space="0" w:color="auto"/>
            </w:tcBorders>
          </w:tcPr>
          <w:p>
            <w:pPr>
              <w:pStyle w:val="Corpsdutexte0"/>
              <w:shd w:val="clear" w:color="auto" w:fill="auto"/>
              <w:spacing w:after="60"/>
              <w:ind w:left="261" w:hanging="261"/>
              <w:rPr>
                <w:noProof/>
                <w:spacing w:val="-6"/>
              </w:rPr>
            </w:pPr>
            <w:r>
              <w:rPr>
                <w:noProof/>
                <w:spacing w:val="-6"/>
              </w:rPr>
              <w:sym w:font="Wingdings" w:char="F0FC"/>
            </w:r>
            <w:r>
              <w:rPr>
                <w:noProof/>
                <w:spacing w:val="-6"/>
              </w:rPr>
              <w:t xml:space="preserve"> Общият брой на наличните към момента места в структури за приемане в Гърция е 34 419 (без местата по схемата на ВКБООН за наем на жилища). Те включват:</w:t>
            </w:r>
          </w:p>
          <w:p>
            <w:pPr>
              <w:pStyle w:val="Corpsdutexte0"/>
              <w:numPr>
                <w:ilvl w:val="0"/>
                <w:numId w:val="2"/>
              </w:numPr>
              <w:shd w:val="clear" w:color="auto" w:fill="auto"/>
              <w:spacing w:after="60"/>
              <w:ind w:left="549" w:hanging="283"/>
              <w:rPr>
                <w:noProof/>
                <w:spacing w:val="-6"/>
              </w:rPr>
            </w:pPr>
            <w:r>
              <w:rPr>
                <w:noProof/>
                <w:spacing w:val="-6"/>
              </w:rPr>
              <w:t>17 906 места в отворени структури за приемане в континенталната част на страната ((Elaionas, Elliniko, Attiko Alsos, Eidomeni, Orestiada, Schisto, Diavata, Nea Kavala, Cherso). Някои от тези съоръжения са подходящи само за кратък престой, а други са подходящи за по-дълъг престой;</w:t>
            </w:r>
          </w:p>
          <w:p>
            <w:pPr>
              <w:pStyle w:val="Corpsdutexte0"/>
              <w:numPr>
                <w:ilvl w:val="0"/>
                <w:numId w:val="2"/>
              </w:numPr>
              <w:shd w:val="clear" w:color="auto" w:fill="auto"/>
              <w:spacing w:after="60"/>
              <w:ind w:left="549" w:hanging="283"/>
              <w:rPr>
                <w:noProof/>
                <w:spacing w:val="-6"/>
              </w:rPr>
            </w:pPr>
            <w:r>
              <w:rPr>
                <w:noProof/>
                <w:spacing w:val="-6"/>
              </w:rPr>
              <w:t>1 221 места в континенталната част на страната и на островите в специално предназначени съоръжения за лица, търсещи убежище, и за непридружени ненавършили пълнолетие лица;</w:t>
            </w:r>
          </w:p>
          <w:p>
            <w:pPr>
              <w:pStyle w:val="Corpsdutexte0"/>
              <w:numPr>
                <w:ilvl w:val="0"/>
                <w:numId w:val="2"/>
              </w:numPr>
              <w:shd w:val="clear" w:color="auto" w:fill="auto"/>
              <w:spacing w:after="60"/>
              <w:ind w:left="549" w:hanging="283"/>
              <w:rPr>
                <w:noProof/>
                <w:spacing w:val="-6"/>
              </w:rPr>
            </w:pPr>
            <w:r>
              <w:rPr>
                <w:noProof/>
                <w:spacing w:val="-6"/>
              </w:rPr>
              <w:t>5 500 места в структури за приемане в горещите точки (включително 1 100 места в резервното съоръжение Kara Tepe в Лесбос);</w:t>
            </w:r>
          </w:p>
          <w:p>
            <w:pPr>
              <w:pStyle w:val="Corpsdutexte0"/>
              <w:numPr>
                <w:ilvl w:val="0"/>
                <w:numId w:val="2"/>
              </w:numPr>
              <w:shd w:val="clear" w:color="auto" w:fill="auto"/>
              <w:spacing w:after="60"/>
              <w:ind w:left="549" w:hanging="283"/>
              <w:rPr>
                <w:noProof/>
                <w:spacing w:val="-6"/>
              </w:rPr>
            </w:pPr>
            <w:r>
              <w:rPr>
                <w:noProof/>
                <w:spacing w:val="-6"/>
              </w:rPr>
              <w:t>4 433 други места в структури за приемане от първа линия на островите (извън горещите точки);</w:t>
            </w:r>
          </w:p>
          <w:p>
            <w:pPr>
              <w:pStyle w:val="Corpsdutexte0"/>
              <w:numPr>
                <w:ilvl w:val="0"/>
                <w:numId w:val="2"/>
              </w:numPr>
              <w:shd w:val="clear" w:color="auto" w:fill="auto"/>
              <w:spacing w:after="60"/>
              <w:ind w:left="549" w:hanging="283"/>
              <w:rPr>
                <w:noProof/>
                <w:spacing w:val="-6"/>
              </w:rPr>
            </w:pPr>
            <w:r>
              <w:rPr>
                <w:noProof/>
                <w:spacing w:val="-6"/>
              </w:rPr>
              <w:t>5 359 места са налични в центрове за настаняване преди извеждане;</w:t>
            </w:r>
          </w:p>
          <w:p>
            <w:pPr>
              <w:pStyle w:val="Corpsdutexte0"/>
              <w:shd w:val="clear" w:color="auto" w:fill="auto"/>
              <w:spacing w:before="60" w:after="60" w:line="226" w:lineRule="exact"/>
              <w:ind w:left="261" w:firstLine="0"/>
              <w:rPr>
                <w:noProof/>
                <w:spacing w:val="-6"/>
              </w:rPr>
            </w:pPr>
            <w:r>
              <w:rPr>
                <w:noProof/>
                <w:spacing w:val="-6"/>
              </w:rPr>
              <w:t>Когато планираното разширяване на съоръженията в Schisto и Diavata приключи, общият брой на местата в структури за приемане в Гърция ще достигне 38 619 (без местата по схемата на ВКБООН за наем на жилища).</w:t>
            </w:r>
          </w:p>
          <w:p>
            <w:pPr>
              <w:pStyle w:val="Corpsdutexte0"/>
              <w:shd w:val="clear" w:color="auto" w:fill="auto"/>
              <w:spacing w:before="60" w:after="60" w:line="226" w:lineRule="exact"/>
              <w:ind w:left="261" w:firstLine="0"/>
              <w:rPr>
                <w:noProof/>
                <w:spacing w:val="-6"/>
              </w:rPr>
            </w:pPr>
            <w:r>
              <w:rPr>
                <w:noProof/>
                <w:spacing w:val="-6"/>
              </w:rPr>
              <w:t>ВКБООН е подписал споразумения за изпълнение с неправителствените организации „Praksis“, „Nostos“, „Iliaktida“, „Solidarity Now“ и „Arsis“ за осигуряването на общо 16 250 места през 2016 г. в контекста на схемата на ВКБООН за наем на жилища. Освен това се водят преговори с община Атина, „Médecins du Monde“ и Гръцкия съвет за бежанците за предоставяне на допълнителни 1 880 места през 2016 г., с което общият брой на местата, които предстои да бъдат осигурени през 2016 г., ще достигне 18 130. Понастоящем общо 2 788 места са предоставени на разположение от неправителствената организация „Praksis“ чрез ваучерната схема за настаняване в хотели, както и чрез настаняване в апартаменти.</w:t>
            </w:r>
          </w:p>
          <w:p>
            <w:pPr>
              <w:pStyle w:val="Corpsdutexte0"/>
              <w:shd w:val="clear" w:color="auto" w:fill="auto"/>
              <w:spacing w:before="60" w:line="226" w:lineRule="exact"/>
              <w:ind w:left="261" w:firstLine="0"/>
              <w:rPr>
                <w:noProof/>
                <w:spacing w:val="-6"/>
              </w:rPr>
            </w:pPr>
            <w:r>
              <w:rPr>
                <w:noProof/>
                <w:spacing w:val="-6"/>
              </w:rPr>
              <w:t>ВКБООН следва да продължи да сключва споразумения за изпълнение, за да постигне възможно най-скоро целта от 20 000 места по схемата за наем на жилища.</w:t>
            </w:r>
          </w:p>
          <w:p>
            <w:pPr>
              <w:pStyle w:val="Corpsdutexte0"/>
              <w:shd w:val="clear" w:color="auto" w:fill="auto"/>
              <w:spacing w:before="60" w:line="226" w:lineRule="exact"/>
              <w:ind w:left="261" w:firstLine="0"/>
              <w:rPr>
                <w:noProof/>
                <w:sz w:val="22"/>
                <w:szCs w:val="22"/>
              </w:rPr>
            </w:pPr>
            <w:r>
              <w:rPr>
                <w:noProof/>
                <w:spacing w:val="-6"/>
              </w:rPr>
              <w:t>С подкрепата на Европейската комисия и ВКБООН Гърция следва да продължи да увеличава и подобрява капацитета си за приемане, така че да посреща</w:t>
            </w:r>
            <w:r>
              <w:rPr>
                <w:noProof/>
              </w:rPr>
              <w:t xml:space="preserve"> потребностите на мигрантите и бежанците, намиращи се на нейната територия.</w:t>
            </w:r>
          </w:p>
        </w:tc>
      </w:tr>
      <w:tr>
        <w:trPr>
          <w:cantSplit/>
          <w:trHeight w:val="384"/>
        </w:trPr>
        <w:tc>
          <w:tcPr>
            <w:tcW w:w="1720" w:type="dxa"/>
            <w:vMerge/>
            <w:tcBorders>
              <w:left w:val="single" w:sz="4" w:space="0" w:color="auto"/>
              <w:bottom w:val="single" w:sz="4" w:space="0" w:color="auto"/>
              <w:right w:val="single" w:sz="4" w:space="0" w:color="auto"/>
            </w:tcBorders>
            <w:vAlign w:val="center"/>
          </w:tcPr>
          <w:p>
            <w:pPr>
              <w:jc w:val="both"/>
              <w:rPr>
                <w:b/>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 xml:space="preserve">Държавите членки следва да отговарят незабавно на исканията за помощ, отправени чрез Механизма на ЕС за гражданска защита. </w:t>
            </w:r>
          </w:p>
        </w:tc>
        <w:tc>
          <w:tcPr>
            <w:tcW w:w="4343" w:type="dxa"/>
            <w:tcBorders>
              <w:top w:val="single" w:sz="4" w:space="0" w:color="auto"/>
              <w:left w:val="single" w:sz="4" w:space="0" w:color="auto"/>
              <w:bottom w:val="single" w:sz="4" w:space="0" w:color="auto"/>
              <w:right w:val="single" w:sz="4" w:space="0" w:color="auto"/>
            </w:tcBorders>
          </w:tcPr>
          <w:p>
            <w:pPr>
              <w:jc w:val="both"/>
              <w:rPr>
                <w:noProof/>
              </w:rPr>
            </w:pPr>
            <w:r>
              <w:rPr>
                <w:noProof/>
              </w:rPr>
              <w:t>X Едва 9 държави членки предложиха помощ в натура по линия на Механизма за гражданска защита на Съюза.</w:t>
            </w:r>
          </w:p>
        </w:tc>
      </w:tr>
    </w:tbl>
    <w:p>
      <w:pPr>
        <w:jc w:val="both"/>
        <w:rPr>
          <w:noProof/>
        </w:rPr>
      </w:pPr>
    </w:p>
    <w:p>
      <w:pPr>
        <w:jc w:val="both"/>
        <w:rPr>
          <w:noProof/>
        </w:rPr>
      </w:pPr>
    </w:p>
    <w:p>
      <w:pPr>
        <w:jc w:val="both"/>
        <w:rPr>
          <w:noProof/>
        </w:rPr>
      </w:pPr>
    </w:p>
    <w:p>
      <w:pPr>
        <w:jc w:val="both"/>
        <w:rPr>
          <w:noProof/>
        </w:rPr>
      </w:pPr>
    </w:p>
    <w:p>
      <w:pPr>
        <w:jc w:val="both"/>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altName w:val="Arial"/>
    <w:charset w:val="00"/>
    <w:family w:val="swiss"/>
    <w:pitch w:val="variable"/>
    <w:sig w:usb0="A00002B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81582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284" w:hanging="284"/>
        <w:jc w:val="both"/>
      </w:pPr>
      <w:r>
        <w:rPr>
          <w:rStyle w:val="FootnoteReference"/>
        </w:rPr>
        <w:footnoteRef/>
      </w:r>
      <w:r>
        <w:rPr>
          <w:rStyle w:val="FootnoteReference"/>
        </w:rPr>
        <w:t xml:space="preserve"> </w:t>
      </w:r>
      <w:r>
        <w:tab/>
        <w:t>Съобщение на Комисията — „Европейска програма за миграцията“ (COM(2015) 240, 13 май 2015 г.).</w:t>
      </w:r>
    </w:p>
  </w:footnote>
  <w:footnote w:id="2">
    <w:p>
      <w:pPr>
        <w:pStyle w:val="Default"/>
        <w:ind w:left="284" w:hanging="284"/>
        <w:jc w:val="both"/>
      </w:pPr>
      <w:r>
        <w:rPr>
          <w:rStyle w:val="FootnoteReference"/>
          <w:rFonts w:ascii="Times New Roman" w:hAnsi="Times New Roman"/>
          <w:color w:val="auto"/>
          <w:sz w:val="20"/>
        </w:rPr>
        <w:footnoteRef/>
      </w:r>
      <w:r>
        <w:rPr>
          <w:rFonts w:ascii="Times New Roman" w:hAnsi="Times New Roman"/>
          <w:color w:val="auto"/>
          <w:sz w:val="20"/>
        </w:rPr>
        <w:t xml:space="preserve"> </w:t>
      </w:r>
      <w:r>
        <w:tab/>
      </w:r>
      <w:r>
        <w:rPr>
          <w:rFonts w:ascii="Times New Roman" w:hAnsi="Times New Roman"/>
          <w:color w:val="auto"/>
          <w:sz w:val="20"/>
        </w:rPr>
        <w:t>Съобщение на Комисията — „Управление на кризата с бежанците: незабавни оперативни, бюджетни и правни мерки по линия на Европейската програма за миграцията“ (COM(2015) 490, 23 септември 2015 г.).</w:t>
      </w:r>
    </w:p>
  </w:footnote>
  <w:footnote w:id="3">
    <w:p>
      <w:pPr>
        <w:pStyle w:val="FootnoteText"/>
        <w:ind w:left="284" w:hanging="284"/>
        <w:jc w:val="both"/>
      </w:pPr>
      <w:r>
        <w:rPr>
          <w:rStyle w:val="FootnoteReference"/>
        </w:rPr>
        <w:footnoteRef/>
      </w:r>
      <w:r>
        <w:rPr>
          <w:rStyle w:val="FootnoteReference"/>
        </w:rPr>
        <w:t xml:space="preserve"> </w:t>
      </w:r>
      <w:r>
        <w:tab/>
        <w:t>Съобщение на Комисията — „Управление на кризата с бежанците: актуално състояние във връзка с изпълнението на приоритетните действия в рамките на Европейската програма за миграцията“ (COM(2015) 510, 14 октомври 2015 г.).</w:t>
      </w:r>
    </w:p>
  </w:footnote>
  <w:footnote w:id="4">
    <w:p>
      <w:pPr>
        <w:pStyle w:val="FootnoteText"/>
        <w:ind w:left="284" w:hanging="284"/>
        <w:jc w:val="both"/>
      </w:pPr>
      <w:r>
        <w:rPr>
          <w:rStyle w:val="FootnoteReference"/>
        </w:rPr>
        <w:footnoteRef/>
      </w:r>
      <w:r>
        <w:rPr>
          <w:rStyle w:val="FootnoteReference"/>
        </w:rPr>
        <w:t xml:space="preserve"> </w:t>
      </w:r>
      <w:r>
        <w:tab/>
        <w:t>Съобщение на Комисията — „Доклад относно напредъка в реализирането на „горещите точки“ в Гърция“ (COM(2015) 678, 15 декември 2015 г.).</w:t>
      </w:r>
    </w:p>
  </w:footnote>
  <w:footnote w:id="5">
    <w:p>
      <w:pPr>
        <w:pStyle w:val="FootnoteText"/>
        <w:ind w:left="284" w:hanging="284"/>
        <w:jc w:val="both"/>
      </w:pPr>
      <w:r>
        <w:rPr>
          <w:rStyle w:val="FootnoteReference"/>
        </w:rPr>
        <w:footnoteRef/>
      </w:r>
      <w:r>
        <w:t xml:space="preserve"> </w:t>
      </w:r>
      <w:r>
        <w:tab/>
        <w:t xml:space="preserve">Съобщение на Комисията относно актуалното състояние във връзка с изпълнението на приоритетните действия в рамките на Европейската програма за миграцията (COM(2016) 85, 10 февруари 2016 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10851"/>
    <w:multiLevelType w:val="hybridMultilevel"/>
    <w:tmpl w:val="92207F0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A0EA14645FB4BF0A7B18E5F827521BD"/>
    <w:docVar w:name="LW_CROSSREFERENCE" w:val="&lt;UNUSED&gt;"/>
    <w:docVar w:name="LW_DocType" w:val="NORMAL"/>
    <w:docVar w:name="LW_EMISSION" w:val="4.3.2016"/>
    <w:docVar w:name="LW_EMISSION_ISODATE" w:val="2016-03-04"/>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141"/>
    <w:docVar w:name="LW_REF.INTERNE" w:val="&lt;UNUSED&gt;"/>
    <w:docVar w:name="LW_SOUS.TITRE.OBJ.CP" w:val="&lt;UNUSED&gt;"/>
    <w:docVar w:name="LW_SUPERTITRE" w:val="&lt;UNUSED&gt;"/>
    <w:docVar w:name="LW_TITRE.OBJ.CP" w:val="\u1044?\u1086?\u1082?\u1083?\u1072?\u1076? \u1086?\u1090?\u1085?\u1086?\u1089?\u1085?\u1086? \u1085?\u1072?\u1087?\u1088?\u1077?\u1076?\u1098?\u1082?\u1072? \u1074? \u1088?\u1077?\u1072?\u1083?\u1080?\u1079?\u1080?\u1088?\u1072?\u1085?\u1077?\u1090?\u1086? \u1085?\u1072? \u1075?\u1086?\u1088?\u1077?\u1097?\u1080?\u1090?\u1077? \u1090?\u1086?\u1095?\u1082?\u1080? \u1074? \u1043?\u1098?\u1088?\u1094?\u1080?\u1103?"/>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4"/>
      <w:szCs w:val="24"/>
    </w:rPr>
  </w:style>
  <w:style w:type="character" w:customStyle="1" w:styleId="Corpsdutexte">
    <w:name w:val="Corps du texte_"/>
    <w:basedOn w:val="DefaultParagraphFont"/>
    <w:link w:val="Corpsdutexte0"/>
    <w:locked/>
    <w:rPr>
      <w:shd w:val="clear" w:color="auto" w:fill="FFFFFF"/>
    </w:rPr>
  </w:style>
  <w:style w:type="paragraph" w:customStyle="1" w:styleId="Corpsdutexte0">
    <w:name w:val="Corps du texte"/>
    <w:basedOn w:val="Normal"/>
    <w:link w:val="Corpsdutexte"/>
    <w:pPr>
      <w:shd w:val="clear" w:color="auto" w:fill="FFFFFF"/>
      <w:spacing w:line="230" w:lineRule="exact"/>
      <w:ind w:hanging="26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4"/>
      <w:szCs w:val="24"/>
    </w:rPr>
  </w:style>
  <w:style w:type="character" w:customStyle="1" w:styleId="Corpsdutexte">
    <w:name w:val="Corps du texte_"/>
    <w:basedOn w:val="DefaultParagraphFont"/>
    <w:link w:val="Corpsdutexte0"/>
    <w:locked/>
    <w:rPr>
      <w:shd w:val="clear" w:color="auto" w:fill="FFFFFF"/>
    </w:rPr>
  </w:style>
  <w:style w:type="paragraph" w:customStyle="1" w:styleId="Corpsdutexte0">
    <w:name w:val="Corps du texte"/>
    <w:basedOn w:val="Normal"/>
    <w:link w:val="Corpsdutexte"/>
    <w:pPr>
      <w:shd w:val="clear" w:color="auto" w:fill="FFFFFF"/>
      <w:spacing w:line="230" w:lineRule="exact"/>
      <w:ind w:hanging="2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88534">
      <w:bodyDiv w:val="1"/>
      <w:marLeft w:val="0"/>
      <w:marRight w:val="0"/>
      <w:marTop w:val="0"/>
      <w:marBottom w:val="0"/>
      <w:divBdr>
        <w:top w:val="none" w:sz="0" w:space="0" w:color="auto"/>
        <w:left w:val="none" w:sz="0" w:space="0" w:color="auto"/>
        <w:bottom w:val="none" w:sz="0" w:space="0" w:color="auto"/>
        <w:right w:val="none" w:sz="0" w:space="0" w:color="auto"/>
      </w:divBdr>
    </w:div>
    <w:div w:id="602761167">
      <w:bodyDiv w:val="1"/>
      <w:marLeft w:val="0"/>
      <w:marRight w:val="0"/>
      <w:marTop w:val="0"/>
      <w:marBottom w:val="0"/>
      <w:divBdr>
        <w:top w:val="none" w:sz="0" w:space="0" w:color="auto"/>
        <w:left w:val="none" w:sz="0" w:space="0" w:color="auto"/>
        <w:bottom w:val="none" w:sz="0" w:space="0" w:color="auto"/>
        <w:right w:val="none" w:sz="0" w:space="0" w:color="auto"/>
      </w:divBdr>
    </w:div>
    <w:div w:id="708795474">
      <w:bodyDiv w:val="1"/>
      <w:marLeft w:val="0"/>
      <w:marRight w:val="0"/>
      <w:marTop w:val="0"/>
      <w:marBottom w:val="0"/>
      <w:divBdr>
        <w:top w:val="none" w:sz="0" w:space="0" w:color="auto"/>
        <w:left w:val="none" w:sz="0" w:space="0" w:color="auto"/>
        <w:bottom w:val="none" w:sz="0" w:space="0" w:color="auto"/>
        <w:right w:val="none" w:sz="0" w:space="0" w:color="auto"/>
      </w:divBdr>
    </w:div>
    <w:div w:id="180977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A5713-4755-4220-9E69-83EC079E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20</Pages>
  <Words>4705</Words>
  <Characters>27101</Characters>
  <Application>Microsoft Office Word</Application>
  <DocSecurity>0</DocSecurity>
  <Lines>1084</Lines>
  <Paragraphs>162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27</cp:revision>
  <cp:lastPrinted>2016-03-03T17:06:00Z</cp:lastPrinted>
  <dcterms:created xsi:type="dcterms:W3CDTF">2016-03-03T18:58:00Z</dcterms:created>
  <dcterms:modified xsi:type="dcterms:W3CDTF">2016-07-01T08:30:00Z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