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55B5A353CC354B1D89EA20AE8AC6C4A9" style="width:450.45pt;height:470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spacing w:before="360" w:after="0" w:line="360" w:lineRule="auto"/>
        <w:jc w:val="center"/>
        <w:rPr>
          <w:rFonts w:eastAsia="Times New Roman"/>
          <w:b/>
          <w:noProof/>
          <w:szCs w:val="24"/>
        </w:rPr>
      </w:pPr>
      <w:bookmarkStart w:id="0" w:name="_GoBack"/>
      <w:bookmarkEnd w:id="0"/>
      <w:r>
        <w:rPr>
          <w:b/>
          <w:noProof/>
        </w:rPr>
        <w:lastRenderedPageBreak/>
        <w:t xml:space="preserve">РЕШЕНИЕ № ХХ/2016 </w:t>
      </w:r>
      <w:r>
        <w:rPr>
          <w:rFonts w:eastAsia="Times New Roman"/>
          <w:b/>
          <w:noProof/>
          <w:szCs w:val="24"/>
        </w:rPr>
        <w:br/>
      </w:r>
      <w:r>
        <w:rPr>
          <w:b/>
          <w:noProof/>
        </w:rPr>
        <w:t>НА СЪВЕТА ЗА АСОЦИИРАНЕ ЕС — ЦЕНТРАЛНА АМЕРИКА</w:t>
      </w:r>
    </w:p>
    <w:p>
      <w:pPr>
        <w:spacing w:before="360" w:after="360" w:line="360" w:lineRule="auto"/>
        <w:jc w:val="center"/>
        <w:rPr>
          <w:rFonts w:eastAsia="Times New Roman"/>
          <w:b/>
          <w:noProof/>
          <w:szCs w:val="24"/>
        </w:rPr>
      </w:pPr>
      <w:r>
        <w:rPr>
          <w:b/>
          <w:noProof/>
        </w:rPr>
        <w:t>за въвеждане на обяснителни бележки към член 15 от приложение II („Относно определението на понятието „продукти с произход“ и методите на административно сътрудничество“) към споразумението по отношение на сертификата за движение EUR.1</w:t>
      </w:r>
      <w:r>
        <w:rPr>
          <w:rFonts w:eastAsia="Times New Roman"/>
          <w:b/>
          <w:noProof/>
          <w:szCs w:val="24"/>
        </w:rPr>
        <w:br/>
      </w:r>
    </w:p>
    <w:p>
      <w:pPr>
        <w:keepNext/>
        <w:spacing w:before="600" w:line="360" w:lineRule="auto"/>
        <w:jc w:val="left"/>
        <w:rPr>
          <w:rFonts w:eastAsia="Times New Roman"/>
          <w:noProof/>
          <w:szCs w:val="24"/>
        </w:rPr>
      </w:pPr>
      <w:r>
        <w:rPr>
          <w:noProof/>
        </w:rPr>
        <w:t>СЪВЕТЪТ ЗА АСОЦИИРАНЕ ЕС — ЦЕНТРАЛНА АМЕРИКА,</w:t>
      </w:r>
    </w:p>
    <w:p>
      <w:pPr>
        <w:spacing w:line="360" w:lineRule="auto"/>
        <w:rPr>
          <w:rFonts w:eastAsia="Times New Roman"/>
          <w:noProof/>
          <w:szCs w:val="24"/>
        </w:rPr>
      </w:pPr>
      <w:r>
        <w:rPr>
          <w:noProof/>
        </w:rPr>
        <w:t xml:space="preserve">като взе предвид Споразумението за асоцииране между, Европейския съюз и неговите държави членки, от една страна, и Централна Америка, от друга страна (наричано по-долу за краткост „споразумението“), и по-специално член 37 от приложение II към него, </w:t>
      </w:r>
    </w:p>
    <w:p>
      <w:pPr>
        <w:spacing w:line="360" w:lineRule="auto"/>
        <w:jc w:val="left"/>
        <w:rPr>
          <w:rFonts w:eastAsia="Times New Roman"/>
          <w:noProof/>
          <w:szCs w:val="24"/>
        </w:rPr>
      </w:pPr>
      <w:r>
        <w:rPr>
          <w:noProof/>
        </w:rPr>
        <w:t>като има предвид, че:</w:t>
      </w:r>
    </w:p>
    <w:p>
      <w:pPr>
        <w:spacing w:line="360" w:lineRule="auto"/>
        <w:ind w:left="1276" w:hanging="992"/>
        <w:rPr>
          <w:rFonts w:eastAsia="Times New Roman"/>
          <w:noProof/>
          <w:szCs w:val="24"/>
        </w:rPr>
      </w:pPr>
      <w:r>
        <w:rPr>
          <w:noProof/>
        </w:rPr>
        <w:t>(1)</w:t>
      </w:r>
      <w:r>
        <w:rPr>
          <w:noProof/>
        </w:rPr>
        <w:tab/>
        <w:t>Приложение II към споразумението се отнася за определението на понятието „продукти с произход“ и методите за административно сътрудничество.</w:t>
      </w:r>
    </w:p>
    <w:p>
      <w:pPr>
        <w:spacing w:line="360" w:lineRule="auto"/>
        <w:ind w:left="1276" w:hanging="992"/>
        <w:rPr>
          <w:rFonts w:eastAsia="Times New Roman"/>
          <w:noProof/>
          <w:szCs w:val="24"/>
        </w:rPr>
      </w:pPr>
      <w:r>
        <w:rPr>
          <w:noProof/>
        </w:rPr>
        <w:t>(2)</w:t>
      </w:r>
      <w:r>
        <w:rPr>
          <w:noProof/>
        </w:rPr>
        <w:tab/>
        <w:t>Съгласно член 37 от приложение II към споразумението страните постигат съгласие в  рамките на Подкомитета по митниците, улесняването на търговията и правилата за произход за обяснителни бележки във връзка с тълкуването, прилагането и администрирането на приложение II  и препоръчват одобряването им от Съвета за асоцииране.</w:t>
      </w:r>
    </w:p>
    <w:p>
      <w:pPr>
        <w:spacing w:line="360" w:lineRule="auto"/>
        <w:ind w:left="1276" w:hanging="992"/>
        <w:rPr>
          <w:rFonts w:eastAsia="Times New Roman"/>
          <w:noProof/>
          <w:szCs w:val="24"/>
        </w:rPr>
      </w:pPr>
      <w:r>
        <w:rPr>
          <w:noProof/>
        </w:rPr>
        <w:t>(3)</w:t>
      </w:r>
      <w:r>
        <w:rPr>
          <w:noProof/>
        </w:rPr>
        <w:tab/>
        <w:t xml:space="preserve">Тъй като сертификатът за движение EUR.1, представен в допълнение 3 към приложение II към споразумението, е само образец, между формулярите, отпечатвани от различните органи, могат да възникнат незначителни разлики. Следва да се поясни, че подобни разлики не следва да водят до отхвърляне на сертификатите. </w:t>
      </w:r>
    </w:p>
    <w:p>
      <w:pPr>
        <w:spacing w:line="360" w:lineRule="auto"/>
        <w:ind w:left="1276" w:hanging="992"/>
        <w:rPr>
          <w:rFonts w:eastAsia="Times New Roman"/>
          <w:noProof/>
          <w:szCs w:val="24"/>
        </w:rPr>
      </w:pPr>
      <w:r>
        <w:rPr>
          <w:noProof/>
        </w:rPr>
        <w:t xml:space="preserve"> (4) </w:t>
      </w:r>
      <w:r>
        <w:rPr>
          <w:noProof/>
        </w:rPr>
        <w:tab/>
        <w:t xml:space="preserve">Освен това, за да се гарантира, че такива незначителни разлики не създават трудности във връзка с приемането на сертификати за движение EUR.1, и с цел да се осигури хармонизирано тълкуване от компетентните държавни органи на </w:t>
      </w:r>
      <w:r>
        <w:rPr>
          <w:noProof/>
        </w:rPr>
        <w:lastRenderedPageBreak/>
        <w:t xml:space="preserve">страните по споразумението, следва да се предоставят насоки за задължителното съдържание на сертификата за движение EUR.1, </w:t>
      </w:r>
    </w:p>
    <w:p>
      <w:pPr>
        <w:keepNext/>
        <w:spacing w:line="360" w:lineRule="auto"/>
        <w:jc w:val="left"/>
        <w:rPr>
          <w:rFonts w:eastAsia="Times New Roman"/>
          <w:noProof/>
          <w:szCs w:val="24"/>
        </w:rPr>
      </w:pPr>
      <w:r>
        <w:rPr>
          <w:noProof/>
        </w:rPr>
        <w:t>ПРИЕ НАСТОЯЩОТО РЕШЕНИЕ:</w:t>
      </w:r>
    </w:p>
    <w:p>
      <w:pPr>
        <w:keepNext/>
        <w:spacing w:before="360" w:line="360" w:lineRule="auto"/>
        <w:jc w:val="center"/>
        <w:rPr>
          <w:rFonts w:eastAsia="Times New Roman"/>
          <w:i/>
          <w:noProof/>
          <w:szCs w:val="24"/>
        </w:rPr>
      </w:pPr>
      <w:r>
        <w:rPr>
          <w:i/>
          <w:noProof/>
        </w:rPr>
        <w:t>Член единствен</w:t>
      </w:r>
    </w:p>
    <w:p>
      <w:pPr>
        <w:spacing w:line="360" w:lineRule="auto"/>
        <w:rPr>
          <w:rFonts w:eastAsia="Times New Roman"/>
          <w:noProof/>
          <w:szCs w:val="24"/>
        </w:rPr>
      </w:pPr>
      <w:r>
        <w:rPr>
          <w:noProof/>
        </w:rPr>
        <w:t>Одобряват се обяснителните бележки относно сертификата за движение EUR.1 от приложение II („Относно определението на понятието „продукти с произход“ и методите на административно сътрудничество“) към споразумението, съдържащи се в приложението към настоящото решение.</w:t>
      </w:r>
    </w:p>
    <w:p>
      <w:pPr>
        <w:spacing w:line="360" w:lineRule="auto"/>
        <w:rPr>
          <w:rFonts w:eastAsia="Times New Roman"/>
          <w:noProof/>
          <w:szCs w:val="24"/>
        </w:rPr>
      </w:pPr>
      <w:r>
        <w:rPr>
          <w:noProof/>
        </w:rPr>
        <w:t>Настоящото решение влиза в сила в деня след деня на приемането му.</w:t>
      </w:r>
    </w:p>
    <w:p>
      <w:pPr>
        <w:keepNext/>
        <w:spacing w:after="0" w:line="360" w:lineRule="auto"/>
        <w:jc w:val="left"/>
        <w:rPr>
          <w:rFonts w:eastAsia="Times New Roman"/>
          <w:noProof/>
          <w:szCs w:val="24"/>
        </w:rPr>
      </w:pPr>
      <w:r>
        <w:rPr>
          <w:noProof/>
        </w:rPr>
        <w:t>Съставено в Брюксел на […] година.</w:t>
      </w:r>
    </w:p>
    <w:p>
      <w:pPr>
        <w:keepNext/>
        <w:tabs>
          <w:tab w:val="left" w:pos="5669"/>
        </w:tabs>
        <w:spacing w:before="0" w:after="0"/>
        <w:jc w:val="left"/>
        <w:rPr>
          <w:rFonts w:eastAsia="Times New Roman"/>
          <w:i/>
          <w:noProof/>
          <w:szCs w:val="24"/>
        </w:rPr>
      </w:pPr>
    </w:p>
    <w:p>
      <w:pPr>
        <w:keepNext/>
        <w:tabs>
          <w:tab w:val="left" w:pos="5669"/>
        </w:tabs>
        <w:spacing w:before="0" w:after="0"/>
        <w:jc w:val="left"/>
        <w:rPr>
          <w:rFonts w:eastAsia="Times New Roman"/>
          <w:i/>
          <w:noProof/>
          <w:szCs w:val="24"/>
        </w:rPr>
      </w:pPr>
      <w:r>
        <w:rPr>
          <w:i/>
          <w:noProof/>
        </w:rPr>
        <w:t>За Съвета за асоцииране,</w:t>
      </w:r>
    </w:p>
    <w:p>
      <w:pPr>
        <w:keepNext/>
        <w:tabs>
          <w:tab w:val="left" w:pos="5669"/>
        </w:tabs>
        <w:spacing w:before="0" w:after="0"/>
        <w:jc w:val="left"/>
        <w:rPr>
          <w:rFonts w:eastAsia="Times New Roman"/>
          <w:i/>
          <w:noProof/>
          <w:szCs w:val="24"/>
        </w:rPr>
      </w:pPr>
    </w:p>
    <w:p>
      <w:pPr>
        <w:tabs>
          <w:tab w:val="left" w:pos="5669"/>
        </w:tabs>
        <w:spacing w:before="0" w:after="0"/>
        <w:jc w:val="left"/>
        <w:rPr>
          <w:rFonts w:eastAsia="Times New Roman"/>
          <w:i/>
          <w:noProof/>
          <w:szCs w:val="24"/>
        </w:rPr>
      </w:pPr>
      <w:r>
        <w:rPr>
          <w:i/>
          <w:noProof/>
        </w:rPr>
        <w:t>За Централна Америка като страна по споразумението,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>
        <w:tc>
          <w:tcPr>
            <w:tcW w:w="3285" w:type="dxa"/>
            <w:shd w:val="clear" w:color="auto" w:fill="auto"/>
          </w:tcPr>
          <w:p>
            <w:pPr>
              <w:spacing w:before="0" w:after="0"/>
              <w:jc w:val="center"/>
              <w:rPr>
                <w:rFonts w:eastAsia="Calibri"/>
                <w:b/>
                <w:noProof/>
                <w:szCs w:val="24"/>
              </w:rPr>
            </w:pPr>
          </w:p>
          <w:p>
            <w:pPr>
              <w:spacing w:before="0" w:after="0"/>
              <w:jc w:val="center"/>
              <w:rPr>
                <w:rFonts w:eastAsia="Calibri"/>
                <w:b/>
                <w:noProof/>
                <w:szCs w:val="24"/>
              </w:rPr>
            </w:pPr>
          </w:p>
          <w:p>
            <w:pPr>
              <w:spacing w:before="0" w:after="0"/>
              <w:jc w:val="center"/>
              <w:rPr>
                <w:rFonts w:eastAsia="Calibri"/>
                <w:b/>
                <w:noProof/>
                <w:szCs w:val="24"/>
              </w:rPr>
            </w:pPr>
          </w:p>
          <w:p>
            <w:pPr>
              <w:spacing w:before="0" w:after="0"/>
              <w:jc w:val="center"/>
              <w:rPr>
                <w:rFonts w:eastAsia="Calibri"/>
                <w:b/>
                <w:noProof/>
                <w:szCs w:val="24"/>
              </w:rPr>
            </w:pPr>
          </w:p>
          <w:p>
            <w:pPr>
              <w:spacing w:before="0" w:after="0"/>
              <w:jc w:val="center"/>
              <w:rPr>
                <w:rFonts w:eastAsia="Calibri"/>
                <w:b/>
                <w:noProof/>
                <w:szCs w:val="24"/>
              </w:rPr>
            </w:pPr>
          </w:p>
          <w:p>
            <w:pPr>
              <w:spacing w:before="0" w:after="0"/>
              <w:jc w:val="center"/>
              <w:rPr>
                <w:rFonts w:eastAsia="Calibri"/>
                <w:b/>
                <w:noProof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>
            <w:pPr>
              <w:tabs>
                <w:tab w:val="left" w:pos="5669"/>
              </w:tabs>
              <w:spacing w:before="0" w:after="0"/>
              <w:jc w:val="center"/>
              <w:rPr>
                <w:rFonts w:eastAsia="Calibri"/>
                <w:b/>
                <w:noProof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>
            <w:pPr>
              <w:spacing w:before="0" w:after="0"/>
              <w:jc w:val="center"/>
              <w:rPr>
                <w:rFonts w:eastAsia="Calibri"/>
                <w:b/>
                <w:noProof/>
                <w:szCs w:val="24"/>
              </w:rPr>
            </w:pPr>
          </w:p>
        </w:tc>
      </w:tr>
      <w:tr>
        <w:tc>
          <w:tcPr>
            <w:tcW w:w="3285" w:type="dxa"/>
            <w:shd w:val="clear" w:color="auto" w:fill="auto"/>
          </w:tcPr>
          <w:p>
            <w:pPr>
              <w:spacing w:before="0" w:after="0"/>
              <w:jc w:val="center"/>
              <w:rPr>
                <w:rFonts w:eastAsia="Times New Roman"/>
                <w:i/>
                <w:noProof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>
            <w:pPr>
              <w:keepNext/>
              <w:tabs>
                <w:tab w:val="left" w:pos="5669"/>
              </w:tabs>
              <w:spacing w:before="0" w:after="0"/>
              <w:jc w:val="center"/>
              <w:rPr>
                <w:rFonts w:eastAsia="Times New Roman"/>
                <w:i/>
                <w:noProof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>
            <w:pPr>
              <w:tabs>
                <w:tab w:val="left" w:pos="5669"/>
              </w:tabs>
              <w:spacing w:before="0" w:after="0"/>
              <w:jc w:val="center"/>
              <w:rPr>
                <w:rFonts w:eastAsia="Times New Roman"/>
                <w:i/>
                <w:noProof/>
                <w:szCs w:val="24"/>
              </w:rPr>
            </w:pPr>
          </w:p>
        </w:tc>
      </w:tr>
      <w:tr>
        <w:tc>
          <w:tcPr>
            <w:tcW w:w="3285" w:type="dxa"/>
            <w:shd w:val="clear" w:color="auto" w:fill="auto"/>
          </w:tcPr>
          <w:p>
            <w:pPr>
              <w:spacing w:before="0" w:after="0"/>
              <w:jc w:val="center"/>
              <w:rPr>
                <w:rFonts w:eastAsia="Calibri"/>
                <w:b/>
                <w:i/>
                <w:noProof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>
            <w:pPr>
              <w:keepNext/>
              <w:tabs>
                <w:tab w:val="left" w:pos="5669"/>
              </w:tabs>
              <w:spacing w:before="0" w:after="0"/>
              <w:jc w:val="left"/>
              <w:rPr>
                <w:rFonts w:eastAsia="Calibri"/>
                <w:i/>
                <w:noProof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>
            <w:pPr>
              <w:spacing w:before="0" w:after="0"/>
              <w:jc w:val="center"/>
              <w:rPr>
                <w:rFonts w:eastAsia="Calibri"/>
                <w:b/>
                <w:i/>
                <w:noProof/>
                <w:szCs w:val="24"/>
              </w:rPr>
            </w:pPr>
          </w:p>
        </w:tc>
      </w:tr>
      <w:tr>
        <w:tc>
          <w:tcPr>
            <w:tcW w:w="3285" w:type="dxa"/>
            <w:shd w:val="clear" w:color="auto" w:fill="auto"/>
          </w:tcPr>
          <w:p>
            <w:pPr>
              <w:spacing w:before="0" w:after="0"/>
              <w:jc w:val="center"/>
              <w:rPr>
                <w:rFonts w:eastAsia="Times New Roman"/>
                <w:noProof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>
            <w:pPr>
              <w:tabs>
                <w:tab w:val="left" w:pos="5669"/>
              </w:tabs>
              <w:spacing w:before="0" w:after="0"/>
              <w:jc w:val="center"/>
              <w:rPr>
                <w:rFonts w:eastAsia="Times New Roman"/>
                <w:i/>
                <w:noProof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>
            <w:pPr>
              <w:tabs>
                <w:tab w:val="left" w:pos="5669"/>
              </w:tabs>
              <w:spacing w:before="0" w:after="0"/>
              <w:jc w:val="center"/>
              <w:rPr>
                <w:rFonts w:eastAsia="Times New Roman"/>
                <w:i/>
                <w:noProof/>
                <w:szCs w:val="24"/>
              </w:rPr>
            </w:pPr>
          </w:p>
        </w:tc>
      </w:tr>
      <w:tr>
        <w:tc>
          <w:tcPr>
            <w:tcW w:w="3285" w:type="dxa"/>
            <w:shd w:val="clear" w:color="auto" w:fill="auto"/>
          </w:tcPr>
          <w:p>
            <w:pPr>
              <w:spacing w:before="0" w:after="0"/>
              <w:jc w:val="center"/>
              <w:rPr>
                <w:rFonts w:eastAsia="Calibri"/>
                <w:b/>
                <w:noProof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>
            <w:pPr>
              <w:tabs>
                <w:tab w:val="left" w:pos="5669"/>
              </w:tabs>
              <w:spacing w:before="0" w:after="0"/>
              <w:jc w:val="center"/>
              <w:rPr>
                <w:rFonts w:eastAsia="Calibri"/>
                <w:b/>
                <w:noProof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>
            <w:pPr>
              <w:spacing w:before="0" w:after="0"/>
              <w:jc w:val="center"/>
              <w:rPr>
                <w:rFonts w:eastAsia="Calibri"/>
                <w:b/>
                <w:i/>
                <w:noProof/>
                <w:szCs w:val="24"/>
              </w:rPr>
            </w:pPr>
          </w:p>
        </w:tc>
      </w:tr>
    </w:tbl>
    <w:p>
      <w:pPr>
        <w:tabs>
          <w:tab w:val="left" w:pos="5669"/>
        </w:tabs>
        <w:spacing w:before="0" w:after="0"/>
        <w:jc w:val="left"/>
        <w:rPr>
          <w:rFonts w:eastAsia="Times New Roman"/>
          <w:i/>
          <w:noProof/>
          <w:szCs w:val="24"/>
        </w:rPr>
      </w:pPr>
    </w:p>
    <w:p>
      <w:pPr>
        <w:tabs>
          <w:tab w:val="left" w:pos="5669"/>
        </w:tabs>
        <w:spacing w:before="0" w:after="0"/>
        <w:jc w:val="left"/>
        <w:rPr>
          <w:rFonts w:eastAsia="Calibri"/>
          <w:i/>
          <w:noProof/>
          <w:szCs w:val="24"/>
        </w:rPr>
      </w:pPr>
      <w:r>
        <w:rPr>
          <w:i/>
          <w:noProof/>
        </w:rPr>
        <w:t>За Европейския съюз като страна по споразумението,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127"/>
        <w:gridCol w:w="3417"/>
      </w:tblGrid>
      <w:tr>
        <w:tc>
          <w:tcPr>
            <w:tcW w:w="3510" w:type="dxa"/>
            <w:shd w:val="clear" w:color="auto" w:fill="auto"/>
          </w:tcPr>
          <w:p>
            <w:pPr>
              <w:tabs>
                <w:tab w:val="left" w:pos="5669"/>
              </w:tabs>
              <w:spacing w:before="0" w:after="0"/>
              <w:jc w:val="center"/>
              <w:rPr>
                <w:rFonts w:eastAsia="Times New Roman"/>
                <w:i/>
                <w:noProof/>
                <w:szCs w:val="24"/>
              </w:rPr>
            </w:pPr>
          </w:p>
          <w:p>
            <w:pPr>
              <w:keepNext/>
              <w:tabs>
                <w:tab w:val="left" w:pos="5669"/>
              </w:tabs>
              <w:spacing w:before="0" w:after="0"/>
              <w:jc w:val="left"/>
              <w:rPr>
                <w:rFonts w:eastAsia="Times New Roman"/>
                <w:i/>
                <w:noProof/>
                <w:szCs w:val="24"/>
              </w:rPr>
            </w:pPr>
          </w:p>
          <w:p>
            <w:pPr>
              <w:tabs>
                <w:tab w:val="left" w:pos="5669"/>
              </w:tabs>
              <w:spacing w:before="0" w:after="0"/>
              <w:jc w:val="left"/>
              <w:rPr>
                <w:rFonts w:eastAsia="Times New Roman"/>
                <w:i/>
                <w:noProof/>
                <w:szCs w:val="24"/>
              </w:rPr>
            </w:pPr>
          </w:p>
          <w:p>
            <w:pPr>
              <w:keepNext/>
              <w:tabs>
                <w:tab w:val="left" w:pos="5669"/>
              </w:tabs>
              <w:spacing w:before="0" w:after="0"/>
              <w:jc w:val="left"/>
              <w:rPr>
                <w:rFonts w:eastAsia="Times New Roman"/>
                <w:i/>
                <w:noProof/>
                <w:szCs w:val="24"/>
              </w:rPr>
            </w:pPr>
          </w:p>
          <w:p>
            <w:pPr>
              <w:tabs>
                <w:tab w:val="left" w:pos="5669"/>
              </w:tabs>
              <w:spacing w:before="0" w:after="0"/>
              <w:jc w:val="left"/>
              <w:rPr>
                <w:rFonts w:eastAsia="Times New Roman"/>
                <w:i/>
                <w:noProof/>
                <w:szCs w:val="24"/>
              </w:rPr>
            </w:pPr>
          </w:p>
          <w:p>
            <w:pPr>
              <w:tabs>
                <w:tab w:val="left" w:pos="5669"/>
              </w:tabs>
              <w:spacing w:before="0" w:after="0"/>
              <w:jc w:val="left"/>
              <w:rPr>
                <w:rFonts w:eastAsia="Times New Roman"/>
                <w:i/>
                <w:noProof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pacing w:before="0" w:after="0"/>
              <w:jc w:val="center"/>
              <w:rPr>
                <w:rFonts w:eastAsia="Calibri"/>
                <w:b/>
                <w:noProof/>
                <w:szCs w:val="24"/>
              </w:rPr>
            </w:pPr>
          </w:p>
        </w:tc>
        <w:tc>
          <w:tcPr>
            <w:tcW w:w="3417" w:type="dxa"/>
            <w:shd w:val="clear" w:color="auto" w:fill="auto"/>
          </w:tcPr>
          <w:p>
            <w:pPr>
              <w:tabs>
                <w:tab w:val="left" w:pos="5669"/>
              </w:tabs>
              <w:spacing w:before="0" w:after="0"/>
              <w:jc w:val="center"/>
              <w:rPr>
                <w:rFonts w:eastAsia="Times New Roman"/>
                <w:i/>
                <w:noProof/>
                <w:szCs w:val="24"/>
              </w:rPr>
            </w:pPr>
          </w:p>
        </w:tc>
      </w:tr>
      <w:tr>
        <w:tc>
          <w:tcPr>
            <w:tcW w:w="3510" w:type="dxa"/>
            <w:shd w:val="clear" w:color="auto" w:fill="auto"/>
          </w:tcPr>
          <w:p>
            <w:pPr>
              <w:spacing w:before="0" w:after="0"/>
              <w:jc w:val="center"/>
              <w:rPr>
                <w:rFonts w:eastAsia="Calibri"/>
                <w:i/>
                <w:noProof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pacing w:before="0" w:after="0"/>
              <w:jc w:val="center"/>
              <w:rPr>
                <w:rFonts w:eastAsia="Times New Roman"/>
                <w:noProof/>
                <w:szCs w:val="24"/>
              </w:rPr>
            </w:pPr>
          </w:p>
        </w:tc>
        <w:tc>
          <w:tcPr>
            <w:tcW w:w="3417" w:type="dxa"/>
            <w:shd w:val="clear" w:color="auto" w:fill="auto"/>
          </w:tcPr>
          <w:p>
            <w:pPr>
              <w:spacing w:before="0" w:after="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 </w:t>
            </w:r>
          </w:p>
        </w:tc>
      </w:tr>
    </w:tbl>
    <w:p>
      <w:pPr>
        <w:tabs>
          <w:tab w:val="left" w:pos="5669"/>
        </w:tabs>
        <w:spacing w:before="0" w:after="0" w:line="360" w:lineRule="auto"/>
        <w:jc w:val="left"/>
        <w:rPr>
          <w:rFonts w:eastAsia="Times New Roman"/>
          <w:i/>
          <w:noProof/>
          <w:szCs w:val="24"/>
        </w:rPr>
      </w:pPr>
    </w:p>
    <w:p>
      <w:pPr>
        <w:pBdr>
          <w:bottom w:val="single" w:sz="4" w:space="0" w:color="000000"/>
        </w:pBdr>
        <w:spacing w:before="360" w:line="360" w:lineRule="auto"/>
        <w:ind w:left="3400" w:right="3400"/>
        <w:jc w:val="center"/>
        <w:rPr>
          <w:rFonts w:eastAsia="Times New Roman"/>
          <w:b/>
          <w:noProof/>
          <w:szCs w:val="24"/>
        </w:rPr>
      </w:pPr>
    </w:p>
    <w:p>
      <w:pPr>
        <w:spacing w:line="360" w:lineRule="auto"/>
        <w:jc w:val="left"/>
        <w:rPr>
          <w:rFonts w:eastAsia="Times New Roman"/>
          <w:noProof/>
          <w:szCs w:val="24"/>
        </w:rPr>
        <w:sectPr>
          <w:footerReference w:type="default" r:id="rId16"/>
          <w:footerReference w:type="first" r:id="rId17"/>
          <w:footnotePr>
            <w:numRestart w:val="eachPage"/>
          </w:footnotePr>
          <w:pgSz w:w="11907" w:h="16839"/>
          <w:pgMar w:top="1134" w:right="1134" w:bottom="1134" w:left="1134" w:header="567" w:footer="567" w:gutter="0"/>
          <w:cols w:space="720"/>
          <w:docGrid w:linePitch="360"/>
        </w:sectPr>
      </w:pPr>
    </w:p>
    <w:p>
      <w:pPr>
        <w:spacing w:line="360" w:lineRule="auto"/>
        <w:jc w:val="center"/>
        <w:rPr>
          <w:rFonts w:eastAsia="Times New Roman"/>
          <w:noProof/>
          <w:szCs w:val="24"/>
        </w:rPr>
      </w:pPr>
      <w:r>
        <w:rPr>
          <w:noProof/>
        </w:rPr>
        <w:lastRenderedPageBreak/>
        <w:t>ПРИЛОЖЕНИЕ</w:t>
      </w:r>
    </w:p>
    <w:p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bCs/>
          <w:noProof/>
          <w:sz w:val="23"/>
          <w:szCs w:val="23"/>
        </w:rPr>
      </w:pPr>
      <w:r>
        <w:rPr>
          <w:b/>
          <w:noProof/>
          <w:sz w:val="23"/>
        </w:rPr>
        <w:t>Обяснителни бележки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b/>
          <w:bCs/>
          <w:noProof/>
          <w:sz w:val="23"/>
          <w:szCs w:val="23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b/>
          <w:bCs/>
          <w:noProof/>
          <w:sz w:val="23"/>
          <w:szCs w:val="23"/>
        </w:rPr>
      </w:pPr>
      <w:r>
        <w:rPr>
          <w:b/>
          <w:noProof/>
          <w:sz w:val="23"/>
        </w:rPr>
        <w:t>Член 15 — Сертификат за движение EUR.l: формуляри и указания за попълване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b/>
          <w:bCs/>
          <w:noProof/>
          <w:sz w:val="23"/>
          <w:szCs w:val="23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b/>
          <w:bCs/>
          <w:noProof/>
          <w:sz w:val="23"/>
          <w:szCs w:val="23"/>
        </w:rPr>
      </w:pPr>
      <w:r>
        <w:rPr>
          <w:b/>
          <w:noProof/>
          <w:sz w:val="23"/>
        </w:rPr>
        <w:t>Сериен номер на сертификата за движение EUR.l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b/>
          <w:bCs/>
          <w:noProof/>
          <w:sz w:val="23"/>
          <w:szCs w:val="23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sz w:val="23"/>
          <w:szCs w:val="23"/>
        </w:rPr>
      </w:pPr>
      <w:r>
        <w:rPr>
          <w:noProof/>
          <w:sz w:val="23"/>
        </w:rPr>
        <w:t>Сертификатът за движение EUR.l трябва да е обозначен със сериен номер, за да се улесни идентификацията. Серийният номер обикновено се състои от букви и цифри.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sz w:val="23"/>
          <w:szCs w:val="23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b/>
          <w:bCs/>
          <w:noProof/>
          <w:sz w:val="23"/>
          <w:szCs w:val="23"/>
        </w:rPr>
      </w:pPr>
      <w:r>
        <w:rPr>
          <w:b/>
          <w:noProof/>
          <w:sz w:val="23"/>
        </w:rPr>
        <w:t>Формуляри за сертификата за движение EUR.l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b/>
          <w:bCs/>
          <w:noProof/>
          <w:sz w:val="23"/>
          <w:szCs w:val="23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sz w:val="23"/>
          <w:szCs w:val="23"/>
        </w:rPr>
      </w:pPr>
      <w:r>
        <w:rPr>
          <w:noProof/>
          <w:sz w:val="23"/>
        </w:rPr>
        <w:t>Сертификатите за движение EUR.l, чиито формулировки се различават в зависимост от издаващия компетентен държавен орган, в сравнение с образеца, съдържащ се в допълнение 3 („Образци на сертификат за движение EUR.l и заявление за издаване на сертификат за движение EUR.l“) към приложение II („Относно определението на понятието „продукти с произход“ и методите на административно сътрудничество“) към споразумението, могат да бъдат приети като доказателство за произход, ако: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sz w:val="23"/>
          <w:szCs w:val="23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sz w:val="23"/>
          <w:szCs w:val="23"/>
        </w:rPr>
      </w:pPr>
      <w:r>
        <w:rPr>
          <w:noProof/>
          <w:sz w:val="23"/>
        </w:rPr>
        <w:t>a) разликите не променят информацията, изисквана във всяка клетка; и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sz w:val="23"/>
          <w:szCs w:val="23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sz w:val="23"/>
          <w:szCs w:val="23"/>
        </w:rPr>
      </w:pPr>
      <w:r>
        <w:rPr>
          <w:noProof/>
          <w:sz w:val="23"/>
        </w:rPr>
        <w:t>б) компетентните държавни органи на страните са си предоставили взаимно различните образци на сертификата чрез Европейската комисия и са уведомили координаторите по част IV от настоящото споразумение.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sz w:val="23"/>
          <w:szCs w:val="23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b/>
          <w:bCs/>
          <w:noProof/>
          <w:sz w:val="23"/>
          <w:szCs w:val="23"/>
        </w:rPr>
      </w:pPr>
      <w:r>
        <w:rPr>
          <w:b/>
          <w:noProof/>
          <w:sz w:val="23"/>
        </w:rPr>
        <w:t>Клетка 1: Износител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b/>
          <w:bCs/>
          <w:noProof/>
          <w:sz w:val="23"/>
          <w:szCs w:val="23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sz w:val="23"/>
          <w:szCs w:val="23"/>
        </w:rPr>
      </w:pPr>
      <w:r>
        <w:rPr>
          <w:noProof/>
          <w:sz w:val="23"/>
        </w:rPr>
        <w:t>Предоставят се пълни данни за износителя на стоките (име, пълен настоящ адрес и държава, от която произхожда износът).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sz w:val="23"/>
          <w:szCs w:val="23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b/>
          <w:bCs/>
          <w:noProof/>
          <w:sz w:val="23"/>
          <w:szCs w:val="23"/>
        </w:rPr>
      </w:pPr>
      <w:r>
        <w:rPr>
          <w:b/>
          <w:noProof/>
          <w:sz w:val="23"/>
        </w:rPr>
        <w:t>Клетка 2: Сертификат, използван при преференциалната търговия между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b/>
          <w:bCs/>
          <w:noProof/>
          <w:sz w:val="23"/>
          <w:szCs w:val="23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sz w:val="23"/>
          <w:szCs w:val="23"/>
        </w:rPr>
      </w:pPr>
      <w:r>
        <w:rPr>
          <w:noProof/>
          <w:sz w:val="23"/>
        </w:rPr>
        <w:t>За тази цел се посочват: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sz w:val="23"/>
          <w:szCs w:val="23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sz w:val="23"/>
          <w:szCs w:val="23"/>
        </w:rPr>
      </w:pPr>
      <w:r>
        <w:rPr>
          <w:noProof/>
          <w:sz w:val="23"/>
        </w:rPr>
        <w:t>Централна Америка; Европейски съюз или ЕС</w:t>
      </w:r>
      <w:r>
        <w:rPr>
          <w:rStyle w:val="FootnoteReference"/>
          <w:noProof/>
        </w:rPr>
        <w:footnoteReference w:id="1"/>
      </w:r>
      <w:r>
        <w:rPr>
          <w:noProof/>
          <w:sz w:val="23"/>
        </w:rPr>
        <w:t xml:space="preserve">; Сеута; Мелила; Андора или AD; Сан Марино или SM. 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sz w:val="23"/>
          <w:szCs w:val="23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b/>
          <w:bCs/>
          <w:noProof/>
          <w:sz w:val="23"/>
          <w:szCs w:val="23"/>
        </w:rPr>
      </w:pPr>
      <w:r>
        <w:rPr>
          <w:b/>
          <w:noProof/>
          <w:sz w:val="23"/>
        </w:rPr>
        <w:t>Клетка 3: Получател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b/>
          <w:bCs/>
          <w:noProof/>
          <w:sz w:val="23"/>
          <w:szCs w:val="23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sz w:val="23"/>
          <w:szCs w:val="23"/>
        </w:rPr>
      </w:pPr>
      <w:r>
        <w:rPr>
          <w:noProof/>
          <w:sz w:val="23"/>
        </w:rPr>
        <w:t>Попълването на тази клетка не е задължително. Ако тази клетка се попълва, трябва да се впишат данни за получателя:  име, пълен настоящ адрес и държава на местоназначение на стоките.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sz w:val="23"/>
          <w:szCs w:val="23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b/>
          <w:bCs/>
          <w:noProof/>
          <w:sz w:val="23"/>
          <w:szCs w:val="23"/>
        </w:rPr>
      </w:pPr>
      <w:r>
        <w:rPr>
          <w:b/>
          <w:noProof/>
          <w:sz w:val="23"/>
        </w:rPr>
        <w:t>Клетка 4: Държава, група държави или територия, която се счита за място на произход на продуктите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b/>
          <w:bCs/>
          <w:noProof/>
          <w:sz w:val="23"/>
          <w:szCs w:val="23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sz w:val="23"/>
          <w:szCs w:val="23"/>
        </w:rPr>
      </w:pPr>
      <w:r>
        <w:rPr>
          <w:noProof/>
          <w:sz w:val="23"/>
        </w:rPr>
        <w:t>Посочва се държавата, групата държави или територията на произход на стоките: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sz w:val="23"/>
          <w:szCs w:val="23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sz w:val="23"/>
          <w:szCs w:val="23"/>
        </w:rPr>
      </w:pPr>
      <w:r>
        <w:rPr>
          <w:noProof/>
          <w:sz w:val="23"/>
        </w:rPr>
        <w:lastRenderedPageBreak/>
        <w:t>Централна Америка; Европейски съюз или ЕС</w:t>
      </w:r>
      <w:r>
        <w:rPr>
          <w:rStyle w:val="FootnoteReference"/>
          <w:noProof/>
        </w:rPr>
        <w:footnoteReference w:id="2"/>
      </w:r>
      <w:r>
        <w:rPr>
          <w:noProof/>
          <w:sz w:val="23"/>
        </w:rPr>
        <w:t>; Сеута; Мелила; Андора или AD; Сан Марино или SM.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sz w:val="23"/>
          <w:szCs w:val="23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b/>
          <w:bCs/>
          <w:noProof/>
          <w:sz w:val="23"/>
          <w:szCs w:val="23"/>
        </w:rPr>
      </w:pPr>
      <w:r>
        <w:rPr>
          <w:b/>
          <w:noProof/>
          <w:sz w:val="23"/>
        </w:rPr>
        <w:t>Клетка 5: Държава, група държави или територия по местоназначение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b/>
          <w:bCs/>
          <w:noProof/>
          <w:sz w:val="23"/>
          <w:szCs w:val="23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sz w:val="23"/>
          <w:szCs w:val="23"/>
        </w:rPr>
      </w:pPr>
      <w:r>
        <w:rPr>
          <w:noProof/>
          <w:sz w:val="23"/>
        </w:rPr>
        <w:t>Посочва се държавата, групата държави или територията на страната вносител, в която ще бъдат доставени продуктите: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sz w:val="23"/>
          <w:szCs w:val="23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sz w:val="23"/>
          <w:szCs w:val="23"/>
        </w:rPr>
      </w:pPr>
      <w:r>
        <w:rPr>
          <w:noProof/>
          <w:sz w:val="23"/>
        </w:rPr>
        <w:t>Централна Америка; Европейски съюз или ЕС</w:t>
      </w:r>
      <w:r>
        <w:rPr>
          <w:rStyle w:val="FootnoteReference"/>
          <w:noProof/>
        </w:rPr>
        <w:footnoteReference w:id="3"/>
      </w:r>
      <w:r>
        <w:rPr>
          <w:noProof/>
          <w:sz w:val="23"/>
        </w:rPr>
        <w:t xml:space="preserve">; Сеута; Мелила; Андора или AD; Сан Марино или SM. 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sz w:val="23"/>
          <w:szCs w:val="23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b/>
          <w:bCs/>
          <w:noProof/>
          <w:sz w:val="23"/>
          <w:szCs w:val="23"/>
        </w:rPr>
      </w:pPr>
      <w:r>
        <w:rPr>
          <w:b/>
          <w:noProof/>
          <w:sz w:val="23"/>
        </w:rPr>
        <w:t>Клетка 6: Сведения относно транспорта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b/>
          <w:bCs/>
          <w:noProof/>
          <w:sz w:val="23"/>
          <w:szCs w:val="23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sz w:val="23"/>
          <w:szCs w:val="23"/>
        </w:rPr>
      </w:pPr>
      <w:r>
        <w:rPr>
          <w:noProof/>
          <w:sz w:val="23"/>
        </w:rPr>
        <w:t>Попълването на тази клетка не е задължително. Ако тази клетка се попълва, се посочват транспортните средства и номерата на въздушната товарителница или коносамента, с имената на съответните транспортни дружества.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sz w:val="23"/>
          <w:szCs w:val="23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b/>
          <w:bCs/>
          <w:noProof/>
          <w:sz w:val="23"/>
          <w:szCs w:val="23"/>
        </w:rPr>
      </w:pPr>
      <w:r>
        <w:rPr>
          <w:b/>
          <w:noProof/>
          <w:sz w:val="23"/>
        </w:rPr>
        <w:t>Клетка 7: Забележки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b/>
          <w:bCs/>
          <w:noProof/>
          <w:sz w:val="23"/>
          <w:szCs w:val="23"/>
        </w:rPr>
      </w:pPr>
      <w:r>
        <w:rPr>
          <w:b/>
          <w:noProof/>
          <w:sz w:val="23"/>
        </w:rPr>
        <w:t xml:space="preserve"> 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sz w:val="23"/>
          <w:szCs w:val="23"/>
        </w:rPr>
      </w:pPr>
      <w:r>
        <w:rPr>
          <w:noProof/>
          <w:sz w:val="23"/>
        </w:rPr>
        <w:t>Тази клетка се попълва: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sz w:val="23"/>
          <w:szCs w:val="23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sz w:val="23"/>
          <w:szCs w:val="23"/>
        </w:rPr>
      </w:pPr>
      <w:r>
        <w:rPr>
          <w:noProof/>
          <w:sz w:val="23"/>
        </w:rPr>
        <w:t>1. В случай на сертификат, издаден след износа на стоките съгласно член 16 от приложение II към споразумението, на един от езиците, предвидени в споразумението, в тази клетка се посочва следното:  „ISSUED RETROSPECTIVELY“. Освен това в случая по член 16.1, буква б) от приложение II, в тази клетка се посочва номерът на сертификата за движение EUR.1, който по технически причини не е бил приет при вноса: „EUR.1 №.....“.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sz w:val="23"/>
          <w:szCs w:val="23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sz w:val="23"/>
          <w:szCs w:val="23"/>
        </w:rPr>
      </w:pPr>
      <w:r>
        <w:rPr>
          <w:noProof/>
          <w:sz w:val="23"/>
        </w:rPr>
        <w:t>2. В случай на дубликат на сертификат, издаден съгласно член 17 от приложение II към споразумението, на един от езиците, предвидени в споразумението, в тази клетка се посочва следното:  „DUPLICATE“ и датата на издаване на оригиналния сертификат EUR.l.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sz w:val="23"/>
          <w:szCs w:val="23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sz w:val="23"/>
          <w:szCs w:val="23"/>
        </w:rPr>
      </w:pPr>
      <w:r>
        <w:rPr>
          <w:noProof/>
          <w:sz w:val="23"/>
        </w:rPr>
        <w:t>3. В случай на кумулация на произход с Боливия, Колумбия, Еквадор, Перу или Венецуела, в тази клетка се посочва следното:  „кумулация с (име на държавата)“ съгласно член 3 от приложение II.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sz w:val="23"/>
          <w:szCs w:val="23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sz w:val="23"/>
          <w:szCs w:val="23"/>
        </w:rPr>
      </w:pPr>
      <w:r>
        <w:rPr>
          <w:noProof/>
          <w:sz w:val="23"/>
        </w:rPr>
        <w:t>4. В случай на продукт, обхванат от правило за произход, за което е наложена квота, в тази клетка се посочва следното: „Продукт с произход в съответствие с допълнение 2A към приложение II („Относно определението на понятието „продукти с произход“ и методите на административно сътрудничество“)“.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sz w:val="23"/>
          <w:szCs w:val="23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sz w:val="23"/>
          <w:szCs w:val="23"/>
        </w:rPr>
      </w:pPr>
      <w:r>
        <w:rPr>
          <w:noProof/>
          <w:sz w:val="23"/>
        </w:rPr>
        <w:t>5. Тази клетка се попълва в други случаи, когато може да бъде счетено за полезно да се уточни информацията от сертификата за движение EUR.1.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sz w:val="23"/>
          <w:szCs w:val="23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b/>
          <w:bCs/>
          <w:noProof/>
          <w:sz w:val="23"/>
          <w:szCs w:val="23"/>
        </w:rPr>
      </w:pPr>
      <w:r>
        <w:rPr>
          <w:b/>
          <w:noProof/>
          <w:sz w:val="23"/>
        </w:rPr>
        <w:t xml:space="preserve">Клетка 8: Номер на изделието; маркировки и номера; брой и вид на опаковките; описание на стоките 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b/>
          <w:bCs/>
          <w:noProof/>
          <w:sz w:val="23"/>
          <w:szCs w:val="23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sz w:val="23"/>
          <w:szCs w:val="23"/>
        </w:rPr>
      </w:pPr>
      <w:r>
        <w:rPr>
          <w:noProof/>
          <w:sz w:val="23"/>
        </w:rPr>
        <w:t xml:space="preserve">Представя се описание на стоките в съответствие с описанието във фактурата (номер на поръчката или артикула; маркировки и номера; брой и вид на опаковките — палети, кутии, </w:t>
      </w:r>
      <w:r>
        <w:rPr>
          <w:noProof/>
          <w:sz w:val="23"/>
        </w:rPr>
        <w:lastRenderedPageBreak/>
        <w:t>торби, рула, варели, чували и т.н.)  Може да се предостави общо описание на стоките, доколкото е свързано с конкретното описание във фактурата и между документите за внос и сертификата за движение EUR.l има недвусмислена връзка. В този случай в тази клетка се посочва номерът на фактурата . Във всеки случай, тарифното класиране следва да се посочи най-малко на ниво позиция (четирицифрен код) по Хармонизираната система.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sz w:val="23"/>
          <w:szCs w:val="23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sz w:val="23"/>
          <w:szCs w:val="23"/>
        </w:rPr>
      </w:pPr>
      <w:r>
        <w:rPr>
          <w:noProof/>
          <w:sz w:val="23"/>
        </w:rPr>
        <w:t>Ако стоките не са опаковани, се посочва броят на артикулите или се вписва „в насипно състояние“, според конкретния случай.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sz w:val="23"/>
          <w:szCs w:val="23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sz w:val="23"/>
          <w:szCs w:val="23"/>
        </w:rPr>
      </w:pPr>
      <w:r>
        <w:rPr>
          <w:noProof/>
          <w:sz w:val="23"/>
        </w:rPr>
        <w:t>Описанието на стоките трябва да се предшества от номер на поръчката или изделието, без да се оставят празни редове или интервали, а между продуктите, посочени в сертификата, не следва да има празни интервали. Ако клетката не е изцяло попълнена, под последния ред на описанието трябва да се постави хоризонтална черта, като празното място се зачертава така, че да са невъзможни последващи добавяния.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sz w:val="23"/>
          <w:szCs w:val="23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b/>
          <w:bCs/>
          <w:noProof/>
          <w:sz w:val="23"/>
          <w:szCs w:val="23"/>
        </w:rPr>
      </w:pPr>
      <w:r>
        <w:rPr>
          <w:b/>
          <w:noProof/>
          <w:sz w:val="23"/>
        </w:rPr>
        <w:t>Клетка 9: Брутно тегло (kg) или друга мерна единица (литри, m</w:t>
      </w:r>
      <w:r>
        <w:rPr>
          <w:b/>
          <w:noProof/>
          <w:sz w:val="23"/>
          <w:vertAlign w:val="superscript"/>
        </w:rPr>
        <w:t>3</w:t>
      </w:r>
      <w:r>
        <w:rPr>
          <w:b/>
          <w:noProof/>
          <w:sz w:val="23"/>
        </w:rPr>
        <w:t xml:space="preserve"> и т.н.)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b/>
          <w:bCs/>
          <w:noProof/>
          <w:sz w:val="23"/>
          <w:szCs w:val="23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sz w:val="23"/>
          <w:szCs w:val="23"/>
        </w:rPr>
      </w:pPr>
      <w:r>
        <w:rPr>
          <w:noProof/>
          <w:sz w:val="23"/>
        </w:rPr>
        <w:t>Посочва се брутното тегло (kg) или друга мерна единица (литри, m³ и т. н.) на всички стоки, изброени в клетка 8, или отделно за всяко изделие (позиция по ХС).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sz w:val="23"/>
          <w:szCs w:val="23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b/>
          <w:bCs/>
          <w:noProof/>
          <w:sz w:val="23"/>
          <w:szCs w:val="23"/>
        </w:rPr>
      </w:pPr>
      <w:r>
        <w:rPr>
          <w:b/>
          <w:noProof/>
          <w:sz w:val="23"/>
        </w:rPr>
        <w:t>Клетка 10: Фактури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b/>
          <w:bCs/>
          <w:noProof/>
          <w:sz w:val="23"/>
          <w:szCs w:val="23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sz w:val="23"/>
          <w:szCs w:val="23"/>
        </w:rPr>
      </w:pPr>
      <w:r>
        <w:rPr>
          <w:noProof/>
          <w:sz w:val="23"/>
        </w:rPr>
        <w:t>Попълването на тази клетка не е задължително. Ако тази клетка се попълва, се посочват датата и номера на фактурата/фактурите.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b/>
          <w:bCs/>
          <w:noProof/>
          <w:sz w:val="23"/>
          <w:szCs w:val="23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b/>
          <w:bCs/>
          <w:noProof/>
          <w:sz w:val="23"/>
          <w:szCs w:val="23"/>
        </w:rPr>
      </w:pPr>
      <w:r>
        <w:rPr>
          <w:b/>
          <w:noProof/>
          <w:sz w:val="23"/>
        </w:rPr>
        <w:t>Клетка 11: Заверка от компетентния държавен или митнически орган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b/>
          <w:bCs/>
          <w:noProof/>
          <w:sz w:val="23"/>
          <w:szCs w:val="23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sz w:val="23"/>
          <w:szCs w:val="23"/>
        </w:rPr>
      </w:pPr>
      <w:r>
        <w:rPr>
          <w:noProof/>
          <w:sz w:val="23"/>
        </w:rPr>
        <w:t>Тази клетка се използва изключително от компетентния държавен или митнически орган (според конкретния случай във всяка държава), който издава сертификата.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b/>
          <w:bCs/>
          <w:noProof/>
          <w:sz w:val="23"/>
          <w:szCs w:val="23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b/>
          <w:bCs/>
          <w:noProof/>
          <w:sz w:val="23"/>
          <w:szCs w:val="23"/>
        </w:rPr>
      </w:pPr>
      <w:r>
        <w:rPr>
          <w:b/>
          <w:noProof/>
          <w:sz w:val="23"/>
        </w:rPr>
        <w:t xml:space="preserve">Клетка 12: Декларация на износителя 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b/>
          <w:bCs/>
          <w:noProof/>
          <w:sz w:val="23"/>
          <w:szCs w:val="23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sz w:val="23"/>
          <w:szCs w:val="23"/>
        </w:rPr>
      </w:pPr>
      <w:r>
        <w:rPr>
          <w:noProof/>
          <w:sz w:val="23"/>
        </w:rPr>
        <w:t>Тази клетка се използва изключително от износителя или негов упълномощен представител. Тя трябва да съдържа мястото и датата на съставяне на сертификата и да бъде подписана от износителя или негов упълномощен представител.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sz w:val="23"/>
          <w:szCs w:val="23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sz w:val="23"/>
          <w:szCs w:val="23"/>
        </w:rPr>
      </w:pPr>
      <w:r>
        <w:rPr>
          <w:noProof/>
          <w:sz w:val="23"/>
        </w:rPr>
        <w:t>Износителят или неговият упълномощен представител може да подпише физически или съответната страна по споразумението може да им позволи да положат електронен подпис върху сертификата EUR.1.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sz w:val="23"/>
          <w:szCs w:val="23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b/>
          <w:bCs/>
          <w:noProof/>
          <w:sz w:val="23"/>
          <w:szCs w:val="23"/>
        </w:rPr>
      </w:pPr>
      <w:r>
        <w:rPr>
          <w:b/>
          <w:noProof/>
          <w:sz w:val="23"/>
        </w:rPr>
        <w:t>Клетка 13: Искане за проверка и клетка 14:</w:t>
      </w:r>
      <w:r>
        <w:rPr>
          <w:b/>
          <w:i/>
          <w:noProof/>
          <w:sz w:val="22"/>
        </w:rPr>
        <w:t xml:space="preserve"> </w:t>
      </w:r>
      <w:r>
        <w:rPr>
          <w:b/>
          <w:noProof/>
          <w:sz w:val="23"/>
        </w:rPr>
        <w:t>Резултат от проверката:</w:t>
      </w:r>
    </w:p>
    <w:p>
      <w:pPr>
        <w:autoSpaceDE w:val="0"/>
        <w:autoSpaceDN w:val="0"/>
        <w:adjustRightInd w:val="0"/>
        <w:spacing w:before="0" w:after="0"/>
        <w:rPr>
          <w:rFonts w:eastAsia="Times New Roman"/>
          <w:b/>
          <w:bCs/>
          <w:noProof/>
          <w:sz w:val="23"/>
          <w:szCs w:val="23"/>
        </w:rPr>
      </w:pPr>
    </w:p>
    <w:p>
      <w:pPr>
        <w:autoSpaceDE w:val="0"/>
        <w:autoSpaceDN w:val="0"/>
        <w:adjustRightInd w:val="0"/>
        <w:spacing w:before="0" w:after="0"/>
        <w:rPr>
          <w:rFonts w:eastAsia="Times New Roman"/>
          <w:noProof/>
          <w:sz w:val="23"/>
          <w:szCs w:val="23"/>
        </w:rPr>
      </w:pPr>
      <w:r>
        <w:rPr>
          <w:noProof/>
          <w:sz w:val="23"/>
        </w:rPr>
        <w:t>Тези клетки се използват изключително от митническия орган или от компетентния държавен орган във всяка държава, според конкретния случай, за целите на проверката.</w:t>
      </w:r>
    </w:p>
    <w:p>
      <w:pPr>
        <w:spacing w:line="360" w:lineRule="auto"/>
        <w:jc w:val="left"/>
        <w:rPr>
          <w:rFonts w:eastAsia="Times New Roman"/>
          <w:noProof/>
          <w:szCs w:val="24"/>
        </w:rPr>
        <w:sectPr>
          <w:footnotePr>
            <w:numRestart w:val="eachPage"/>
          </w:footnotePr>
          <w:pgSz w:w="11907" w:h="16839"/>
          <w:pgMar w:top="1134" w:right="1134" w:bottom="1134" w:left="1134" w:header="567" w:footer="567" w:gutter="0"/>
          <w:cols w:space="720"/>
          <w:docGrid w:linePitch="360"/>
        </w:sectPr>
      </w:pPr>
    </w:p>
    <w:p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bCs/>
          <w:noProof/>
          <w:sz w:val="23"/>
          <w:szCs w:val="23"/>
        </w:rPr>
      </w:pPr>
      <w:r>
        <w:rPr>
          <w:b/>
          <w:noProof/>
          <w:sz w:val="23"/>
        </w:rPr>
        <w:lastRenderedPageBreak/>
        <w:t>Приложение към сертификата за движение EUR.l — указания за попълване</w:t>
      </w:r>
    </w:p>
    <w:p>
      <w:pPr>
        <w:spacing w:line="360" w:lineRule="auto"/>
        <w:jc w:val="center"/>
        <w:rPr>
          <w:rFonts w:eastAsia="Times New Roman"/>
          <w:noProof/>
          <w:sz w:val="23"/>
          <w:szCs w:val="23"/>
        </w:rPr>
      </w:pPr>
      <w:r>
        <w:rPr>
          <w:b/>
          <w:noProof/>
          <w:sz w:val="23"/>
        </w:rPr>
        <w:t>Наименования, които се отнасят недвусмислено до Съюза</w:t>
      </w:r>
    </w:p>
    <w:tbl>
      <w:tblPr>
        <w:tblW w:w="4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709"/>
        <w:gridCol w:w="2835"/>
      </w:tblGrid>
      <w:tr>
        <w:trPr>
          <w:jc w:val="center"/>
        </w:trPr>
        <w:tc>
          <w:tcPr>
            <w:tcW w:w="1305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b/>
                <w:noProof/>
                <w:szCs w:val="24"/>
              </w:rPr>
            </w:pPr>
            <w:r>
              <w:rPr>
                <w:b/>
                <w:noProof/>
              </w:rPr>
              <w:t>Език</w:t>
            </w:r>
          </w:p>
        </w:tc>
        <w:tc>
          <w:tcPr>
            <w:tcW w:w="709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b/>
                <w:noProof/>
                <w:szCs w:val="24"/>
              </w:rPr>
            </w:pPr>
            <w:r>
              <w:rPr>
                <w:b/>
                <w:noProof/>
              </w:rPr>
              <w:t>ЕС</w:t>
            </w:r>
          </w:p>
        </w:tc>
        <w:tc>
          <w:tcPr>
            <w:tcW w:w="2835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b/>
                <w:noProof/>
                <w:szCs w:val="24"/>
              </w:rPr>
            </w:pPr>
            <w:r>
              <w:rPr>
                <w:b/>
                <w:noProof/>
              </w:rPr>
              <w:t>Европейски съюз (ЕС)</w:t>
            </w:r>
          </w:p>
        </w:tc>
      </w:tr>
      <w:tr>
        <w:trPr>
          <w:jc w:val="center"/>
        </w:trPr>
        <w:tc>
          <w:tcPr>
            <w:tcW w:w="1305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BG</w:t>
            </w:r>
          </w:p>
        </w:tc>
        <w:tc>
          <w:tcPr>
            <w:tcW w:w="709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EC</w:t>
            </w:r>
          </w:p>
        </w:tc>
        <w:tc>
          <w:tcPr>
            <w:tcW w:w="2835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Европейски съюз (ЕС)</w:t>
            </w:r>
          </w:p>
        </w:tc>
      </w:tr>
      <w:tr>
        <w:trPr>
          <w:jc w:val="center"/>
        </w:trPr>
        <w:tc>
          <w:tcPr>
            <w:tcW w:w="1305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CS</w:t>
            </w:r>
          </w:p>
        </w:tc>
        <w:tc>
          <w:tcPr>
            <w:tcW w:w="709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EU</w:t>
            </w:r>
          </w:p>
        </w:tc>
        <w:tc>
          <w:tcPr>
            <w:tcW w:w="2835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Evropská unie</w:t>
            </w:r>
          </w:p>
        </w:tc>
      </w:tr>
      <w:tr>
        <w:trPr>
          <w:jc w:val="center"/>
        </w:trPr>
        <w:tc>
          <w:tcPr>
            <w:tcW w:w="1305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DA</w:t>
            </w:r>
          </w:p>
        </w:tc>
        <w:tc>
          <w:tcPr>
            <w:tcW w:w="709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EU</w:t>
            </w:r>
          </w:p>
        </w:tc>
        <w:tc>
          <w:tcPr>
            <w:tcW w:w="2835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Den Europæiske Union</w:t>
            </w:r>
          </w:p>
        </w:tc>
      </w:tr>
      <w:tr>
        <w:trPr>
          <w:jc w:val="center"/>
        </w:trPr>
        <w:tc>
          <w:tcPr>
            <w:tcW w:w="1305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DE</w:t>
            </w:r>
          </w:p>
        </w:tc>
        <w:tc>
          <w:tcPr>
            <w:tcW w:w="709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EU</w:t>
            </w:r>
          </w:p>
        </w:tc>
        <w:tc>
          <w:tcPr>
            <w:tcW w:w="2835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Europäische Union</w:t>
            </w:r>
          </w:p>
        </w:tc>
      </w:tr>
      <w:tr>
        <w:trPr>
          <w:jc w:val="center"/>
        </w:trPr>
        <w:tc>
          <w:tcPr>
            <w:tcW w:w="1305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EL</w:t>
            </w:r>
          </w:p>
        </w:tc>
        <w:tc>
          <w:tcPr>
            <w:tcW w:w="709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EE</w:t>
            </w:r>
          </w:p>
        </w:tc>
        <w:tc>
          <w:tcPr>
            <w:tcW w:w="2835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Ευρωπαϊκή Ένωση</w:t>
            </w:r>
          </w:p>
        </w:tc>
      </w:tr>
      <w:tr>
        <w:trPr>
          <w:jc w:val="center"/>
        </w:trPr>
        <w:tc>
          <w:tcPr>
            <w:tcW w:w="1305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EN</w:t>
            </w:r>
          </w:p>
        </w:tc>
        <w:tc>
          <w:tcPr>
            <w:tcW w:w="709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EU</w:t>
            </w:r>
          </w:p>
        </w:tc>
        <w:tc>
          <w:tcPr>
            <w:tcW w:w="2835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European Union</w:t>
            </w:r>
          </w:p>
        </w:tc>
      </w:tr>
      <w:tr>
        <w:trPr>
          <w:jc w:val="center"/>
        </w:trPr>
        <w:tc>
          <w:tcPr>
            <w:tcW w:w="1305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ES</w:t>
            </w:r>
          </w:p>
        </w:tc>
        <w:tc>
          <w:tcPr>
            <w:tcW w:w="709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UE</w:t>
            </w:r>
          </w:p>
        </w:tc>
        <w:tc>
          <w:tcPr>
            <w:tcW w:w="2835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 xml:space="preserve">Unión Europea </w:t>
            </w:r>
          </w:p>
        </w:tc>
      </w:tr>
      <w:tr>
        <w:trPr>
          <w:jc w:val="center"/>
        </w:trPr>
        <w:tc>
          <w:tcPr>
            <w:tcW w:w="1305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ET</w:t>
            </w:r>
          </w:p>
        </w:tc>
        <w:tc>
          <w:tcPr>
            <w:tcW w:w="709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EL</w:t>
            </w:r>
          </w:p>
        </w:tc>
        <w:tc>
          <w:tcPr>
            <w:tcW w:w="2835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Euroopa Liit</w:t>
            </w:r>
          </w:p>
        </w:tc>
      </w:tr>
      <w:tr>
        <w:trPr>
          <w:jc w:val="center"/>
        </w:trPr>
        <w:tc>
          <w:tcPr>
            <w:tcW w:w="1305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FI</w:t>
            </w:r>
          </w:p>
        </w:tc>
        <w:tc>
          <w:tcPr>
            <w:tcW w:w="709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EU</w:t>
            </w:r>
          </w:p>
        </w:tc>
        <w:tc>
          <w:tcPr>
            <w:tcW w:w="2835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Euroopan unioni</w:t>
            </w:r>
          </w:p>
        </w:tc>
      </w:tr>
      <w:tr>
        <w:trPr>
          <w:jc w:val="center"/>
        </w:trPr>
        <w:tc>
          <w:tcPr>
            <w:tcW w:w="1305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FR</w:t>
            </w:r>
          </w:p>
        </w:tc>
        <w:tc>
          <w:tcPr>
            <w:tcW w:w="709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UE</w:t>
            </w:r>
          </w:p>
        </w:tc>
        <w:tc>
          <w:tcPr>
            <w:tcW w:w="2835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Union européenne</w:t>
            </w:r>
          </w:p>
        </w:tc>
      </w:tr>
      <w:tr>
        <w:trPr>
          <w:jc w:val="center"/>
        </w:trPr>
        <w:tc>
          <w:tcPr>
            <w:tcW w:w="1305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HR</w:t>
            </w:r>
          </w:p>
        </w:tc>
        <w:tc>
          <w:tcPr>
            <w:tcW w:w="709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EU</w:t>
            </w:r>
          </w:p>
        </w:tc>
        <w:tc>
          <w:tcPr>
            <w:tcW w:w="2835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Europska unija</w:t>
            </w:r>
          </w:p>
        </w:tc>
      </w:tr>
      <w:tr>
        <w:trPr>
          <w:jc w:val="center"/>
        </w:trPr>
        <w:tc>
          <w:tcPr>
            <w:tcW w:w="1305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HU</w:t>
            </w:r>
          </w:p>
        </w:tc>
        <w:tc>
          <w:tcPr>
            <w:tcW w:w="709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EU</w:t>
            </w:r>
          </w:p>
        </w:tc>
        <w:tc>
          <w:tcPr>
            <w:tcW w:w="2835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Európai Unió</w:t>
            </w:r>
          </w:p>
        </w:tc>
      </w:tr>
      <w:tr>
        <w:trPr>
          <w:jc w:val="center"/>
        </w:trPr>
        <w:tc>
          <w:tcPr>
            <w:tcW w:w="1305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IT</w:t>
            </w:r>
          </w:p>
        </w:tc>
        <w:tc>
          <w:tcPr>
            <w:tcW w:w="709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UE</w:t>
            </w:r>
          </w:p>
        </w:tc>
        <w:tc>
          <w:tcPr>
            <w:tcW w:w="2835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Unione europea</w:t>
            </w:r>
          </w:p>
        </w:tc>
      </w:tr>
      <w:tr>
        <w:trPr>
          <w:jc w:val="center"/>
        </w:trPr>
        <w:tc>
          <w:tcPr>
            <w:tcW w:w="1305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LT</w:t>
            </w:r>
          </w:p>
        </w:tc>
        <w:tc>
          <w:tcPr>
            <w:tcW w:w="709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ES</w:t>
            </w:r>
          </w:p>
        </w:tc>
        <w:tc>
          <w:tcPr>
            <w:tcW w:w="2835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bCs/>
                <w:noProof/>
                <w:kern w:val="36"/>
                <w:szCs w:val="24"/>
              </w:rPr>
            </w:pPr>
            <w:r>
              <w:rPr>
                <w:noProof/>
              </w:rPr>
              <w:t>Europos Sąjunga</w:t>
            </w:r>
          </w:p>
        </w:tc>
      </w:tr>
      <w:tr>
        <w:trPr>
          <w:jc w:val="center"/>
        </w:trPr>
        <w:tc>
          <w:tcPr>
            <w:tcW w:w="1305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LV</w:t>
            </w:r>
          </w:p>
        </w:tc>
        <w:tc>
          <w:tcPr>
            <w:tcW w:w="709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ES</w:t>
            </w:r>
          </w:p>
        </w:tc>
        <w:tc>
          <w:tcPr>
            <w:tcW w:w="2835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 xml:space="preserve">Eiropas Savienība </w:t>
            </w:r>
          </w:p>
        </w:tc>
      </w:tr>
      <w:tr>
        <w:trPr>
          <w:jc w:val="center"/>
        </w:trPr>
        <w:tc>
          <w:tcPr>
            <w:tcW w:w="1305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MT</w:t>
            </w:r>
          </w:p>
        </w:tc>
        <w:tc>
          <w:tcPr>
            <w:tcW w:w="709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UE</w:t>
            </w:r>
          </w:p>
        </w:tc>
        <w:tc>
          <w:tcPr>
            <w:tcW w:w="2835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bCs/>
                <w:noProof/>
                <w:kern w:val="36"/>
                <w:szCs w:val="24"/>
              </w:rPr>
            </w:pPr>
            <w:r>
              <w:rPr>
                <w:noProof/>
              </w:rPr>
              <w:t>Unjoni Ewropea</w:t>
            </w:r>
          </w:p>
        </w:tc>
      </w:tr>
      <w:tr>
        <w:trPr>
          <w:jc w:val="center"/>
        </w:trPr>
        <w:tc>
          <w:tcPr>
            <w:tcW w:w="1305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NL</w:t>
            </w:r>
          </w:p>
        </w:tc>
        <w:tc>
          <w:tcPr>
            <w:tcW w:w="709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EU</w:t>
            </w:r>
          </w:p>
        </w:tc>
        <w:tc>
          <w:tcPr>
            <w:tcW w:w="2835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Europese Unie</w:t>
            </w:r>
          </w:p>
        </w:tc>
      </w:tr>
      <w:tr>
        <w:trPr>
          <w:jc w:val="center"/>
        </w:trPr>
        <w:tc>
          <w:tcPr>
            <w:tcW w:w="1305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PL</w:t>
            </w:r>
          </w:p>
        </w:tc>
        <w:tc>
          <w:tcPr>
            <w:tcW w:w="709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UE</w:t>
            </w:r>
          </w:p>
        </w:tc>
        <w:tc>
          <w:tcPr>
            <w:tcW w:w="2835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 xml:space="preserve">Unia Europejska </w:t>
            </w:r>
          </w:p>
        </w:tc>
      </w:tr>
      <w:tr>
        <w:trPr>
          <w:jc w:val="center"/>
        </w:trPr>
        <w:tc>
          <w:tcPr>
            <w:tcW w:w="1305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PT</w:t>
            </w:r>
          </w:p>
        </w:tc>
        <w:tc>
          <w:tcPr>
            <w:tcW w:w="709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UE</w:t>
            </w:r>
          </w:p>
        </w:tc>
        <w:tc>
          <w:tcPr>
            <w:tcW w:w="2835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União Europeia</w:t>
            </w:r>
          </w:p>
        </w:tc>
      </w:tr>
      <w:tr>
        <w:trPr>
          <w:jc w:val="center"/>
        </w:trPr>
        <w:tc>
          <w:tcPr>
            <w:tcW w:w="1305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RO</w:t>
            </w:r>
          </w:p>
        </w:tc>
        <w:tc>
          <w:tcPr>
            <w:tcW w:w="709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UE</w:t>
            </w:r>
          </w:p>
        </w:tc>
        <w:tc>
          <w:tcPr>
            <w:tcW w:w="2835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hyperlink r:id="rId18" w:tooltip="blocked::http://rmy.wikipedia.org/wiki/Europikano_Ekipen http://rmy.wikipedia.org/wiki/Europikano_Ekipen Europikano Ekipen">
              <w:r>
                <w:rPr>
                  <w:noProof/>
                </w:rPr>
                <w:t>Uniunea</w:t>
              </w:r>
            </w:hyperlink>
            <w:r>
              <w:rPr>
                <w:noProof/>
              </w:rPr>
              <w:t xml:space="preserve"> </w:t>
            </w:r>
            <w:r>
              <w:rPr>
                <w:noProof/>
              </w:rPr>
              <w:lastRenderedPageBreak/>
              <w:t>Europeană</w:t>
            </w:r>
          </w:p>
        </w:tc>
      </w:tr>
      <w:tr>
        <w:trPr>
          <w:jc w:val="center"/>
        </w:trPr>
        <w:tc>
          <w:tcPr>
            <w:tcW w:w="1305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lastRenderedPageBreak/>
              <w:t>SK</w:t>
            </w:r>
          </w:p>
        </w:tc>
        <w:tc>
          <w:tcPr>
            <w:tcW w:w="709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EÚ</w:t>
            </w:r>
          </w:p>
        </w:tc>
        <w:tc>
          <w:tcPr>
            <w:tcW w:w="2835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Európska únia</w:t>
            </w:r>
          </w:p>
        </w:tc>
      </w:tr>
      <w:tr>
        <w:trPr>
          <w:jc w:val="center"/>
        </w:trPr>
        <w:tc>
          <w:tcPr>
            <w:tcW w:w="1305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SL</w:t>
            </w:r>
          </w:p>
        </w:tc>
        <w:tc>
          <w:tcPr>
            <w:tcW w:w="709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EU</w:t>
            </w:r>
          </w:p>
        </w:tc>
        <w:tc>
          <w:tcPr>
            <w:tcW w:w="2835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Evropska unija</w:t>
            </w:r>
          </w:p>
        </w:tc>
      </w:tr>
      <w:tr>
        <w:trPr>
          <w:jc w:val="center"/>
        </w:trPr>
        <w:tc>
          <w:tcPr>
            <w:tcW w:w="1305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SV</w:t>
            </w:r>
          </w:p>
        </w:tc>
        <w:tc>
          <w:tcPr>
            <w:tcW w:w="709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EU</w:t>
            </w:r>
          </w:p>
        </w:tc>
        <w:tc>
          <w:tcPr>
            <w:tcW w:w="2835" w:type="dxa"/>
            <w:shd w:val="clear" w:color="auto" w:fill="auto"/>
          </w:tcPr>
          <w:p>
            <w:pPr>
              <w:shd w:val="clear" w:color="auto" w:fill="FFFFFF"/>
              <w:spacing w:before="0" w:after="160" w:line="259" w:lineRule="auto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t>Europeiska unionen</w:t>
            </w:r>
          </w:p>
        </w:tc>
      </w:tr>
    </w:tbl>
    <w:p>
      <w:pPr>
        <w:rPr>
          <w:noProof/>
        </w:rPr>
      </w:pPr>
    </w:p>
    <w:sectPr>
      <w:footnotePr>
        <w:numRestart w:val="eachSect"/>
      </w:footnotePr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8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Вж. „Приложение към сертификата за движение EUR.l — указания за попълване“.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Вж. „Приложение към сертификата за движение EUR.l — указания за попълване“.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Вж. „Приложение към сертификата за движение EUR.l — указания за попълване“.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69E73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90A8F13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7D0E16A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39D0693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58F29F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8286BB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6CA9B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F1ACD8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removeDateAndTime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6-07 07:55:3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5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56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55B5A353CC354B1D89EA20AE8AC6C4A9"/>
    <w:docVar w:name="LW_CROSSREFERENCE" w:val="&lt;UNUSED&gt;"/>
    <w:docVar w:name="LW_DocType" w:val="ANNEX"/>
    <w:docVar w:name="LW_EMISSION" w:val="17.5.2016"/>
    <w:docVar w:name="LW_EMISSION_ISODATE" w:val="2016-05-17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87?\u1086?\u1079?\u1080?\u1094?\u1080?\u1103?\u1090?\u1072?, \u1082?\u1086?\u1103?\u1090?\u1086? \u1076?\u1072? \u1073?\u1098?\u1076?\u1077? \u1079?\u1072?\u1077?\u1090?\u1072? \u1086?\u1090? \u1080?\u1084?\u1077?\u1090?\u1086? \u1085?\u1072? \u1045?\u1074?\u1088?\u1086?\u1087?\u1077?\u1081?\u1089?\u1082?\u1080?\u1103? \u1089?\u1098?\u1102?\u1079? \u1074? \u1088?\u1072?\u1084?\u1082?\u1080?\u1090?\u1077? \u1085?\u1072? \u1057?\u1098?\u1074?\u1077?\u1090?\u1072? \u1079?\u1072? \u1072?\u1089?\u1086?\u1094?\u1080?\u1080?\u1088?\u1072?\u1085?\u1077? \u1045?\u1057? \u8212? \u1062?\u1077?\u1085?\u1090?\u1088?\u1072?\u1083?\u1085?\u1072? \u1040?\u1084?\u1077?\u1088?\u1080?\u1082?\u1072? \u1074?\u1098?\u1074? \u1074?\u1088?\u1098?\u1079?\u1082?\u1072? \u1089? \u1086?\u1073?\u1103?\u1089?\u1085?\u1080?\u1090?\u1077?\u1083?\u1085?\u1080?\u1090?\u1077? \u1073?\u1077?\u1083?\u1077?\u1078?\u1082?\u1080? \u1082?\u1098?\u1084? \u1095?\u1083?\u1077?\u1085? 15 \u1086?\u1090? \u1087?\u1088?\u1080?\u1083?\u1086?\u1078?\u1077?\u1085?\u1080?\u1077? II \u1082?\u1098?\u1084? \u1057?\u1087?\u1086?\u1088?\u1072?\u1079?\u1091?\u1084?\u1077?\u1085?\u1080?\u1077?\u1090?\u1086? \u1079?\u1072? \u1072?\u1089?\u1086?\u1094?\u1080?\u1080?\u1088?\u1072?\u1085?\u1077? \u1084?\u1077?\u1078?\u1076?\u1091? \u1045?\u1074?\u1088?\u1086?\u1087?\u1077?\u1081?\u1089?\u1082?\u1080?\u1103? \u1089?\u1098?\u1102?\u1079? \u1080? \u1085?\u1077?\u1075?\u1086?\u1074?\u1080?\u1090?\u1077? \u1076?\u1098?\u1088?\u1078?\u1072?\u1074?\u1080? \u1095?\u1083?\u1077?\u1085?\u1082?\u1080?, \u1086?\u1090? \u1077?\u1076?\u1085?\u1072? \u1089?\u1090?\u1088?\u1072?\u1085?\u1072?, \u1080? \u1062?\u1077?\u1085?\u1090?\u1088?\u1072?\u1083?\u1085?\u1072? \u1040?\u1084?\u1077?\u1088?\u1080?\u1082?\u1072?, \u1086?\u1090? \u1076?\u1088?\u1091?\u1075?\u1072? \u1089?\u1090?\u1088?\u1072?\u1085?\u1072?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6) 262"/>
    <w:docVar w:name="LW_REF.INTERNE" w:val="&lt;UNUSED&gt;"/>
    <w:docVar w:name="LW_SUPERTITRE" w:val="&lt;UNUSED&gt;"/>
    <w:docVar w:name="LW_TITRE.OBJ.CP" w:val="\u1087?\u1088?\u1080?\u1090?\u1091?\u1088?\u1082?\u1072?"/>
    <w:docVar w:name="LW_TYPE.DOC.CP" w:val="\u1055?\u1056?\u1048?\u1051?\u1054?\u1046?\u1045?\u1053?\u1048?\u1045?"/>
    <w:docVar w:name="LW_TYPEACTEPRINCIPAL.CP" w:val="\u1055?\u1088?\u1077?\u1076?\u1083?\u1086?\u1078?\u1077?\u1085?\u1080?\u1077? \u1079?\u1072? \u1088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customStyle="1" w:styleId="FooterCouncil">
    <w:name w:val="Footer Council"/>
    <w:basedOn w:val="Normal"/>
    <w:pPr>
      <w:spacing w:before="0" w:after="0"/>
      <w:jc w:val="left"/>
    </w:pPr>
    <w:rPr>
      <w:rFonts w:eastAsia="Times New Roman"/>
      <w:sz w:val="2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customStyle="1" w:styleId="FooterCouncil">
    <w:name w:val="Footer Council"/>
    <w:basedOn w:val="Normal"/>
    <w:pPr>
      <w:spacing w:before="0" w:after="0"/>
      <w:jc w:val="left"/>
    </w:pPr>
    <w:rPr>
      <w:rFonts w:eastAsia="Times New Roman"/>
      <w:sz w:val="2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rmy.wikipedia.org/wiki/Europikano_Ekipe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101A5-DA25-4BD4-9178-60DB7A16B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8</Pages>
  <Words>1434</Words>
  <Characters>8093</Characters>
  <Application>Microsoft Office Word</Application>
  <DocSecurity>0</DocSecurity>
  <Lines>311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2016-06-03T08:45:00Z</dcterms:created>
  <dcterms:modified xsi:type="dcterms:W3CDTF">2016-06-07T05:55:00Z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 edited using">
    <vt:lpwstr>LW 5.8.4, Build 20150407</vt:lpwstr>
  </property>
  <property fmtid="{D5CDD505-2E9C-101B-9397-08002B2CF9AE}" pid="3" name="Classification">
    <vt:lpwstr> </vt:lpwstr>
  </property>
  <property fmtid="{D5CDD505-2E9C-101B-9397-08002B2CF9AE}" pid="4" name="Category">
    <vt:lpwstr>COM/ANNEX</vt:lpwstr>
  </property>
  <property fmtid="{D5CDD505-2E9C-101B-9397-08002B2CF9AE}" pid="5" name="First annex">
    <vt:lpwstr>1</vt:lpwstr>
  </property>
  <property fmtid="{D5CDD505-2E9C-101B-9397-08002B2CF9AE}" pid="6" name="Last annex">
    <vt:lpwstr>1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SG-017</vt:lpwstr>
  </property>
  <property fmtid="{D5CDD505-2E9C-101B-9397-08002B2CF9AE}" pid="10" name="DQCStatus">
    <vt:lpwstr>Green (DQC version 03)</vt:lpwstr>
  </property>
</Properties>
</file>