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6B74FC4CD524D77829BCA932E809451" style="width:450pt;height:334.5pt">
            <v:imagedata r:id="rId9" o:title=""/>
          </v:shape>
        </w:pict>
      </w:r>
    </w:p>
    <w:bookmarkEnd w:id="0"/>
    <w:p>
      <w:pPr>
        <w:suppressAutoHyphens/>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numPr>
          <w:ilvl w:val="0"/>
          <w:numId w:val="30"/>
        </w:numPr>
        <w:suppressAutoHyphens/>
        <w:jc w:val="both"/>
        <w:rPr>
          <w:rFonts w:ascii="Times New Roman" w:hAnsi="Times New Roman" w:cs="Times New Roman"/>
          <w:b/>
          <w:noProof/>
          <w:sz w:val="24"/>
          <w:szCs w:val="24"/>
        </w:rPr>
      </w:pPr>
      <w:bookmarkStart w:id="1" w:name="_GoBack"/>
      <w:bookmarkEnd w:id="1"/>
      <w:r>
        <w:rPr>
          <w:rFonts w:ascii="Times New Roman" w:hAnsi="Times New Roman"/>
          <w:b/>
          <w:noProof/>
          <w:sz w:val="24"/>
          <w:u w:val="single"/>
        </w:rPr>
        <w:lastRenderedPageBreak/>
        <w:t>Въведение</w:t>
      </w:r>
    </w:p>
    <w:p>
      <w:pPr>
        <w:suppressAutoHyphens/>
        <w:jc w:val="both"/>
        <w:rPr>
          <w:rFonts w:ascii="Times New Roman" w:hAnsi="Times New Roman" w:cs="Times New Roman"/>
          <w:b/>
          <w:noProof/>
          <w:sz w:val="24"/>
          <w:szCs w:val="24"/>
        </w:rPr>
      </w:pPr>
      <w:r>
        <w:rPr>
          <w:rFonts w:ascii="Times New Roman" w:hAnsi="Times New Roman"/>
          <w:b/>
          <w:noProof/>
          <w:sz w:val="24"/>
        </w:rPr>
        <w:t>Работните места, растежът и инвестициите са един от 10-те основни приоритета на Комисията „Юнкер“. Планът за инвестиции за Европа</w:t>
      </w:r>
      <w:r>
        <w:rPr>
          <w:rFonts w:ascii="Times New Roman" w:hAnsi="Times New Roman"/>
          <w:noProof/>
          <w:sz w:val="24"/>
        </w:rPr>
        <w:t xml:space="preserve"> бе представен на 26 ноември 2014 г.</w:t>
      </w:r>
      <w:r>
        <w:rPr>
          <w:rStyle w:val="FootnoteReference"/>
          <w:noProof/>
        </w:rPr>
        <w:footnoteReference w:id="2"/>
      </w:r>
      <w:r>
        <w:rPr>
          <w:rFonts w:ascii="Times New Roman" w:hAnsi="Times New Roman"/>
          <w:noProof/>
          <w:sz w:val="24"/>
        </w:rPr>
        <w:t xml:space="preserve"> и даде началото на съгласувани и целенасочени действия за стимулиране на финансирането за инвестиции</w:t>
      </w:r>
      <w:r>
        <w:rPr>
          <w:rFonts w:ascii="Times New Roman" w:hAnsi="Times New Roman"/>
          <w:b/>
          <w:noProof/>
          <w:sz w:val="24"/>
        </w:rPr>
        <w:t xml:space="preserve"> </w:t>
      </w:r>
      <w:r>
        <w:rPr>
          <w:rFonts w:ascii="Times New Roman" w:hAnsi="Times New Roman"/>
          <w:noProof/>
          <w:sz w:val="24"/>
        </w:rPr>
        <w:t>с подкрепата на Европейската инвестиционна банка (ЕИБ) и Европейския инвестиционен фонд (ЕИФ) — заедно, групата на ЕИБ,</w:t>
      </w:r>
      <w:r>
        <w:rPr>
          <w:rFonts w:ascii="Times New Roman" w:hAnsi="Times New Roman"/>
          <w:b/>
          <w:noProof/>
          <w:sz w:val="24"/>
        </w:rPr>
        <w:t xml:space="preserve"> </w:t>
      </w:r>
      <w:r>
        <w:rPr>
          <w:rFonts w:ascii="Times New Roman" w:hAnsi="Times New Roman"/>
          <w:noProof/>
          <w:sz w:val="24"/>
        </w:rPr>
        <w:t>в рамките на образцовия триъгълник от структурни реформи, отговорни фискални политики и инвестиции. Целта е тройна: да се гарантира, че оскъдните публични ресурси се използват за мобилизиране на частни инвестиции с цел преодоляване на неефективността на пазара по ефикасен начин чрез привличането на частен капитал, да се гарантира, че инвестициите достигат реалната икономика, и да се подобри инвестиционната среда на европейско равнище и на равнището на отделните държави членки. Европейският съвет одобри Плана за инвестиции с всички негови компоненти през декември 2014 г. и призова той да бъде изпълнен бързо</w:t>
      </w:r>
      <w:r>
        <w:rPr>
          <w:rStyle w:val="FootnoteReference"/>
          <w:noProof/>
        </w:rPr>
        <w:footnoteReference w:id="3"/>
      </w:r>
      <w:r>
        <w:rPr>
          <w:rFonts w:ascii="Times New Roman" w:hAnsi="Times New Roman"/>
          <w:noProof/>
          <w:sz w:val="24"/>
        </w:rPr>
        <w:t>. Групата на ЕИБ се съобрази с призива на Европейския съвет и започна инвестиционни дейности по линия на плана през януари 2015 г. Впоследствие Европейският парламент и Съветът приеха много бързо необходимото законодателно предложение през юли 2015 г.</w:t>
      </w:r>
      <w:r>
        <w:rPr>
          <w:rStyle w:val="FootnoteReference"/>
          <w:noProof/>
        </w:rPr>
        <w:footnoteReference w:id="4"/>
      </w:r>
      <w:r>
        <w:rPr>
          <w:rFonts w:ascii="Times New Roman" w:hAnsi="Times New Roman"/>
          <w:noProof/>
          <w:sz w:val="24"/>
        </w:rPr>
        <w:t xml:space="preserve"> Вече дойде моментът да се направи преглед на постигнатия напредък и да се погледне към бъдещето.</w:t>
      </w:r>
    </w:p>
    <w:p>
      <w:pPr>
        <w:suppressAutoHyphens/>
        <w:jc w:val="both"/>
        <w:rPr>
          <w:noProof/>
        </w:rPr>
      </w:pPr>
      <w:r>
        <w:rPr>
          <w:rFonts w:ascii="Times New Roman" w:hAnsi="Times New Roman"/>
          <w:b/>
          <w:noProof/>
          <w:sz w:val="24"/>
        </w:rPr>
        <w:t>През 18-те месеца след представянето на Плана за инвестиции условията за увеличаване на инвестициите се подобриха и доверието в европейската икономика и растежът се възобновяват.</w:t>
      </w:r>
      <w:r>
        <w:rPr>
          <w:rFonts w:ascii="Times New Roman" w:hAnsi="Times New Roman"/>
          <w:noProof/>
          <w:sz w:val="24"/>
        </w:rPr>
        <w:t xml:space="preserve"> Европейският съюз (ЕС) вече четвърта година отчита умерено възстановяване, като БВП нарасна с 2 % през 2015 г.</w:t>
      </w:r>
      <w:r>
        <w:rPr>
          <w:rStyle w:val="FootnoteReference"/>
          <w:noProof/>
        </w:rPr>
        <w:footnoteReference w:id="5"/>
      </w:r>
      <w:r>
        <w:rPr>
          <w:rFonts w:ascii="Times New Roman" w:hAnsi="Times New Roman"/>
          <w:noProof/>
          <w:sz w:val="24"/>
        </w:rPr>
        <w:t xml:space="preserve"> Въпреки че равнището на инвестициите в ЕС намаля значително поради финансовата криза, се наблюдават ранни признаци на възстановяване независимо от световните и вътрешните рискове, пред които е изправен растежът. Предприетите посредством Плана за инвестиции цялостни действия вече дават конкретни резултати въпреки факта, че макроикономическите ефекти от по-големите инвестиционни проекти не могат да бъдат постигнати незабавно. Очаква се инвестициите да продължат да нарастват постепенно през 2016 и 2017 г., въпреки че остават под устойчивите равнища за минали периоди (вж. графика 1). </w:t>
      </w:r>
    </w:p>
    <w:tbl>
      <w:tblPr>
        <w:tblW w:w="0" w:type="auto"/>
        <w:tblInd w:w="108" w:type="dxa"/>
        <w:tblLayout w:type="fixed"/>
        <w:tblLook w:val="0000" w:firstRow="0" w:lastRow="0" w:firstColumn="0" w:lastColumn="0" w:noHBand="0" w:noVBand="0"/>
      </w:tblPr>
      <w:tblGrid>
        <w:gridCol w:w="9072"/>
      </w:tblGrid>
      <w:tr>
        <w:tc>
          <w:tcPr>
            <w:tcW w:w="9072" w:type="dxa"/>
            <w:tcBorders>
              <w:top w:val="single" w:sz="4" w:space="0" w:color="000000"/>
              <w:left w:val="single" w:sz="4" w:space="0" w:color="000000"/>
              <w:bottom w:val="single" w:sz="4" w:space="0" w:color="000000"/>
              <w:right w:val="single" w:sz="4" w:space="0" w:color="000000"/>
            </w:tcBorders>
            <w:shd w:val="clear" w:color="auto" w:fill="FFFFFF"/>
          </w:tcPr>
          <w:p>
            <w:pPr>
              <w:suppressAutoHyphens/>
              <w:spacing w:after="0" w:line="100" w:lineRule="atLeast"/>
              <w:jc w:val="both"/>
              <w:rPr>
                <w:rFonts w:ascii="Times New Roman" w:hAnsi="Times New Roman" w:cs="Times New Roman"/>
                <w:b/>
                <w:bCs/>
                <w:noProof/>
                <w:sz w:val="24"/>
                <w:szCs w:val="24"/>
              </w:rPr>
            </w:pPr>
            <w:r>
              <w:rPr>
                <w:rFonts w:ascii="Times New Roman" w:hAnsi="Times New Roman"/>
                <w:b/>
                <w:noProof/>
                <w:sz w:val="24"/>
              </w:rPr>
              <w:t>Графика 1. Инвестиционни тенденции в ЕС</w:t>
            </w:r>
          </w:p>
          <w:p>
            <w:pPr>
              <w:suppressAutoHyphens/>
              <w:spacing w:after="0" w:line="100" w:lineRule="atLeast"/>
              <w:jc w:val="both"/>
              <w:rPr>
                <w:noProof/>
              </w:rPr>
            </w:pPr>
          </w:p>
          <w:p>
            <w:pPr>
              <w:suppressAutoHyphens/>
              <w:spacing w:after="0" w:line="100" w:lineRule="atLeast"/>
              <w:jc w:val="center"/>
              <w:rPr>
                <w:rFonts w:ascii="Times New Roman" w:hAnsi="Times New Roman" w:cs="Times New Roman"/>
                <w:noProof/>
                <w:sz w:val="18"/>
                <w:szCs w:val="18"/>
              </w:rPr>
            </w:pPr>
            <w:r>
              <w:rPr>
                <w:noProof/>
                <w:lang w:val="en-US" w:eastAsia="en-US" w:bidi="ar-SA"/>
              </w:rPr>
              <w:drawing>
                <wp:inline distT="0" distB="0" distL="0" distR="0">
                  <wp:extent cx="3774830" cy="26567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775707" cy="2657366"/>
                          </a:xfrm>
                          <a:prstGeom prst="rect">
                            <a:avLst/>
                          </a:prstGeom>
                        </pic:spPr>
                      </pic:pic>
                    </a:graphicData>
                  </a:graphic>
                </wp:inline>
              </w:drawing>
            </w:r>
          </w:p>
          <w:p>
            <w:pPr>
              <w:suppressAutoHyphens/>
              <w:spacing w:after="0" w:line="100" w:lineRule="atLeast"/>
              <w:rPr>
                <w:noProof/>
              </w:rPr>
            </w:pPr>
            <w:r>
              <w:rPr>
                <w:rFonts w:ascii="Times New Roman" w:hAnsi="Times New Roman"/>
                <w:noProof/>
                <w:sz w:val="18"/>
              </w:rPr>
              <w:t>Бележка: Реално бруто образуване на основен капитал (GFCF), базова линия спрямо равнищата в миналото, ЕС, по цени от 2013 г., в милиарди евро</w:t>
            </w:r>
          </w:p>
        </w:tc>
      </w:tr>
    </w:tbl>
    <w:p>
      <w:pPr>
        <w:suppressAutoHyphens/>
        <w:jc w:val="both"/>
        <w:rPr>
          <w:rFonts w:ascii="Times New Roman" w:hAnsi="Times New Roman" w:cs="Times New Roman"/>
          <w:b/>
          <w:noProof/>
          <w:sz w:val="24"/>
          <w:szCs w:val="24"/>
        </w:rPr>
      </w:pPr>
    </w:p>
    <w:p>
      <w:pPr>
        <w:suppressAutoHyphens/>
        <w:spacing w:before="200"/>
        <w:jc w:val="both"/>
        <w:rPr>
          <w:rFonts w:ascii="Times New Roman" w:hAnsi="Times New Roman" w:cs="Times New Roman"/>
          <w:noProof/>
          <w:sz w:val="24"/>
          <w:szCs w:val="24"/>
        </w:rPr>
      </w:pPr>
      <w:r>
        <w:rPr>
          <w:rFonts w:ascii="Times New Roman" w:hAnsi="Times New Roman"/>
          <w:b/>
          <w:noProof/>
          <w:sz w:val="24"/>
        </w:rPr>
        <w:t>Този положителен импулс трябва да бъде запазен и трябва да продължат усилията за връщане на инвестициите към дългосрочната им устойчива тенденция.</w:t>
      </w:r>
      <w:r>
        <w:rPr>
          <w:rFonts w:ascii="Times New Roman" w:hAnsi="Times New Roman"/>
          <w:noProof/>
          <w:sz w:val="24"/>
        </w:rPr>
        <w:t xml:space="preserve"> Механизмите на Плана за инвестиции дават резултат и трябва да бъдат подсилени, за да продължат мобилизирането на частни инвестиции в секторите от решаващо значение за бъдещето на Европа, както и когато неефективността на пазара продължава да съществува. Това включва инвестициите в областта на енергетиката, околната среда и действията по климата</w:t>
      </w:r>
      <w:r>
        <w:rPr>
          <w:rStyle w:val="FootnoteReference"/>
          <w:noProof/>
        </w:rPr>
        <w:footnoteReference w:id="6"/>
      </w:r>
      <w:r>
        <w:rPr>
          <w:rFonts w:ascii="Times New Roman" w:hAnsi="Times New Roman"/>
          <w:noProof/>
          <w:sz w:val="24"/>
        </w:rPr>
        <w:t>, социалния и човешкия капитал</w:t>
      </w:r>
      <w:r>
        <w:rPr>
          <w:rStyle w:val="FootnoteReference"/>
          <w:noProof/>
        </w:rPr>
        <w:footnoteReference w:id="7"/>
      </w:r>
      <w:r>
        <w:rPr>
          <w:rFonts w:ascii="Times New Roman" w:hAnsi="Times New Roman"/>
          <w:noProof/>
          <w:sz w:val="24"/>
        </w:rPr>
        <w:t xml:space="preserve"> и свързаната с него инфраструктура, здравеопазването, научните изследвания и иновациите, трансграничния и устойчивия транспорт и цифровото преобразуване. ЕС притежава несъмнени и уникални предимства, които са от жизненоважно значение за инвестициите: единния пазар, населението с най-добри умения в света, висока социална закрила и висока екологична защита, както и стабилни, предсказуеми, ефикасни и прозрачни правни системи. Въпреки че не съществува магическо решение, способно да гарантира, че пълният потенциал за инвестиции в ЕС ще бъде използван в рамките само на няколко месеца, окуражаващите резултати, постигнати за кратък период от време, осигуряват солидна основа за бъдещите инициативи на политиката по отношение както на използването на бюджета на ЕС, така и на регулаторната среда.</w:t>
      </w:r>
    </w:p>
    <w:p>
      <w:pPr>
        <w:numPr>
          <w:ilvl w:val="0"/>
          <w:numId w:val="30"/>
        </w:numPr>
        <w:suppressAutoHyphens/>
        <w:jc w:val="both"/>
        <w:rPr>
          <w:rFonts w:ascii="Times New Roman" w:hAnsi="Times New Roman" w:cs="Times New Roman"/>
          <w:b/>
          <w:noProof/>
          <w:sz w:val="24"/>
          <w:szCs w:val="24"/>
          <w:u w:val="single"/>
        </w:rPr>
      </w:pPr>
      <w:r>
        <w:rPr>
          <w:rFonts w:ascii="Times New Roman" w:hAnsi="Times New Roman"/>
          <w:b/>
          <w:noProof/>
          <w:sz w:val="24"/>
          <w:u w:val="single"/>
        </w:rPr>
        <w:t>Модел за бъдещето</w:t>
      </w:r>
    </w:p>
    <w:p>
      <w:pPr>
        <w:suppressAutoHyphens/>
        <w:ind w:left="1080"/>
        <w:jc w:val="both"/>
        <w:rPr>
          <w:rFonts w:ascii="Times New Roman" w:hAnsi="Times New Roman" w:cs="Times New Roman"/>
          <w:noProof/>
          <w:sz w:val="24"/>
          <w:szCs w:val="24"/>
        </w:rPr>
      </w:pPr>
      <w:r>
        <w:rPr>
          <w:rFonts w:ascii="Times New Roman" w:hAnsi="Times New Roman"/>
          <w:b/>
          <w:noProof/>
          <w:sz w:val="24"/>
        </w:rPr>
        <w:t>а.</w:t>
      </w:r>
      <w:r>
        <w:rPr>
          <w:rFonts w:ascii="Times New Roman" w:hAnsi="Times New Roman"/>
          <w:b/>
          <w:noProof/>
          <w:sz w:val="24"/>
        </w:rPr>
        <w:tab/>
        <w:t>Бърза и цялостна организация</w:t>
      </w:r>
    </w:p>
    <w:p>
      <w:pPr>
        <w:suppressAutoHyphens/>
        <w:jc w:val="both"/>
        <w:rPr>
          <w:rFonts w:ascii="Times New Roman" w:hAnsi="Times New Roman" w:cs="Times New Roman"/>
          <w:noProof/>
          <w:sz w:val="24"/>
          <w:szCs w:val="24"/>
        </w:rPr>
      </w:pPr>
      <w:r>
        <w:rPr>
          <w:rFonts w:ascii="Times New Roman" w:hAnsi="Times New Roman"/>
          <w:noProof/>
          <w:sz w:val="24"/>
        </w:rPr>
        <w:t>Планът за инвестиции вече започна да постига осезаеми резултати благодарение на бързото създаване на всичките му компоненти:</w:t>
      </w:r>
    </w:p>
    <w:p>
      <w:pPr>
        <w:numPr>
          <w:ilvl w:val="0"/>
          <w:numId w:val="33"/>
        </w:numPr>
        <w:suppressAutoHyphens/>
        <w:jc w:val="both"/>
        <w:rPr>
          <w:rFonts w:ascii="Times New Roman" w:hAnsi="Times New Roman" w:cs="Times New Roman"/>
          <w:noProof/>
          <w:sz w:val="24"/>
          <w:szCs w:val="24"/>
        </w:rPr>
      </w:pPr>
      <w:r>
        <w:rPr>
          <w:rFonts w:ascii="Times New Roman" w:hAnsi="Times New Roman"/>
          <w:b/>
          <w:noProof/>
          <w:sz w:val="24"/>
        </w:rPr>
        <w:t>Европейският фонд за стратегически инвестиции (ЕФСИ)</w:t>
      </w:r>
      <w:r>
        <w:rPr>
          <w:rFonts w:ascii="Times New Roman" w:hAnsi="Times New Roman"/>
          <w:noProof/>
          <w:sz w:val="24"/>
        </w:rPr>
        <w:t>, който се привежда в действие и се съфинансира от групата на ЕИБ, е предприел необходимите действия за постигане на целта да бъдат мобилизирани поне 315 милиарда евро допълнителни инвестиции в реалната икономика до средата на 2018 г.</w:t>
      </w:r>
      <w:r>
        <w:rPr>
          <w:rStyle w:val="FootnoteReference"/>
          <w:rFonts w:ascii="Times New Roman" w:hAnsi="Times New Roman"/>
          <w:noProof/>
          <w:sz w:val="24"/>
        </w:rPr>
        <w:footnoteReference w:id="8"/>
      </w:r>
      <w:r>
        <w:rPr>
          <w:rFonts w:ascii="Times New Roman" w:hAnsi="Times New Roman"/>
          <w:noProof/>
          <w:sz w:val="24"/>
        </w:rPr>
        <w:t xml:space="preserve"> Усвояването на средствата от пазара беше особено бързо в рамките на прозореца за малките и средните предприятия (МСП), по отношение на който ЕФСИ постига резултати много над очакванията. </w:t>
      </w:r>
    </w:p>
    <w:p>
      <w:pPr>
        <w:numPr>
          <w:ilvl w:val="0"/>
          <w:numId w:val="33"/>
        </w:numPr>
        <w:suppressAutoHyphens/>
        <w:jc w:val="both"/>
        <w:rPr>
          <w:rFonts w:ascii="Times New Roman" w:hAnsi="Times New Roman" w:cs="Times New Roman"/>
          <w:noProof/>
          <w:sz w:val="24"/>
          <w:szCs w:val="24"/>
        </w:rPr>
      </w:pPr>
      <w:r>
        <w:rPr>
          <w:rFonts w:ascii="Times New Roman" w:hAnsi="Times New Roman"/>
          <w:noProof/>
          <w:sz w:val="24"/>
        </w:rPr>
        <w:t xml:space="preserve">Комисията издаде насоки за начина, по който </w:t>
      </w:r>
      <w:r>
        <w:rPr>
          <w:rFonts w:ascii="Times New Roman" w:hAnsi="Times New Roman"/>
          <w:b/>
          <w:noProof/>
          <w:sz w:val="24"/>
        </w:rPr>
        <w:t>европейските структурни и инвестиционни фондове</w:t>
      </w:r>
      <w:r>
        <w:rPr>
          <w:rFonts w:ascii="Times New Roman" w:hAnsi="Times New Roman"/>
          <w:noProof/>
          <w:sz w:val="24"/>
        </w:rPr>
        <w:t xml:space="preserve"> могат да бъдат комбинирани с ЕФСИ, за да бъдат подпомогнати допълнителни инвестиции. Понастоящем се разработва първи набор от проекти, който показва как това комбиниране работи на практика. Това ще помогне също да бъде постигната целта, посочена в Плана за инвестиции, а именно да се увеличи използването на финансови инструменти по линия на европейските структурни и инвестиционни фондове. </w:t>
      </w:r>
    </w:p>
    <w:p>
      <w:pPr>
        <w:numPr>
          <w:ilvl w:val="0"/>
          <w:numId w:val="33"/>
        </w:numPr>
        <w:suppressAutoHyphens/>
        <w:jc w:val="both"/>
        <w:rPr>
          <w:rFonts w:ascii="Times New Roman" w:hAnsi="Times New Roman" w:cs="Times New Roman"/>
          <w:noProof/>
          <w:sz w:val="24"/>
          <w:szCs w:val="24"/>
        </w:rPr>
      </w:pPr>
      <w:r>
        <w:rPr>
          <w:rFonts w:ascii="Times New Roman" w:hAnsi="Times New Roman"/>
          <w:b/>
          <w:noProof/>
          <w:sz w:val="24"/>
        </w:rPr>
        <w:t>Европейският консултантски център по инвестиционни въпроси (ЕКЦИВ)</w:t>
      </w:r>
      <w:r>
        <w:rPr>
          <w:rStyle w:val="FootnoteReference"/>
          <w:rFonts w:ascii="Times New Roman" w:hAnsi="Times New Roman"/>
          <w:noProof/>
          <w:sz w:val="24"/>
        </w:rPr>
        <w:footnoteReference w:id="9"/>
      </w:r>
      <w:r>
        <w:rPr>
          <w:rFonts w:ascii="Times New Roman" w:hAnsi="Times New Roman"/>
          <w:noProof/>
          <w:sz w:val="24"/>
        </w:rPr>
        <w:t xml:space="preserve">, който представлява съвместна инициатива на Комисията и ЕИБ, предоставя цялостна техническа помощ и цялостни консултантски услуги и вече е разгледал над 160 искания. Въпреки че това е обещаващо начало, предприемат се мерки за доближаване на консултантските услуги до крайните бенефициери и за увеличаване на услугите на ЕКЦИВ в конкретни области с незадоволени нужди (включително трансграничните проекти). </w:t>
      </w:r>
    </w:p>
    <w:p>
      <w:pPr>
        <w:numPr>
          <w:ilvl w:val="0"/>
          <w:numId w:val="33"/>
        </w:numPr>
        <w:suppressAutoHyphens/>
        <w:jc w:val="both"/>
        <w:rPr>
          <w:rFonts w:ascii="Times New Roman" w:hAnsi="Times New Roman" w:cs="Times New Roman"/>
          <w:noProof/>
          <w:sz w:val="24"/>
          <w:szCs w:val="24"/>
        </w:rPr>
      </w:pPr>
      <w:r>
        <w:rPr>
          <w:rFonts w:ascii="Times New Roman" w:hAnsi="Times New Roman"/>
          <w:b/>
          <w:noProof/>
          <w:sz w:val="24"/>
        </w:rPr>
        <w:t>Европейският портал за инвестиционни проекти (ЕПИП)</w:t>
      </w:r>
      <w:r>
        <w:rPr>
          <w:rStyle w:val="FootnoteReference"/>
          <w:noProof/>
        </w:rPr>
        <w:footnoteReference w:id="10"/>
      </w:r>
      <w:r>
        <w:rPr>
          <w:rFonts w:ascii="Times New Roman" w:hAnsi="Times New Roman"/>
          <w:noProof/>
          <w:sz w:val="24"/>
        </w:rPr>
        <w:t xml:space="preserve"> — онлайн платформа, която свързва европейските организатори на проекти и инвеститорите от ЕС и извън него, започна дейност и увеличава видимостта и възможностите за финансиране на инвестиционни проекти в цяла Европа.</w:t>
      </w:r>
    </w:p>
    <w:p>
      <w:pPr>
        <w:numPr>
          <w:ilvl w:val="0"/>
          <w:numId w:val="33"/>
        </w:numPr>
        <w:suppressAutoHyphens/>
        <w:jc w:val="both"/>
        <w:rPr>
          <w:rFonts w:ascii="Times New Roman" w:hAnsi="Times New Roman" w:cs="Times New Roman"/>
          <w:b/>
          <w:noProof/>
          <w:sz w:val="24"/>
          <w:szCs w:val="24"/>
          <w:u w:val="single"/>
        </w:rPr>
      </w:pPr>
      <w:r>
        <w:rPr>
          <w:rFonts w:ascii="Times New Roman" w:hAnsi="Times New Roman"/>
          <w:noProof/>
          <w:sz w:val="24"/>
        </w:rPr>
        <w:t xml:space="preserve">На последно място, </w:t>
      </w:r>
      <w:r>
        <w:rPr>
          <w:rFonts w:ascii="Times New Roman" w:hAnsi="Times New Roman"/>
          <w:b/>
          <w:noProof/>
          <w:sz w:val="24"/>
        </w:rPr>
        <w:t>Комисията вече представи няколко инициативи за подпомагане на инвестициите и улесняване на финансирането на икономиката</w:t>
      </w:r>
      <w:r>
        <w:rPr>
          <w:rFonts w:ascii="Times New Roman" w:hAnsi="Times New Roman"/>
          <w:noProof/>
          <w:sz w:val="24"/>
        </w:rPr>
        <w:t xml:space="preserve">, като например намаляването на капиталовите изисквания за застрахователните и презастрахователните дружества по отношение на инвестициите в инфраструктурата и приемането на практически насоки относно прилагането на правилата за държавните помощи в контекста на публичното финансиране на инфраструктурата и публично-частните партньорства (ПЧП). В допълнение към това </w:t>
      </w:r>
      <w:r>
        <w:rPr>
          <w:rFonts w:ascii="Times New Roman" w:hAnsi="Times New Roman"/>
          <w:b/>
          <w:noProof/>
          <w:sz w:val="24"/>
        </w:rPr>
        <w:t>стратегиите за енергийния съюз, за съюза на капиталовите пазари, за единния пазар и за цифровия единен пазар</w:t>
      </w:r>
      <w:r>
        <w:rPr>
          <w:rStyle w:val="FootnoteReference"/>
          <w:noProof/>
        </w:rPr>
        <w:footnoteReference w:id="11"/>
      </w:r>
      <w:r>
        <w:rPr>
          <w:rFonts w:ascii="Times New Roman" w:hAnsi="Times New Roman"/>
          <w:noProof/>
          <w:sz w:val="24"/>
        </w:rPr>
        <w:t xml:space="preserve"> </w:t>
      </w:r>
      <w:r>
        <w:rPr>
          <w:rFonts w:ascii="Times New Roman" w:hAnsi="Times New Roman"/>
          <w:b/>
          <w:noProof/>
          <w:sz w:val="24"/>
        </w:rPr>
        <w:t>и пакетът от мерки за кръговата икономика</w:t>
      </w:r>
      <w:r>
        <w:rPr>
          <w:rFonts w:ascii="Times New Roman" w:hAnsi="Times New Roman"/>
          <w:noProof/>
          <w:sz w:val="24"/>
        </w:rPr>
        <w:t xml:space="preserve"> съдържат специфични мерки, които ще премахнат конкретни пречки и ще подобрят допълнително средата за инвестиции, ако бъдат приложени изцяло. Комисията започна също структуриран диалог с държавите членки, за да подпомогне премахването на националните пречки пред инвестициите, в контекста на </w:t>
      </w:r>
      <w:r>
        <w:rPr>
          <w:rFonts w:ascii="Times New Roman" w:hAnsi="Times New Roman"/>
          <w:b/>
          <w:noProof/>
          <w:sz w:val="24"/>
        </w:rPr>
        <w:t>европейския семестър</w:t>
      </w:r>
      <w:r>
        <w:rPr>
          <w:rStyle w:val="FootnoteReference"/>
          <w:noProof/>
        </w:rPr>
        <w:footnoteReference w:id="12"/>
      </w:r>
      <w:r>
        <w:rPr>
          <w:rFonts w:ascii="Times New Roman" w:hAnsi="Times New Roman"/>
          <w:noProof/>
          <w:sz w:val="24"/>
        </w:rPr>
        <w:t xml:space="preserve"> в области като несъстоятелността, обществените поръчки, съдебните системи и ефективността на публичната администрация или на специфичната за всеки сектор нормативна уредба.</w:t>
      </w:r>
    </w:p>
    <w:p>
      <w:pPr>
        <w:suppressAutoHyphens/>
        <w:ind w:left="1440" w:hanging="360"/>
        <w:jc w:val="both"/>
        <w:rPr>
          <w:rFonts w:ascii="Times New Roman" w:hAnsi="Times New Roman" w:cs="Times New Roman"/>
          <w:i/>
          <w:noProof/>
          <w:sz w:val="24"/>
          <w:szCs w:val="24"/>
          <w:shd w:val="clear" w:color="auto" w:fill="FFFFFF"/>
        </w:rPr>
      </w:pPr>
      <w:r>
        <w:rPr>
          <w:rFonts w:ascii="Times New Roman" w:hAnsi="Times New Roman"/>
          <w:b/>
          <w:noProof/>
          <w:sz w:val="24"/>
        </w:rPr>
        <w:t>б.</w:t>
      </w:r>
      <w:r>
        <w:rPr>
          <w:rFonts w:ascii="Times New Roman" w:hAnsi="Times New Roman"/>
          <w:b/>
          <w:noProof/>
          <w:sz w:val="24"/>
        </w:rPr>
        <w:tab/>
        <w:t>Европейски фонд за стратегически инвестиции: по-ефективно използване на оскъдните ресурси</w:t>
      </w:r>
    </w:p>
    <w:p>
      <w:pPr>
        <w:suppressAutoHyphens/>
        <w:jc w:val="both"/>
        <w:rPr>
          <w:rFonts w:ascii="Times New Roman" w:hAnsi="Times New Roman" w:cs="Times New Roman"/>
          <w:b/>
          <w:bCs/>
          <w:noProof/>
          <w:sz w:val="24"/>
          <w:szCs w:val="24"/>
        </w:rPr>
      </w:pPr>
      <w:r>
        <w:rPr>
          <w:rFonts w:ascii="Times New Roman" w:hAnsi="Times New Roman"/>
          <w:i/>
          <w:noProof/>
          <w:sz w:val="24"/>
          <w:shd w:val="clear" w:color="auto" w:fill="FFFFFF"/>
        </w:rPr>
        <w:t>Конкретни и осезаеми резултати</w:t>
      </w:r>
    </w:p>
    <w:p>
      <w:pPr>
        <w:suppressAutoHyphens/>
        <w:jc w:val="both"/>
        <w:rPr>
          <w:rFonts w:ascii="Times New Roman" w:hAnsi="Times New Roman" w:cs="Times New Roman"/>
          <w:noProof/>
          <w:sz w:val="24"/>
          <w:szCs w:val="24"/>
        </w:rPr>
      </w:pPr>
      <w:r>
        <w:rPr>
          <w:rFonts w:ascii="Times New Roman" w:hAnsi="Times New Roman"/>
          <w:b/>
          <w:noProof/>
          <w:sz w:val="24"/>
        </w:rPr>
        <w:t>ЕФСИ</w:t>
      </w:r>
      <w:r>
        <w:rPr>
          <w:rStyle w:val="FootnoteReference"/>
          <w:rFonts w:ascii="Times New Roman" w:hAnsi="Times New Roman"/>
          <w:b/>
          <w:noProof/>
          <w:sz w:val="24"/>
        </w:rPr>
        <w:footnoteReference w:id="13"/>
      </w:r>
      <w:r>
        <w:rPr>
          <w:rFonts w:ascii="Times New Roman" w:hAnsi="Times New Roman"/>
          <w:b/>
          <w:noProof/>
          <w:sz w:val="24"/>
        </w:rPr>
        <w:t xml:space="preserve"> вече подпомага допълнителните инвестиции на групата на ЕИБ в области от ключово значение за устойчивия растеж на ЕС.</w:t>
      </w:r>
      <w:r>
        <w:rPr>
          <w:rFonts w:ascii="Times New Roman" w:hAnsi="Times New Roman"/>
          <w:noProof/>
          <w:sz w:val="24"/>
        </w:rPr>
        <w:t xml:space="preserve"> По линия на ЕФСИ са одобрени около 250 операции в 26 държави — членки на ЕС</w:t>
      </w:r>
      <w:r>
        <w:rPr>
          <w:rStyle w:val="FootnoteReference"/>
          <w:noProof/>
        </w:rPr>
        <w:footnoteReference w:id="14"/>
      </w:r>
      <w:r>
        <w:rPr>
          <w:rFonts w:ascii="Times New Roman" w:hAnsi="Times New Roman"/>
          <w:noProof/>
          <w:sz w:val="24"/>
        </w:rPr>
        <w:t>, които се очаква да мобилизират инвестиции в размер на общо 100 милиарда евро, което представлява около 32 % от общата цел от 315 милиарда евро нови инвестиции в продължение на три години. Той успя да привлече значително допълнително финансиране (85 % от общите мобилизирани инвестиции) от частни и публични инвеститори. Всички списъци с проекти по линия на двата прозореца на ЕФСИ са достъпни за обществеността</w:t>
      </w:r>
      <w:r>
        <w:rPr>
          <w:rStyle w:val="FootnoteReference"/>
          <w:noProof/>
        </w:rPr>
        <w:footnoteReference w:id="15"/>
      </w:r>
      <w:r>
        <w:rPr>
          <w:rFonts w:ascii="Times New Roman" w:hAnsi="Times New Roman"/>
          <w:noProof/>
          <w:sz w:val="24"/>
        </w:rPr>
        <w:t xml:space="preserve">. ЕФСИ подкрепя проекти, които допринасят за преодоляването на съществуващата неефективност на пазара и неоптималните инвестиционни ситуации, както и много от най-неотложните предизвикателства, пред които е изправено обществото. </w:t>
      </w:r>
    </w:p>
    <w:p>
      <w:pPr>
        <w:widowControl w:val="0"/>
        <w:suppressAutoHyphens/>
        <w:spacing w:after="240"/>
        <w:jc w:val="both"/>
        <w:rPr>
          <w:rFonts w:ascii="Times New Roman" w:hAnsi="Times New Roman" w:cs="Times New Roman"/>
          <w:b/>
          <w:bCs/>
          <w:noProof/>
          <w:sz w:val="24"/>
          <w:szCs w:val="24"/>
        </w:rPr>
      </w:pPr>
      <w:r>
        <w:rPr>
          <w:rFonts w:ascii="Times New Roman" w:hAnsi="Times New Roman"/>
          <w:b/>
          <w:noProof/>
          <w:sz w:val="24"/>
        </w:rPr>
        <w:t>Допълването е основна характеристика на гаранцията на ЕФСИ, която трябва да бъде подсилена при подбора на проекти.</w:t>
      </w:r>
      <w:r>
        <w:rPr>
          <w:rFonts w:ascii="Times New Roman" w:hAnsi="Times New Roman"/>
          <w:noProof/>
          <w:sz w:val="24"/>
        </w:rPr>
        <w:t xml:space="preserve"> Проектите на ЕИБ, които получават бюджетна подкрепа чрез ЕФСИ, трябва да бъдат „допълващи“ в смисъл, че показват неефективност на пазара или неоптимални инвестиционни ситуации, поради което по принцип нямаше да бъдат финансирани през същия период от ЕИБ без предоставената от ЕФСИ подкрепа, или поне не в същата степен</w:t>
      </w:r>
      <w:r>
        <w:rPr>
          <w:rStyle w:val="FootnoteReference"/>
          <w:noProof/>
        </w:rPr>
        <w:footnoteReference w:id="16"/>
      </w:r>
      <w:r>
        <w:rPr>
          <w:rFonts w:ascii="Times New Roman" w:hAnsi="Times New Roman"/>
          <w:noProof/>
          <w:sz w:val="24"/>
        </w:rPr>
        <w:t>. За тази цел ЕИБ и инвестиционният комитет</w:t>
      </w:r>
      <w:r>
        <w:rPr>
          <w:rStyle w:val="FootnoteReference"/>
          <w:noProof/>
        </w:rPr>
        <w:footnoteReference w:id="17"/>
      </w:r>
      <w:r>
        <w:rPr>
          <w:rFonts w:ascii="Times New Roman" w:hAnsi="Times New Roman"/>
          <w:noProof/>
          <w:sz w:val="24"/>
        </w:rPr>
        <w:t xml:space="preserve"> ползват набор от показатели и ръководни принципи, когато оценяват критериите за допустимост. Равнището на риска е съществен елемент при оценяването на допълващия характер на проектите, подкрепяни от гаранцията на ЕФСИ. Всички операции, одобрени до момента от ЕИБ, носят риск, съответстващ на така наречените специални дейности на ЕИБ</w:t>
      </w:r>
      <w:r>
        <w:rPr>
          <w:rStyle w:val="FootnoteReference"/>
          <w:rFonts w:ascii="Times New Roman" w:hAnsi="Times New Roman"/>
          <w:noProof/>
          <w:sz w:val="24"/>
        </w:rPr>
        <w:footnoteReference w:id="18"/>
      </w:r>
      <w:r>
        <w:rPr>
          <w:rFonts w:ascii="Times New Roman" w:hAnsi="Times New Roman"/>
          <w:noProof/>
          <w:sz w:val="24"/>
        </w:rPr>
        <w:t xml:space="preserve">. Вследствие на това ЕИБ успя да увеличи размера на своя портфейл с по-високорискови/специални дейности от около 4 милиарда евро на над 20 милиарда евро годишно до момента. Групата на ЕИБ разработва също така нови продукти, съсредоточени върху нови начини за сътрудничество с националните насърчителни банки, с инвестиционните платформи и с нови видове бенефициери, за да се отговори на нуждите от финансиране в различни сектори.  </w:t>
      </w:r>
    </w:p>
    <w:p>
      <w:pPr>
        <w:widowControl w:val="0"/>
        <w:suppressAutoHyphens/>
        <w:spacing w:after="240"/>
        <w:jc w:val="both"/>
        <w:rPr>
          <w:rFonts w:ascii="Times New Roman" w:hAnsi="Times New Roman" w:cs="Times New Roman"/>
          <w:b/>
          <w:bCs/>
          <w:noProof/>
          <w:sz w:val="24"/>
          <w:szCs w:val="24"/>
        </w:rPr>
      </w:pPr>
      <w:r>
        <w:rPr>
          <w:rFonts w:ascii="Times New Roman" w:hAnsi="Times New Roman"/>
          <w:b/>
          <w:noProof/>
          <w:sz w:val="24"/>
        </w:rPr>
        <w:t>Географското и секторното покритие следва да бъде подобрено.</w:t>
      </w:r>
      <w:r>
        <w:rPr>
          <w:rFonts w:ascii="Times New Roman" w:hAnsi="Times New Roman"/>
          <w:noProof/>
          <w:sz w:val="24"/>
        </w:rPr>
        <w:t xml:space="preserve"> Въпреки че ЕФСИ не работи с квоти, настоящото секторно и географско покритие (вж. графика 2) следва да бъде доразвито с напредването на работата по привеждането на ЕФСИ в действие. Комбинирането на ЕФСИ с други фондове на ЕС, както и създаването на инвестиционни платформи следва да спомогнат да бъде постигнато действително балансирано географско покритие. Освен това ЕКЦИВ може да бъде ефективно средство за постепенно мобилизиране на необходимия експертен опит и за подпомагане на разработването на по-добри проекти, по-специално за регионите или секторите, в които могат да са необходими допълнителни действия на място и технически капацитет.</w:t>
      </w:r>
    </w:p>
    <w:p>
      <w:pPr>
        <w:suppressAutoHyphens/>
        <w:jc w:val="both"/>
        <w:rPr>
          <w:rFonts w:ascii="Times New Roman" w:hAnsi="Times New Roman" w:cs="Times New Roman"/>
          <w:b/>
          <w:noProof/>
          <w:sz w:val="24"/>
          <w:szCs w:val="24"/>
        </w:rPr>
      </w:pPr>
      <w:r>
        <w:rPr>
          <w:rFonts w:ascii="Times New Roman" w:hAnsi="Times New Roman"/>
          <w:b/>
          <w:noProof/>
          <w:sz w:val="24"/>
        </w:rPr>
        <w:t>ЕФСИ оказва подкрепа на Европейския инвестиционен фонд (ЕИФ), за да се помогне на много голям брой европейски МСП да получат достъп до финансиране.</w:t>
      </w:r>
      <w:r>
        <w:rPr>
          <w:rFonts w:ascii="Times New Roman" w:hAnsi="Times New Roman"/>
          <w:noProof/>
          <w:sz w:val="24"/>
        </w:rPr>
        <w:t xml:space="preserve"> Прозорецът за МСП на ЕФСИ започна да функционира особено бързо, като надмина очакванията и потвърди голямото пазарно търсене. За по-малко от година ЕФСИ подпомогна операции на ЕИФ, които се очаква да мобилизират инвестиции на обща стойност 49 милиарда евро, което вече е над 65 % от целта от 75 милиарда евро, която трябва да бъде постигната за три години</w:t>
      </w:r>
      <w:r>
        <w:rPr>
          <w:rStyle w:val="FootnoteReference"/>
          <w:noProof/>
        </w:rPr>
        <w:footnoteReference w:id="19"/>
      </w:r>
      <w:r>
        <w:rPr>
          <w:rFonts w:ascii="Times New Roman" w:hAnsi="Times New Roman"/>
          <w:noProof/>
          <w:sz w:val="24"/>
        </w:rPr>
        <w:t xml:space="preserve">. Понастоящем се очаква вече над 140 000 МСП и дружества със средна пазарна капитализация в 26 държави членки да се възползват от ЕФСИ. </w:t>
      </w:r>
    </w:p>
    <w:tbl>
      <w:tblPr>
        <w:tblW w:w="0" w:type="auto"/>
        <w:tblInd w:w="108" w:type="dxa"/>
        <w:tblLayout w:type="fixed"/>
        <w:tblLook w:val="0000" w:firstRow="0" w:lastRow="0" w:firstColumn="0" w:lastColumn="0" w:noHBand="0" w:noVBand="0"/>
      </w:tblPr>
      <w:tblGrid>
        <w:gridCol w:w="9072"/>
      </w:tblGrid>
      <w:tr>
        <w:trPr>
          <w:trHeight w:val="8632"/>
        </w:trPr>
        <w:tc>
          <w:tcPr>
            <w:tcW w:w="9072" w:type="dxa"/>
            <w:tcBorders>
              <w:top w:val="single" w:sz="4" w:space="0" w:color="000000"/>
              <w:left w:val="single" w:sz="4" w:space="0" w:color="000000"/>
              <w:bottom w:val="single" w:sz="4" w:space="0" w:color="000000"/>
              <w:right w:val="single" w:sz="4" w:space="0" w:color="000000"/>
            </w:tcBorders>
            <w:shd w:val="clear" w:color="auto" w:fill="FFFFFF"/>
          </w:tcPr>
          <w:p>
            <w:pPr>
              <w:suppressAutoHyphens/>
              <w:spacing w:after="0" w:line="100" w:lineRule="atLeast"/>
              <w:jc w:val="both"/>
              <w:rPr>
                <w:rFonts w:ascii="Times New Roman" w:hAnsi="Times New Roman" w:cs="Times New Roman"/>
                <w:b/>
                <w:noProof/>
                <w:sz w:val="24"/>
                <w:szCs w:val="24"/>
              </w:rPr>
            </w:pPr>
            <w:r>
              <w:rPr>
                <w:rFonts w:ascii="Times New Roman" w:hAnsi="Times New Roman"/>
                <w:b/>
                <w:noProof/>
                <w:sz w:val="24"/>
              </w:rPr>
              <w:t>Графика 2. Основни данни за ЕФСИ към края на май 2016 г.</w:t>
            </w:r>
          </w:p>
          <w:p>
            <w:pPr>
              <w:suppressAutoHyphens/>
              <w:spacing w:after="0" w:line="100" w:lineRule="atLeast"/>
              <w:jc w:val="both"/>
              <w:rPr>
                <w:rFonts w:ascii="Times New Roman" w:hAnsi="Times New Roman" w:cs="Times New Roman"/>
                <w:b/>
                <w:noProof/>
                <w:sz w:val="24"/>
                <w:szCs w:val="24"/>
              </w:rPr>
            </w:pPr>
          </w:p>
          <w:p>
            <w:pPr>
              <w:suppressAutoHyphens/>
              <w:spacing w:after="0" w:line="100" w:lineRule="atLeast"/>
              <w:jc w:val="both"/>
              <w:rPr>
                <w:rFonts w:ascii="Times New Roman" w:hAnsi="Times New Roman" w:cs="Times New Roman"/>
                <w:b/>
                <w:noProof/>
                <w:sz w:val="20"/>
                <w:szCs w:val="20"/>
              </w:rPr>
            </w:pPr>
            <w:r>
              <w:rPr>
                <w:rFonts w:ascii="Times New Roman" w:hAnsi="Times New Roman"/>
                <w:noProof/>
                <w:sz w:val="18"/>
              </w:rPr>
              <w:t>Секторно покритие на ЕФСИ (% от одобреното финансиране от Групата на ЕИБ по линия на ЕФСИ)</w:t>
            </w:r>
            <w:r>
              <w:rPr>
                <w:rFonts w:ascii="Times New Roman" w:hAnsi="Times New Roman"/>
                <w:b/>
                <w:noProof/>
                <w:sz w:val="20"/>
              </w:rPr>
              <w:t xml:space="preserve"> </w:t>
            </w:r>
          </w:p>
          <w:p>
            <w:pPr>
              <w:suppressAutoHyphens/>
              <w:spacing w:after="0" w:line="100" w:lineRule="atLeast"/>
              <w:jc w:val="both"/>
              <w:rPr>
                <w:rFonts w:ascii="Times New Roman" w:hAnsi="Times New Roman" w:cs="Times New Roman"/>
                <w:b/>
                <w:noProof/>
                <w:sz w:val="20"/>
                <w:szCs w:val="20"/>
              </w:rPr>
            </w:pPr>
          </w:p>
          <w:p>
            <w:pPr>
              <w:suppressAutoHyphens/>
              <w:spacing w:after="0" w:line="100" w:lineRule="atLeast"/>
              <w:jc w:val="center"/>
              <w:rPr>
                <w:rFonts w:ascii="Times New Roman" w:hAnsi="Times New Roman" w:cs="Times New Roman"/>
                <w:b/>
                <w:noProof/>
                <w:sz w:val="24"/>
                <w:szCs w:val="24"/>
              </w:rPr>
            </w:pPr>
            <w:r>
              <w:rPr>
                <w:noProof/>
                <w:lang w:val="en-US" w:eastAsia="en-US" w:bidi="ar-SA"/>
              </w:rPr>
              <w:drawing>
                <wp:inline distT="0" distB="0" distL="0" distR="0">
                  <wp:extent cx="2766060" cy="2171505"/>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766338" cy="2171723"/>
                          </a:xfrm>
                          <a:prstGeom prst="rect">
                            <a:avLst/>
                          </a:prstGeom>
                        </pic:spPr>
                      </pic:pic>
                    </a:graphicData>
                  </a:graphic>
                </wp:inline>
              </w:drawing>
            </w:r>
            <w:r>
              <w:rPr>
                <w:rFonts w:ascii="Times New Roman" w:hAnsi="Times New Roman"/>
                <w:b/>
                <w:noProof/>
                <w:sz w:val="24"/>
              </w:rPr>
              <w:t xml:space="preserve">               </w:t>
            </w:r>
            <w:r>
              <w:rPr>
                <w:noProof/>
                <w:lang w:val="en-US" w:eastAsia="en-US" w:bidi="ar-SA"/>
              </w:rPr>
              <w:drawing>
                <wp:inline distT="0" distB="0" distL="0" distR="0">
                  <wp:extent cx="2148840" cy="2095293"/>
                  <wp:effectExtent l="0" t="0" r="381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148840" cy="2095293"/>
                          </a:xfrm>
                          <a:prstGeom prst="rect">
                            <a:avLst/>
                          </a:prstGeom>
                        </pic:spPr>
                      </pic:pic>
                    </a:graphicData>
                  </a:graphic>
                </wp:inline>
              </w:drawing>
            </w:r>
          </w:p>
          <w:p>
            <w:pPr>
              <w:suppressAutoHyphens/>
              <w:spacing w:after="0" w:line="100" w:lineRule="atLeast"/>
              <w:jc w:val="center"/>
              <w:rPr>
                <w:rFonts w:ascii="Times New Roman" w:hAnsi="Times New Roman" w:cs="Times New Roman"/>
                <w:b/>
                <w:noProof/>
                <w:sz w:val="24"/>
                <w:szCs w:val="24"/>
              </w:rPr>
            </w:pPr>
            <w:r>
              <w:rPr>
                <w:rFonts w:ascii="Times New Roman" w:hAnsi="Times New Roman"/>
                <w:b/>
                <w:noProof/>
                <w:sz w:val="24"/>
              </w:rPr>
              <w:t xml:space="preserve">               </w:t>
            </w:r>
          </w:p>
          <w:p>
            <w:pPr>
              <w:suppressAutoHyphens/>
              <w:spacing w:after="0" w:line="100" w:lineRule="atLeast"/>
              <w:jc w:val="both"/>
              <w:rPr>
                <w:rFonts w:ascii="Times New Roman" w:hAnsi="Times New Roman" w:cs="Times New Roman"/>
                <w:b/>
                <w:noProof/>
                <w:sz w:val="24"/>
                <w:szCs w:val="24"/>
              </w:rPr>
            </w:pPr>
            <w:r>
              <w:rPr>
                <w:rFonts w:ascii="Times New Roman" w:hAnsi="Times New Roman"/>
                <w:b/>
                <w:noProof/>
                <w:sz w:val="24"/>
              </w:rPr>
              <w:t>Географско покритие на ЕФСИ</w:t>
            </w:r>
          </w:p>
          <w:p>
            <w:pPr>
              <w:suppressAutoHyphens/>
              <w:spacing w:after="0" w:line="100" w:lineRule="atLeast"/>
              <w:jc w:val="both"/>
              <w:rPr>
                <w:rFonts w:ascii="Times New Roman" w:hAnsi="Times New Roman" w:cs="Times New Roman"/>
                <w:b/>
                <w:noProof/>
                <w:sz w:val="24"/>
                <w:szCs w:val="24"/>
              </w:rPr>
            </w:pPr>
          </w:p>
          <w:p>
            <w:pPr>
              <w:suppressAutoHyphens/>
              <w:spacing w:after="0" w:line="100" w:lineRule="atLeast"/>
              <w:jc w:val="center"/>
              <w:rPr>
                <w:rFonts w:ascii="Times New Roman" w:hAnsi="Times New Roman" w:cs="Times New Roman"/>
                <w:b/>
                <w:noProof/>
                <w:sz w:val="24"/>
                <w:szCs w:val="24"/>
              </w:rPr>
            </w:pPr>
            <w:r>
              <w:rPr>
                <w:noProof/>
                <w:lang w:val="en-US" w:eastAsia="en-US" w:bidi="ar-SA"/>
              </w:rPr>
              <w:drawing>
                <wp:inline distT="0" distB="0" distL="0" distR="0">
                  <wp:extent cx="5666509" cy="2476208"/>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61365" cy="2473960"/>
                          </a:xfrm>
                          <a:prstGeom prst="rect">
                            <a:avLst/>
                          </a:prstGeom>
                        </pic:spPr>
                      </pic:pic>
                    </a:graphicData>
                  </a:graphic>
                </wp:inline>
              </w:drawing>
            </w:r>
          </w:p>
        </w:tc>
      </w:tr>
    </w:tbl>
    <w:p>
      <w:pPr>
        <w:suppressAutoHyphens/>
        <w:spacing w:before="200"/>
        <w:jc w:val="both"/>
        <w:rPr>
          <w:rFonts w:ascii="Times New Roman" w:hAnsi="Times New Roman" w:cs="Times New Roman"/>
          <w:b/>
          <w:bCs/>
          <w:noProof/>
          <w:sz w:val="24"/>
          <w:szCs w:val="24"/>
        </w:rPr>
      </w:pPr>
      <w:r>
        <w:rPr>
          <w:rFonts w:ascii="Times New Roman" w:hAnsi="Times New Roman"/>
          <w:i/>
          <w:noProof/>
          <w:sz w:val="24"/>
        </w:rPr>
        <w:t>Бъдещи стъпки</w:t>
      </w:r>
    </w:p>
    <w:p>
      <w:pPr>
        <w:suppressAutoHyphens/>
        <w:jc w:val="both"/>
        <w:rPr>
          <w:rFonts w:ascii="Times New Roman" w:hAnsi="Times New Roman" w:cs="Times New Roman"/>
          <w:b/>
          <w:bCs/>
          <w:noProof/>
          <w:sz w:val="24"/>
          <w:szCs w:val="24"/>
        </w:rPr>
      </w:pPr>
      <w:r>
        <w:rPr>
          <w:rFonts w:ascii="Times New Roman" w:hAnsi="Times New Roman"/>
          <w:b/>
          <w:noProof/>
          <w:sz w:val="24"/>
        </w:rPr>
        <w:t xml:space="preserve">Потенциалът на ЕФСИ да играе още по-голяма роля по отношение на устойчивото финансиране трябва да бъде изцяло оползотворен. </w:t>
      </w:r>
      <w:r>
        <w:rPr>
          <w:rFonts w:ascii="Times New Roman" w:hAnsi="Times New Roman"/>
          <w:noProof/>
          <w:sz w:val="24"/>
        </w:rPr>
        <w:t>Европа се нуждае от значителни нови дългосрочни и устойчиви инвестиции, за да повиши производителността си и за да премине към нисковъглеродна икономика с ефективно използване на ресурсите</w:t>
      </w:r>
      <w:r>
        <w:rPr>
          <w:rStyle w:val="FootnoteReference"/>
          <w:noProof/>
        </w:rPr>
        <w:footnoteReference w:id="20"/>
      </w:r>
      <w:r>
        <w:rPr>
          <w:rFonts w:ascii="Times New Roman" w:hAnsi="Times New Roman"/>
          <w:noProof/>
          <w:sz w:val="24"/>
        </w:rPr>
        <w:t>. Това включва също подкрепа на пазара на „зелени“ облигации/облигации за финансиране на устойчиви проекти, на който ЕИБ е най-големият емитент на облигации в света. ЕФСИ, също в комбинация с други фондове на ЕС, както и в контекста на съюза на капиталовите пазари, дава нов тласък на тази промяна чрез повишаване на броя и размера на подлежащите на финансиране устойчиви проекти в съответствие с амбициозните цели на Парижкото споразумение за климата</w:t>
      </w:r>
      <w:r>
        <w:rPr>
          <w:rStyle w:val="FootnoteReference"/>
          <w:noProof/>
        </w:rPr>
        <w:footnoteReference w:id="21"/>
      </w:r>
      <w:r>
        <w:rPr>
          <w:rFonts w:ascii="Times New Roman" w:hAnsi="Times New Roman"/>
          <w:noProof/>
          <w:sz w:val="24"/>
        </w:rPr>
        <w:t xml:space="preserve">. Техническата помощ също може да играе важна роля в тези и други сектори, като например цифровата инфраструктура. </w:t>
      </w:r>
    </w:p>
    <w:p>
      <w:pPr>
        <w:suppressAutoHyphens/>
        <w:jc w:val="both"/>
        <w:rPr>
          <w:rFonts w:ascii="Times New Roman" w:hAnsi="Times New Roman" w:cs="Times New Roman"/>
          <w:b/>
          <w:bCs/>
          <w:noProof/>
          <w:sz w:val="24"/>
          <w:szCs w:val="24"/>
        </w:rPr>
      </w:pPr>
      <w:r>
        <w:rPr>
          <w:rFonts w:ascii="Times New Roman" w:hAnsi="Times New Roman"/>
          <w:b/>
          <w:noProof/>
          <w:sz w:val="24"/>
        </w:rPr>
        <w:t>Въз основа на успеха на прозореца за МСП се разработват нови финансови инструменти, за да се окаже подкрепа на по-широк спектър от иновативни МСП и дружества със средна пазарна капитализация</w:t>
      </w:r>
      <w:r>
        <w:rPr>
          <w:rFonts w:ascii="Times New Roman" w:hAnsi="Times New Roman"/>
          <w:noProof/>
          <w:sz w:val="24"/>
        </w:rPr>
        <w:t>, включително капиталов продукт, което ще подобри достъпа до финансиране със собствен капитал на иновативните и бързо разрастващите се МСП и дружества със средна пазарна капитализация. В този контекст Комисията работи също с ЕИФ, за да бъде създаден общоевропейски фонд за инвестиции във фондове за рисков капитал, който ще комбинира публични средства с по-голям обем частен капитал, за да осигури допълнителен мащаб и стимули за подкрепа на най-обещаващите нови предприятия, като се допълват съществуващите действия на ЕИФ. Този фонд за инвестиции във фондове ще действа на търговски принцип и ще има за цел да подпомогне преодоляването на разпокъсаността и ограничения мащаб, които понастоящем затрудняват разработването на клас активи на рисковия капитал в ЕС. В съответствие със социалната програма и програмата за умения на ЕС други нови инструменти ще бъдат насочени към подпомагането на социалните предприятия и микрофинансирането. Освен това ще бъдат разработени продукти в подкрепа на свързаните със секюритизация операции, чрез които операции се мобилизират допълнителни средства за МСП, и с цел подобряване на достъпа до финансиране за иновативните МСП и малките дружества със средна пазарна капитализация посредством гаранции за необезпечени заеми.</w:t>
      </w:r>
    </w:p>
    <w:p>
      <w:pPr>
        <w:jc w:val="both"/>
        <w:rPr>
          <w:noProof/>
          <w:sz w:val="24"/>
          <w:szCs w:val="24"/>
        </w:rPr>
      </w:pPr>
      <w:r>
        <w:rPr>
          <w:rFonts w:ascii="Times New Roman" w:hAnsi="Times New Roman"/>
          <w:b/>
          <w:noProof/>
          <w:sz w:val="24"/>
        </w:rPr>
        <w:t xml:space="preserve">Трябва да бъде проучена възможността за използване на модела на ЕФСИ с цел мобилизиране на инвестиции в развиващите се трети държави. </w:t>
      </w:r>
      <w:r>
        <w:rPr>
          <w:rFonts w:ascii="Times New Roman" w:hAnsi="Times New Roman"/>
          <w:noProof/>
          <w:sz w:val="24"/>
        </w:rPr>
        <w:t>Регламент (ЕС) 2015/1017 ограничава обхвата на инвестициите на ЕФСИ до държавите — членки на ЕС, и до трансграничните инвестиции със съседните на ЕС държави. Въпреки това отделна, но сходна схема може да се окаже полезна и за програмите за външно сътрудничество на ЕС. Комисията ще разгледа възможностите за използване на модел от типа на ЕФСИ за инвестиции в трети държави, т.е. схема, която ще позволи на международните финансови институции (МФИ) да преодоляват специфични препятствия пред инвестициите и по този начин да привличат участници от частния сектор. Тя може също така да предостави възможност на различни МФИ да разширят дейността си в трудни инвестиционни условия, например в нестабилни държави и държави след приключване на конфликт, както и в проекти, свързани с миграцията. В оценката си Комисията ще вземе предвид функционирането и взаимното допълване със съществуващите инвестиционни програми на равнище ЕС (като управлявания от ЕИБ инвестиционен механизъм за държавите от Африка, Карибите и Тихоокеанския басейн, инвестиционните механизми, управлявани от Европейската комисия, и програмата за заеми/гаранции на ЕИБ).</w:t>
      </w:r>
    </w:p>
    <w:p>
      <w:pPr>
        <w:suppressAutoHyphens/>
        <w:spacing w:after="0" w:line="100" w:lineRule="atLeast"/>
        <w:ind w:left="1440" w:hanging="360"/>
        <w:rPr>
          <w:rFonts w:ascii="Times New Roman" w:hAnsi="Times New Roman" w:cs="Times New Roman"/>
          <w:b/>
          <w:noProof/>
          <w:sz w:val="24"/>
          <w:szCs w:val="24"/>
        </w:rPr>
      </w:pPr>
      <w:r>
        <w:rPr>
          <w:rFonts w:ascii="Times New Roman" w:hAnsi="Times New Roman"/>
          <w:b/>
          <w:noProof/>
          <w:sz w:val="24"/>
        </w:rPr>
        <w:t>в.</w:t>
      </w:r>
      <w:r>
        <w:rPr>
          <w:rFonts w:ascii="Times New Roman" w:hAnsi="Times New Roman"/>
          <w:b/>
          <w:noProof/>
          <w:sz w:val="24"/>
        </w:rPr>
        <w:tab/>
        <w:t xml:space="preserve">Осигуряване на взаимно допълване на всички равнища, за да се отключат допълнителни инвестиции </w:t>
      </w:r>
    </w:p>
    <w:p>
      <w:pPr>
        <w:suppressAutoHyphens/>
        <w:spacing w:after="0" w:line="100" w:lineRule="atLeast"/>
        <w:ind w:left="360"/>
        <w:rPr>
          <w:rFonts w:ascii="Times New Roman" w:hAnsi="Times New Roman" w:cs="Times New Roman"/>
          <w:b/>
          <w:noProof/>
          <w:sz w:val="24"/>
          <w:szCs w:val="24"/>
        </w:rPr>
      </w:pPr>
    </w:p>
    <w:p>
      <w:pPr>
        <w:suppressAutoHyphens/>
        <w:jc w:val="both"/>
        <w:rPr>
          <w:rFonts w:ascii="Times New Roman" w:hAnsi="Times New Roman" w:cs="Times New Roman"/>
          <w:b/>
          <w:noProof/>
          <w:sz w:val="24"/>
          <w:szCs w:val="24"/>
        </w:rPr>
      </w:pPr>
      <w:r>
        <w:rPr>
          <w:rFonts w:ascii="Times New Roman" w:hAnsi="Times New Roman"/>
          <w:i/>
          <w:noProof/>
          <w:sz w:val="24"/>
        </w:rPr>
        <w:t>Взаимно допълване</w:t>
      </w:r>
    </w:p>
    <w:p>
      <w:pPr>
        <w:suppressAutoHyphens/>
        <w:jc w:val="both"/>
        <w:rPr>
          <w:rFonts w:ascii="Times New Roman" w:hAnsi="Times New Roman" w:cs="Times New Roman"/>
          <w:i/>
          <w:noProof/>
          <w:sz w:val="24"/>
          <w:szCs w:val="24"/>
        </w:rPr>
      </w:pPr>
      <w:r>
        <w:rPr>
          <w:rFonts w:ascii="Times New Roman" w:hAnsi="Times New Roman"/>
          <w:b/>
          <w:noProof/>
          <w:sz w:val="24"/>
        </w:rPr>
        <w:t>Взаимното допълване между ЕФСИ и други фондове на ЕС е основна част от цялостния ангажимент на Комисията да осигури по-добро използване на средствата на ЕС във всички области на политиката</w:t>
      </w:r>
      <w:r>
        <w:rPr>
          <w:rStyle w:val="FootnoteReference"/>
          <w:noProof/>
        </w:rPr>
        <w:footnoteReference w:id="22"/>
      </w:r>
      <w:r>
        <w:rPr>
          <w:rFonts w:ascii="Times New Roman" w:hAnsi="Times New Roman"/>
          <w:b/>
          <w:noProof/>
          <w:sz w:val="24"/>
        </w:rPr>
        <w:t xml:space="preserve">. </w:t>
      </w:r>
      <w:r>
        <w:rPr>
          <w:rFonts w:ascii="Times New Roman" w:hAnsi="Times New Roman"/>
          <w:noProof/>
          <w:sz w:val="24"/>
        </w:rPr>
        <w:t>Комбинирането на подкрепата от ЕФСИ с други източници на финансиране от ЕС може да обхваща различни видове риск на даден проект и по този начин да бъдат привлечени повече инвеститори. Съвместното инвестиране в проекти на ЕФСИ може да бъде извършвано на проектно равнище или на равнището на инвестиционна платформа. Тези платформи могат да подпомогнат финансирането на по-малки проекти. Те обединяват средства от различни източници, за да се даде възможност за диверсифицирани инвестиции с географска или тематична насоченост. Те могат също така да направят по-малките или местните инвестиционни възможности привлекателни от финансова гледна точка за нови групи от инвеститори, като например пенсионни фондове или чуждестранни институционални инвеститори</w:t>
      </w:r>
      <w:r>
        <w:rPr>
          <w:rStyle w:val="FootnoteReference"/>
          <w:noProof/>
        </w:rPr>
        <w:footnoteReference w:id="23"/>
      </w:r>
      <w:r>
        <w:rPr>
          <w:noProof/>
        </w:rPr>
        <w:t>.</w:t>
      </w:r>
      <w:r>
        <w:rPr>
          <w:rFonts w:ascii="Times New Roman" w:hAnsi="Times New Roman"/>
          <w:noProof/>
          <w:sz w:val="24"/>
        </w:rPr>
        <w:t xml:space="preserve"> Сред първите примери за платформи е фонд, създаден през февруари 2015 г. с цел насърчаване на производствените инвестиции във Франция. Фондът има за цел да подкрепя, заедно с частни партньори и средства от френската държава, новосъздадени дружества, за да финансира прехода им към етапа на промишлено производство на нови технологии и навлизането на тези предприятия в нови сектори. Целта е да се насърчи създаването на нови възможности в сферата на промишлеността, да се подобри конкурентоспособността и да се подпомогне разработването на промишлени клъстери, по-специално по отношение на прехода към по-екологично производство и енергийния преход. Други инвестиционни платформи на ЕФСИ са в процес на разработка.</w:t>
      </w:r>
    </w:p>
    <w:p>
      <w:pPr>
        <w:suppressAutoHyphens/>
        <w:jc w:val="both"/>
        <w:rPr>
          <w:rFonts w:ascii="Times New Roman" w:hAnsi="Times New Roman" w:cs="Times New Roman"/>
          <w:b/>
          <w:noProof/>
          <w:sz w:val="24"/>
          <w:szCs w:val="24"/>
        </w:rPr>
      </w:pPr>
      <w:r>
        <w:rPr>
          <w:rFonts w:ascii="Times New Roman" w:hAnsi="Times New Roman"/>
          <w:i/>
          <w:noProof/>
          <w:sz w:val="24"/>
        </w:rPr>
        <w:t>Комбиниране на фондове на ЕС с подкрепа от ЕФСИ</w:t>
      </w:r>
    </w:p>
    <w:p>
      <w:pPr>
        <w:suppressAutoHyphens/>
        <w:jc w:val="both"/>
        <w:rPr>
          <w:rFonts w:ascii="Times New Roman" w:hAnsi="Times New Roman" w:cs="Times New Roman"/>
          <w:noProof/>
          <w:sz w:val="24"/>
          <w:szCs w:val="24"/>
        </w:rPr>
      </w:pPr>
      <w:r>
        <w:rPr>
          <w:rFonts w:ascii="Times New Roman" w:hAnsi="Times New Roman"/>
          <w:b/>
          <w:noProof/>
          <w:sz w:val="24"/>
        </w:rPr>
        <w:t>Комисията ще предприеме по-нататъшни действия, за да гарантира лесно комбиниране на фондовете на ЕС с подкрепа от ЕФСИ.</w:t>
      </w:r>
      <w:r>
        <w:rPr>
          <w:rFonts w:ascii="Times New Roman" w:hAnsi="Times New Roman"/>
          <w:noProof/>
          <w:sz w:val="24"/>
        </w:rPr>
        <w:t xml:space="preserve"> Подобни комбинации, по-специално що се отнася до европейските структурни и инвестиционни фондове, могат да бъдат особено полезни за осигуряване на широк географски обхват на ЕФСИ. Комисията вече публикува конкретни насоки по този въпрос</w:t>
      </w:r>
      <w:r>
        <w:rPr>
          <w:rStyle w:val="FootnoteReference"/>
          <w:noProof/>
        </w:rPr>
        <w:footnoteReference w:id="24"/>
      </w:r>
      <w:r>
        <w:rPr>
          <w:rFonts w:ascii="Times New Roman" w:hAnsi="Times New Roman"/>
          <w:noProof/>
          <w:sz w:val="24"/>
        </w:rPr>
        <w:t xml:space="preserve"> и ще продължи да работи за по-нататъшното опростяване на общата рамка за разгръщането на този вид комбинации. Например Комисията подготвя предложения за изменение на Регламента за общоприложимите разпоредби, уреждащ комбинирането на европейските структурни и инвестиционни фондове с ЕФСИ, с цел да се улесни използването им в инвестиционните платформи на ЕФСИ, както и комбинирането на европейските структурни и инвестиционни фондове и ЕФСИ в смесени инструменти, и за насърчаване на широкото използване на финансови инструменти. Този процес ще бъде улеснен допълнително от създаването на платформи за интелигентна специализация (напр. за модернизиране на промишлеността).</w:t>
      </w:r>
    </w:p>
    <w:p>
      <w:pPr>
        <w:suppressAutoHyphens/>
        <w:jc w:val="both"/>
        <w:rPr>
          <w:rFonts w:ascii="Times New Roman" w:hAnsi="Times New Roman" w:cs="Times New Roman"/>
          <w:bCs/>
          <w:i/>
          <w:noProof/>
          <w:sz w:val="24"/>
          <w:szCs w:val="24"/>
        </w:rPr>
      </w:pPr>
      <w:r>
        <w:rPr>
          <w:rFonts w:ascii="Times New Roman" w:hAnsi="Times New Roman"/>
          <w:noProof/>
          <w:sz w:val="24"/>
        </w:rPr>
        <w:t>Извън европейските структурни и инвестиционни фондове, в сътрудничество с групата на ЕИБ и ЕКЦИВ Комисията проучва също как да се улесни допълнително смесването и комбинирането на средства от други програми на ЕС (като например Механизма за свързване на Европа (МСЕ)</w:t>
      </w:r>
      <w:r>
        <w:rPr>
          <w:rStyle w:val="FootnoteReference"/>
          <w:noProof/>
        </w:rPr>
        <w:footnoteReference w:id="25"/>
      </w:r>
      <w:r>
        <w:rPr>
          <w:rFonts w:ascii="Times New Roman" w:hAnsi="Times New Roman"/>
          <w:noProof/>
          <w:sz w:val="24"/>
        </w:rPr>
        <w:t xml:space="preserve"> и „Хоризонт 2020“</w:t>
      </w:r>
      <w:r>
        <w:rPr>
          <w:rStyle w:val="FootnoteReference"/>
          <w:noProof/>
        </w:rPr>
        <w:footnoteReference w:id="26"/>
      </w:r>
      <w:r>
        <w:rPr>
          <w:rFonts w:ascii="Times New Roman" w:hAnsi="Times New Roman"/>
          <w:noProof/>
          <w:sz w:val="24"/>
        </w:rPr>
        <w:t>) с възможности по линия на ЕФСИ, за да се отключат допълнителни инвестиции. Това комбиниране и смесване на средства би могло да доведе по-специално до допълнителни инвестиции чрез инвестиционни платформи</w:t>
      </w:r>
      <w:r>
        <w:rPr>
          <w:rStyle w:val="FootnoteReference"/>
          <w:noProof/>
        </w:rPr>
        <w:footnoteReference w:id="27"/>
      </w:r>
      <w:r>
        <w:rPr>
          <w:rFonts w:ascii="Times New Roman" w:hAnsi="Times New Roman"/>
          <w:noProof/>
          <w:sz w:val="24"/>
        </w:rPr>
        <w:t xml:space="preserve"> и инструменти за поделяне на риска за МСП, както и до проекти с висока добавена стойност за ЕС</w:t>
      </w:r>
      <w:r>
        <w:rPr>
          <w:rStyle w:val="FootnoteReference"/>
          <w:noProof/>
        </w:rPr>
        <w:footnoteReference w:id="28"/>
      </w:r>
      <w:r>
        <w:rPr>
          <w:rFonts w:ascii="Times New Roman" w:hAnsi="Times New Roman"/>
          <w:noProof/>
          <w:sz w:val="24"/>
        </w:rPr>
        <w:t xml:space="preserve">. </w:t>
      </w:r>
    </w:p>
    <w:p>
      <w:pPr>
        <w:suppressAutoHyphens/>
        <w:jc w:val="both"/>
        <w:rPr>
          <w:rFonts w:ascii="Times New Roman" w:hAnsi="Times New Roman" w:cs="Times New Roman"/>
          <w:b/>
          <w:bCs/>
          <w:noProof/>
          <w:sz w:val="24"/>
          <w:szCs w:val="24"/>
        </w:rPr>
      </w:pPr>
      <w:r>
        <w:rPr>
          <w:rFonts w:ascii="Times New Roman" w:hAnsi="Times New Roman"/>
          <w:i/>
          <w:noProof/>
          <w:sz w:val="24"/>
        </w:rPr>
        <w:t>Мобилизиране на съфинансиране от държавите членки</w:t>
      </w:r>
    </w:p>
    <w:p>
      <w:pPr>
        <w:widowControl w:val="0"/>
        <w:suppressAutoHyphens/>
        <w:jc w:val="both"/>
        <w:rPr>
          <w:rFonts w:ascii="Times New Roman" w:hAnsi="Times New Roman" w:cs="Times New Roman"/>
          <w:noProof/>
          <w:sz w:val="24"/>
          <w:szCs w:val="24"/>
        </w:rPr>
      </w:pPr>
      <w:r>
        <w:rPr>
          <w:rFonts w:ascii="Times New Roman" w:hAnsi="Times New Roman"/>
          <w:b/>
          <w:noProof/>
          <w:sz w:val="24"/>
        </w:rPr>
        <w:t xml:space="preserve">В партньорство с групата на ЕИБ, националните насърчителни банки (ННБ) играят ключова роля за изпълнението на Плана </w:t>
      </w:r>
      <w:r>
        <w:rPr>
          <w:rFonts w:ascii="Times New Roman" w:hAnsi="Times New Roman"/>
          <w:noProof/>
          <w:sz w:val="24"/>
        </w:rPr>
        <w:t xml:space="preserve">със своята допълнителна гама от продукти, познаване на местната среда и географски обхват </w:t>
      </w:r>
      <w:r>
        <w:rPr>
          <w:rStyle w:val="FootnoteReference"/>
          <w:noProof/>
        </w:rPr>
        <w:footnoteReference w:id="29"/>
      </w:r>
      <w:r>
        <w:rPr>
          <w:rFonts w:ascii="Times New Roman" w:hAnsi="Times New Roman"/>
          <w:noProof/>
          <w:sz w:val="24"/>
        </w:rPr>
        <w:t>. Към настоящия момент девет държави членки</w:t>
      </w:r>
      <w:r>
        <w:rPr>
          <w:rStyle w:val="FootnoteReference"/>
          <w:noProof/>
        </w:rPr>
        <w:footnoteReference w:id="30"/>
      </w:r>
      <w:r>
        <w:rPr>
          <w:rFonts w:ascii="Times New Roman" w:hAnsi="Times New Roman"/>
          <w:noProof/>
          <w:sz w:val="24"/>
        </w:rPr>
        <w:t xml:space="preserve"> са поели ангажимент за съфинансиране на проекти в рамките на ЕФСИ основно чрез техните ННБ, възлизащо общо на 42,5 милиарда евро.</w:t>
      </w:r>
    </w:p>
    <w:p>
      <w:pPr>
        <w:suppressAutoHyphens/>
        <w:jc w:val="both"/>
        <w:rPr>
          <w:rFonts w:ascii="Times New Roman" w:hAnsi="Times New Roman" w:cs="Times New Roman"/>
          <w:bCs/>
          <w:i/>
          <w:noProof/>
          <w:sz w:val="24"/>
          <w:szCs w:val="24"/>
        </w:rPr>
      </w:pPr>
      <w:r>
        <w:rPr>
          <w:rFonts w:ascii="Times New Roman" w:hAnsi="Times New Roman"/>
          <w:noProof/>
          <w:sz w:val="24"/>
        </w:rPr>
        <w:t xml:space="preserve">По прозореца за МСП ЕИФ е в процес на разработване на допълнителни модели за сътрудничество с ННБ в областта на капиталовите инвестиции и на секюритизацията на МСП с цел по-нататъшно увеличаване на участието на ННБ в постигането на целите на ЕФСИ. </w:t>
      </w:r>
    </w:p>
    <w:p>
      <w:pPr>
        <w:suppressAutoHyphens/>
        <w:jc w:val="both"/>
        <w:rPr>
          <w:rFonts w:ascii="Times New Roman" w:hAnsi="Times New Roman" w:cs="Times New Roman"/>
          <w:noProof/>
          <w:sz w:val="24"/>
          <w:szCs w:val="24"/>
        </w:rPr>
      </w:pPr>
      <w:r>
        <w:rPr>
          <w:rFonts w:ascii="Times New Roman" w:hAnsi="Times New Roman"/>
          <w:i/>
          <w:noProof/>
          <w:sz w:val="24"/>
        </w:rPr>
        <w:t>Създаване на условия за приток на капитали в Европа</w:t>
      </w:r>
      <w:r>
        <w:rPr>
          <w:rFonts w:ascii="Times New Roman" w:hAnsi="Times New Roman"/>
          <w:noProof/>
          <w:sz w:val="24"/>
        </w:rPr>
        <w:t xml:space="preserve"> </w:t>
      </w:r>
    </w:p>
    <w:p>
      <w:pPr>
        <w:suppressAutoHyphens/>
        <w:jc w:val="both"/>
        <w:rPr>
          <w:rFonts w:ascii="Times New Roman" w:hAnsi="Times New Roman" w:cs="Times New Roman"/>
          <w:noProof/>
          <w:sz w:val="24"/>
          <w:szCs w:val="24"/>
        </w:rPr>
      </w:pPr>
      <w:r>
        <w:rPr>
          <w:rFonts w:ascii="Times New Roman" w:hAnsi="Times New Roman"/>
          <w:b/>
          <w:noProof/>
          <w:sz w:val="24"/>
        </w:rPr>
        <w:t>ЕФСИ е част от отворената икономика на ЕС и е открит за съвместни инвестиции от трети страни</w:t>
      </w:r>
      <w:r>
        <w:rPr>
          <w:rFonts w:ascii="Times New Roman" w:hAnsi="Times New Roman"/>
          <w:noProof/>
          <w:sz w:val="24"/>
        </w:rPr>
        <w:t xml:space="preserve"> (както на ниво проекти, така и по отношение на инвестиционните платформи) при неизключителни условия, стига водещите принципи и правната рамка на ЕС да се спазват изцяло. Комисията и ЕИБ разработиха технически варианти за реализиране на съвместни инвестиции от държавни инвестиционни фондове. Китайската народна република беше първата страна извън ЕС, която обяви готовността си да допринесе за Плана за инвестиции</w:t>
      </w:r>
      <w:r>
        <w:rPr>
          <w:rStyle w:val="FootnoteReference"/>
          <w:noProof/>
        </w:rPr>
        <w:footnoteReference w:id="31"/>
      </w:r>
      <w:r>
        <w:rPr>
          <w:rFonts w:ascii="Times New Roman" w:hAnsi="Times New Roman"/>
          <w:noProof/>
          <w:sz w:val="24"/>
        </w:rPr>
        <w:t xml:space="preserve"> и възнамерява да направи това чрез структура за съвместно инвестиране. Комисията е готова да предвиди сходни варианти за други инвестиращи държави. </w:t>
      </w:r>
    </w:p>
    <w:p>
      <w:pPr>
        <w:numPr>
          <w:ilvl w:val="0"/>
          <w:numId w:val="30"/>
        </w:numPr>
        <w:suppressAutoHyphens/>
        <w:jc w:val="both"/>
        <w:rPr>
          <w:rFonts w:ascii="Times New Roman" w:hAnsi="Times New Roman" w:cs="Times New Roman"/>
          <w:b/>
          <w:noProof/>
          <w:sz w:val="24"/>
          <w:szCs w:val="24"/>
        </w:rPr>
      </w:pPr>
      <w:r>
        <w:rPr>
          <w:rFonts w:ascii="Times New Roman" w:hAnsi="Times New Roman"/>
          <w:b/>
          <w:noProof/>
          <w:sz w:val="24"/>
          <w:u w:val="single"/>
        </w:rPr>
        <w:t>Реализиране на инвестициите в реалната икономика със стабилен набор от по-добри проекти</w:t>
      </w:r>
    </w:p>
    <w:p>
      <w:pPr>
        <w:suppressAutoHyphens/>
        <w:spacing w:after="0" w:line="100" w:lineRule="atLeast"/>
        <w:ind w:left="1440" w:hanging="360"/>
        <w:rPr>
          <w:rFonts w:ascii="Times New Roman" w:hAnsi="Times New Roman" w:cs="Times New Roman"/>
          <w:b/>
          <w:noProof/>
          <w:sz w:val="24"/>
          <w:szCs w:val="24"/>
        </w:rPr>
      </w:pPr>
      <w:r>
        <w:rPr>
          <w:rFonts w:ascii="Times New Roman" w:hAnsi="Times New Roman"/>
          <w:b/>
          <w:noProof/>
          <w:sz w:val="24"/>
        </w:rPr>
        <w:t>а.</w:t>
      </w:r>
      <w:r>
        <w:rPr>
          <w:rFonts w:ascii="Times New Roman" w:hAnsi="Times New Roman"/>
          <w:b/>
          <w:noProof/>
          <w:sz w:val="24"/>
        </w:rPr>
        <w:tab/>
        <w:t>Засилена и по-целенасочена техническа помощ с цел реализиране на инвестициите</w:t>
      </w:r>
    </w:p>
    <w:p>
      <w:pPr>
        <w:widowControl w:val="0"/>
        <w:suppressAutoHyphens/>
        <w:spacing w:after="0" w:line="100" w:lineRule="atLeast"/>
        <w:ind w:left="792"/>
        <w:jc w:val="both"/>
        <w:rPr>
          <w:rFonts w:ascii="Times New Roman" w:hAnsi="Times New Roman" w:cs="Times New Roman"/>
          <w:b/>
          <w:noProof/>
          <w:sz w:val="24"/>
          <w:szCs w:val="24"/>
        </w:rPr>
      </w:pPr>
    </w:p>
    <w:p>
      <w:pPr>
        <w:suppressAutoHyphens/>
        <w:jc w:val="both"/>
        <w:rPr>
          <w:rFonts w:ascii="Times New Roman" w:hAnsi="Times New Roman" w:cs="Times New Roman"/>
          <w:noProof/>
          <w:sz w:val="24"/>
          <w:szCs w:val="24"/>
        </w:rPr>
      </w:pPr>
      <w:r>
        <w:rPr>
          <w:rFonts w:ascii="Times New Roman" w:hAnsi="Times New Roman"/>
          <w:b/>
          <w:noProof/>
          <w:sz w:val="24"/>
        </w:rPr>
        <w:t>Европейският консултантски център по инвестиционни въпроси (ЕКЦИВ/„консултантският център“)</w:t>
      </w:r>
      <w:r>
        <w:rPr>
          <w:rFonts w:ascii="Times New Roman" w:hAnsi="Times New Roman"/>
          <w:noProof/>
          <w:sz w:val="24"/>
        </w:rPr>
        <w:t xml:space="preserve"> е съвместна инициатива на Комисията и ЕИБ, която осигурява единна входна точка за консултантска помощ — безплатна за публичните органи — при подбора, подготовката и разработването на инвестиционни проекти във всички сектори и региони в Европа.</w:t>
      </w:r>
    </w:p>
    <w:p>
      <w:pPr>
        <w:suppressAutoHyphens/>
        <w:jc w:val="both"/>
        <w:rPr>
          <w:rFonts w:ascii="Times New Roman" w:hAnsi="Times New Roman" w:cs="Times New Roman"/>
          <w:noProof/>
          <w:sz w:val="24"/>
          <w:szCs w:val="24"/>
        </w:rPr>
      </w:pPr>
      <w:r>
        <w:rPr>
          <w:rFonts w:ascii="Times New Roman" w:hAnsi="Times New Roman"/>
          <w:noProof/>
          <w:sz w:val="24"/>
        </w:rPr>
        <w:t>Броят на запитванията, отправени към консултантския център, се увеличава: от края на май 2016 г. са получени над 160 запитвания от 26 държави членки; около две трети са от частния сектор. Консултантският център е лесно достъпен онлайн</w:t>
      </w:r>
      <w:r>
        <w:rPr>
          <w:rStyle w:val="FootnoteReference"/>
          <w:noProof/>
        </w:rPr>
        <w:footnoteReference w:id="32"/>
      </w:r>
      <w:r>
        <w:rPr>
          <w:rFonts w:ascii="Times New Roman" w:hAnsi="Times New Roman"/>
          <w:noProof/>
          <w:sz w:val="24"/>
        </w:rPr>
        <w:t xml:space="preserve"> и работи проактивно в приоритетни области, като енергийната ефективност, МСП, както и бързо развиващи се сфери, като интелигентните градове или електромобилността и широколентовия достъп. Консултантският център обръща специално внимание на публично-частните партньорства и трансграничните проекти.</w:t>
      </w:r>
    </w:p>
    <w:tbl>
      <w:tblPr>
        <w:tblW w:w="0" w:type="auto"/>
        <w:tblInd w:w="108" w:type="dxa"/>
        <w:tblLayout w:type="fixed"/>
        <w:tblLook w:val="0000" w:firstRow="0" w:lastRow="0" w:firstColumn="0" w:lastColumn="0" w:noHBand="0" w:noVBand="0"/>
      </w:tblPr>
      <w:tblGrid>
        <w:gridCol w:w="9072"/>
      </w:tblGrid>
      <w:tr>
        <w:trPr>
          <w:trHeight w:val="2821"/>
        </w:trPr>
        <w:tc>
          <w:tcPr>
            <w:tcW w:w="9072" w:type="dxa"/>
            <w:tcBorders>
              <w:top w:val="single" w:sz="4" w:space="0" w:color="000000"/>
              <w:left w:val="single" w:sz="4" w:space="0" w:color="000000"/>
              <w:bottom w:val="single" w:sz="4" w:space="0" w:color="000000"/>
              <w:right w:val="single" w:sz="4" w:space="0" w:color="000000"/>
            </w:tcBorders>
            <w:shd w:val="clear" w:color="auto" w:fill="FFFFFF"/>
          </w:tcPr>
          <w:p>
            <w:pPr>
              <w:suppressAutoHyphens/>
              <w:jc w:val="both"/>
              <w:rPr>
                <w:rFonts w:ascii="Times New Roman" w:hAnsi="Times New Roman" w:cs="Times New Roman"/>
                <w:b/>
                <w:bCs/>
                <w:noProof/>
                <w:sz w:val="24"/>
                <w:szCs w:val="24"/>
              </w:rPr>
            </w:pPr>
            <w:r>
              <w:rPr>
                <w:rFonts w:ascii="Times New Roman" w:hAnsi="Times New Roman"/>
                <w:b/>
                <w:noProof/>
                <w:sz w:val="24"/>
              </w:rPr>
              <w:t>Графика 3. Искания към ЕКЦИВ от края на май</w:t>
            </w:r>
          </w:p>
          <w:p>
            <w:pPr>
              <w:suppressAutoHyphens/>
              <w:jc w:val="both"/>
              <w:rPr>
                <w:rFonts w:ascii="Times New Roman" w:hAnsi="Times New Roman" w:cs="Times New Roman"/>
                <w:b/>
                <w:bCs/>
                <w:noProof/>
                <w:sz w:val="24"/>
                <w:szCs w:val="24"/>
              </w:rPr>
            </w:pPr>
            <w:r>
              <w:rPr>
                <w:rFonts w:ascii="Times New Roman" w:hAnsi="Times New Roman"/>
                <w:b/>
                <w:noProof/>
                <w:sz w:val="24"/>
              </w:rPr>
              <w:t>Брой искания по държави</w:t>
            </w:r>
          </w:p>
          <w:p>
            <w:pPr>
              <w:suppressAutoHyphens/>
              <w:jc w:val="center"/>
              <w:rPr>
                <w:rFonts w:ascii="Times New Roman" w:hAnsi="Times New Roman" w:cs="Times New Roman"/>
                <w:b/>
                <w:bCs/>
                <w:noProof/>
                <w:sz w:val="24"/>
                <w:szCs w:val="24"/>
              </w:rPr>
            </w:pPr>
            <w:r>
              <w:rPr>
                <w:noProof/>
                <w:lang w:val="en-US" w:eastAsia="en-US" w:bidi="ar-SA"/>
              </w:rPr>
              <w:drawing>
                <wp:inline distT="0" distB="0" distL="0" distR="0">
                  <wp:extent cx="3927764" cy="2203156"/>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927915" cy="2203240"/>
                          </a:xfrm>
                          <a:prstGeom prst="rect">
                            <a:avLst/>
                          </a:prstGeom>
                        </pic:spPr>
                      </pic:pic>
                    </a:graphicData>
                  </a:graphic>
                </wp:inline>
              </w:drawing>
            </w:r>
          </w:p>
          <w:p>
            <w:pPr>
              <w:suppressAutoHyphens/>
              <w:jc w:val="both"/>
              <w:rPr>
                <w:noProof/>
              </w:rPr>
            </w:pPr>
            <w:r>
              <w:rPr>
                <w:rFonts w:ascii="Times New Roman" w:hAnsi="Times New Roman"/>
                <w:b/>
                <w:noProof/>
                <w:sz w:val="24"/>
              </w:rPr>
              <w:t>Искания, свързани с конкретни проекти (по сектори)</w:t>
            </w:r>
          </w:p>
          <w:p>
            <w:pPr>
              <w:suppressAutoHyphens/>
              <w:jc w:val="center"/>
              <w:rPr>
                <w:noProof/>
              </w:rPr>
            </w:pPr>
            <w:r>
              <w:rPr>
                <w:noProof/>
                <w:lang w:val="en-US" w:eastAsia="en-US" w:bidi="ar-SA"/>
              </w:rPr>
              <w:drawing>
                <wp:inline distT="0" distB="0" distL="0" distR="0">
                  <wp:extent cx="2348346" cy="2032124"/>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350067" cy="2033614"/>
                          </a:xfrm>
                          <a:prstGeom prst="rect">
                            <a:avLst/>
                          </a:prstGeom>
                        </pic:spPr>
                      </pic:pic>
                    </a:graphicData>
                  </a:graphic>
                </wp:inline>
              </w:drawing>
            </w:r>
          </w:p>
        </w:tc>
      </w:tr>
    </w:tbl>
    <w:p>
      <w:pPr>
        <w:suppressAutoHyphens/>
        <w:jc w:val="both"/>
        <w:rPr>
          <w:rFonts w:ascii="Times New Roman" w:hAnsi="Times New Roman" w:cs="Times New Roman"/>
          <w:noProof/>
          <w:sz w:val="24"/>
          <w:szCs w:val="24"/>
        </w:rPr>
      </w:pPr>
      <w:r>
        <w:rPr>
          <w:rFonts w:ascii="Times New Roman" w:hAnsi="Times New Roman"/>
          <w:noProof/>
          <w:sz w:val="24"/>
        </w:rPr>
        <w:t xml:space="preserve">За да разгърнат услугите на консултантския център на национално равнище, ЕИБ и Комисията работят в тясно сътрудничество с националните насърчителни банки, както и с други международни партньори, като например Европейската банка за възстановяване и развитие и Световната банка, както с цел да засилят присъствието на място, така и да предоставят допълнително консултантска помощ в областите, в които понастоящем не се предоставя такава от ЕИБ. ЕИБ развива също своята мрежа от местни външни служби, които ще улеснят разпространението на информация и ще способстват за осигуряването на по-съобразена с местните особености техническа помощ и за прилагането на подходящи продукти на ЕФСИ. </w:t>
      </w:r>
    </w:p>
    <w:p>
      <w:pPr>
        <w:suppressAutoHyphens/>
        <w:jc w:val="both"/>
        <w:rPr>
          <w:rFonts w:ascii="Times New Roman" w:hAnsi="Times New Roman" w:cs="Times New Roman"/>
          <w:noProof/>
          <w:sz w:val="24"/>
          <w:szCs w:val="24"/>
        </w:rPr>
      </w:pPr>
      <w:r>
        <w:rPr>
          <w:rFonts w:ascii="Times New Roman" w:hAnsi="Times New Roman"/>
          <w:noProof/>
          <w:sz w:val="24"/>
        </w:rPr>
        <w:t>ЕИБ и Комисията ще проучат също възможността ЕКЦИВ да консултира държавите членки при разработването на местни схеми за техническа помощ за по-малки проекти, които може евентуално да бъдат подпомогнати от европейските структурни и инвестиционни фондове. Комисията ще проучи със заинтересованите държави членки възможността мрежата на ЕКЦИВ да бъде укрепена с получени от тях средства от европейските структурни и инвестиционни фондове.</w:t>
      </w:r>
    </w:p>
    <w:p>
      <w:pPr>
        <w:suppressAutoHyphens/>
        <w:jc w:val="both"/>
        <w:rPr>
          <w:rFonts w:ascii="Times New Roman" w:hAnsi="Times New Roman" w:cs="Times New Roman"/>
          <w:b/>
          <w:bCs/>
          <w:noProof/>
          <w:sz w:val="24"/>
          <w:szCs w:val="24"/>
        </w:rPr>
      </w:pPr>
      <w:r>
        <w:rPr>
          <w:rFonts w:ascii="Times New Roman" w:hAnsi="Times New Roman"/>
          <w:noProof/>
          <w:sz w:val="24"/>
        </w:rPr>
        <w:t>Комисията ще допринесе и за укрепването на административния капацитет на държавите членки за създаване на публично-частни партньорства чрез допълнително улесняване на обмена на добри практики между местните, регионалните, националните органи и органите на ЕС.</w:t>
      </w:r>
    </w:p>
    <w:p>
      <w:pPr>
        <w:suppressAutoHyphens/>
        <w:jc w:val="both"/>
        <w:rPr>
          <w:noProof/>
        </w:rPr>
      </w:pPr>
      <w:r>
        <w:rPr>
          <w:rFonts w:ascii="Times New Roman" w:hAnsi="Times New Roman"/>
          <w:b/>
          <w:noProof/>
          <w:sz w:val="24"/>
        </w:rPr>
        <w:t xml:space="preserve">Повече и по-добра техническа помощ. </w:t>
      </w:r>
      <w:r>
        <w:rPr>
          <w:rFonts w:ascii="Times New Roman" w:hAnsi="Times New Roman"/>
          <w:noProof/>
          <w:sz w:val="24"/>
        </w:rPr>
        <w:t>В бъдеще консултантският център ще играе изключително важна роля за осигуряването на оптимизиран достъп за бенефициерите чрез опростяване и обединяване на свързаните с тях финансови пакети за техническа помощ и насочването им към подкрепата, която е най-подходяща за техните нужди. По-голямата синергия между актуалните специални програми за техническа помощ на равнище ЕС (например МСЕ, „Хоризонт 2020“, Jaspers и т.н.) би могла да подобри достъпа на бенефициерите и в крайна сметка да осигури по-голяма финансова гъвкавост и да доведе до повече целеви консултации, позволяващи по-добра помощ. Освен това консултантският център следва да бъде допълнително оптимизиран, за да се осигурят по-конкретни съвети и информационни дейности, увеличаващи подкрепата, и да се достигне до по-голям брой потенциални организатори на проекти там, където има най-голяма нужда. Налице е и значителен неоползотворен потенциал, който трябва да бъде мобилизиран за инвестиции в цифрови инфраструктури, например широколентови оптични мрежи</w:t>
      </w:r>
      <w:r>
        <w:rPr>
          <w:rStyle w:val="FootnoteReference"/>
          <w:rFonts w:ascii="Times New Roman" w:hAnsi="Times New Roman"/>
          <w:noProof/>
          <w:sz w:val="24"/>
        </w:rPr>
        <w:footnoteReference w:id="33"/>
      </w:r>
      <w:r>
        <w:rPr>
          <w:rFonts w:ascii="Times New Roman" w:hAnsi="Times New Roman"/>
          <w:noProof/>
          <w:sz w:val="24"/>
        </w:rPr>
        <w:t xml:space="preserve"> и широкомащабни демонстрационни системи. Може да се направи повече за улесняване на инвестициите в други новаторски и устойчиви решения, които допринасят за развитието на интелигентни градове, като осигуряват по-добра интеграция на инфраструктурата за ИКТ в енергетиката, транспорта, водите и отпадъците.</w:t>
      </w:r>
    </w:p>
    <w:p>
      <w:pPr>
        <w:suppressAutoHyphens/>
        <w:spacing w:line="100" w:lineRule="atLeast"/>
        <w:ind w:left="1440" w:hanging="360"/>
        <w:jc w:val="both"/>
        <w:rPr>
          <w:rFonts w:ascii="Times New Roman" w:hAnsi="Times New Roman" w:cs="Times New Roman"/>
          <w:b/>
          <w:noProof/>
          <w:sz w:val="24"/>
          <w:szCs w:val="24"/>
        </w:rPr>
      </w:pPr>
      <w:r>
        <w:rPr>
          <w:rFonts w:ascii="Times New Roman" w:hAnsi="Times New Roman"/>
          <w:b/>
          <w:noProof/>
          <w:sz w:val="24"/>
        </w:rPr>
        <w:t>б.</w:t>
      </w:r>
      <w:r>
        <w:rPr>
          <w:rFonts w:ascii="Times New Roman" w:hAnsi="Times New Roman"/>
          <w:b/>
          <w:noProof/>
          <w:sz w:val="24"/>
        </w:rPr>
        <w:tab/>
        <w:t>Нов портал за по-добра видимост на възможностите за инвестиции в Европа</w:t>
      </w:r>
    </w:p>
    <w:p>
      <w:pPr>
        <w:suppressAutoHyphens/>
        <w:jc w:val="both"/>
        <w:rPr>
          <w:rFonts w:ascii="Times New Roman" w:hAnsi="Times New Roman" w:cs="Times New Roman"/>
          <w:b/>
          <w:bCs/>
          <w:noProof/>
          <w:sz w:val="24"/>
          <w:szCs w:val="24"/>
        </w:rPr>
      </w:pPr>
      <w:r>
        <w:rPr>
          <w:rFonts w:ascii="Times New Roman" w:hAnsi="Times New Roman"/>
          <w:b/>
          <w:noProof/>
          <w:sz w:val="24"/>
        </w:rPr>
        <w:t xml:space="preserve">Осигуряване на по-голяма видимост на европейските инвестиционни възможности. </w:t>
      </w:r>
      <w:r>
        <w:rPr>
          <w:rFonts w:ascii="Times New Roman" w:hAnsi="Times New Roman"/>
          <w:noProof/>
          <w:sz w:val="24"/>
        </w:rPr>
        <w:t xml:space="preserve">С цел осигуряване на съответствие между наличната ликвидност на финансовите пазари и инвестиционните проекти в реалната икономика, Комисията разработи </w:t>
      </w:r>
      <w:r>
        <w:rPr>
          <w:rFonts w:ascii="Times New Roman" w:hAnsi="Times New Roman"/>
          <w:b/>
          <w:noProof/>
          <w:sz w:val="24"/>
        </w:rPr>
        <w:t>Европейски портал за инвестиционни проекти</w:t>
      </w:r>
      <w:r>
        <w:rPr>
          <w:rFonts w:ascii="Times New Roman" w:hAnsi="Times New Roman"/>
          <w:noProof/>
          <w:sz w:val="24"/>
        </w:rPr>
        <w:t xml:space="preserve"> (ЕПИП), в който на организаторите на проекти в ЕС се дава възможност да подобрят видимостта на проектите си за инвеститорите в целия свят</w:t>
      </w:r>
      <w:r>
        <w:rPr>
          <w:rStyle w:val="FootnoteReference"/>
          <w:noProof/>
        </w:rPr>
        <w:footnoteReference w:id="34"/>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Тази инициатива е в отговор на едно от ясно установените структурни препятствия пред инвестициите в Европейския съюз.</w:t>
      </w:r>
    </w:p>
    <w:tbl>
      <w:tblPr>
        <w:tblW w:w="0" w:type="auto"/>
        <w:tblInd w:w="108" w:type="dxa"/>
        <w:tblLayout w:type="fixed"/>
        <w:tblLook w:val="0000" w:firstRow="0" w:lastRow="0" w:firstColumn="0" w:lastColumn="0" w:noHBand="0" w:noVBand="0"/>
      </w:tblPr>
      <w:tblGrid>
        <w:gridCol w:w="9072"/>
      </w:tblGrid>
      <w:tr>
        <w:trPr>
          <w:trHeight w:val="7510"/>
        </w:trPr>
        <w:tc>
          <w:tcPr>
            <w:tcW w:w="9072" w:type="dxa"/>
            <w:tcBorders>
              <w:top w:val="single" w:sz="4" w:space="0" w:color="000000"/>
              <w:left w:val="single" w:sz="4" w:space="0" w:color="000000"/>
              <w:bottom w:val="single" w:sz="4" w:space="0" w:color="000000"/>
              <w:right w:val="single" w:sz="4" w:space="0" w:color="000000"/>
            </w:tcBorders>
            <w:shd w:val="clear" w:color="auto" w:fill="FFFFFF"/>
          </w:tcPr>
          <w:p>
            <w:pPr>
              <w:suppressAutoHyphens/>
              <w:jc w:val="both"/>
              <w:rPr>
                <w:rFonts w:ascii="Times New Roman" w:hAnsi="Times New Roman" w:cs="Times New Roman"/>
                <w:b/>
                <w:bCs/>
                <w:noProof/>
                <w:sz w:val="24"/>
                <w:szCs w:val="24"/>
              </w:rPr>
            </w:pPr>
            <w:r>
              <w:rPr>
                <w:rFonts w:ascii="Times New Roman" w:hAnsi="Times New Roman"/>
                <w:b/>
                <w:noProof/>
                <w:sz w:val="24"/>
              </w:rPr>
              <w:t>Графика 4. Проекти, подадени в ЕПИП, от края на май</w:t>
            </w:r>
          </w:p>
          <w:p>
            <w:pPr>
              <w:suppressAutoHyphens/>
              <w:jc w:val="both"/>
              <w:rPr>
                <w:rFonts w:ascii="Times New Roman" w:hAnsi="Times New Roman" w:cs="Times New Roman"/>
                <w:b/>
                <w:bCs/>
                <w:noProof/>
                <w:sz w:val="24"/>
                <w:szCs w:val="24"/>
              </w:rPr>
            </w:pPr>
            <w:r>
              <w:rPr>
                <w:rFonts w:ascii="Times New Roman" w:hAnsi="Times New Roman"/>
                <w:b/>
                <w:noProof/>
                <w:sz w:val="24"/>
              </w:rPr>
              <w:t>Брой проекти по държави</w:t>
            </w:r>
          </w:p>
          <w:p>
            <w:pPr>
              <w:suppressAutoHyphens/>
              <w:jc w:val="center"/>
              <w:rPr>
                <w:rFonts w:ascii="Times New Roman" w:hAnsi="Times New Roman" w:cs="Times New Roman"/>
                <w:b/>
                <w:bCs/>
                <w:noProof/>
                <w:sz w:val="24"/>
                <w:szCs w:val="24"/>
              </w:rPr>
            </w:pPr>
            <w:r>
              <w:rPr>
                <w:noProof/>
                <w:lang w:val="en-US" w:eastAsia="en-US" w:bidi="ar-SA"/>
              </w:rPr>
              <w:drawing>
                <wp:inline distT="0" distB="0" distL="0" distR="0">
                  <wp:extent cx="4662055" cy="2354819"/>
                  <wp:effectExtent l="0" t="0" r="5715"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658707" cy="2353128"/>
                          </a:xfrm>
                          <a:prstGeom prst="rect">
                            <a:avLst/>
                          </a:prstGeom>
                        </pic:spPr>
                      </pic:pic>
                    </a:graphicData>
                  </a:graphic>
                </wp:inline>
              </w:drawing>
            </w:r>
          </w:p>
          <w:p>
            <w:pPr>
              <w:jc w:val="both"/>
              <w:rPr>
                <w:rFonts w:ascii="Times New Roman" w:hAnsi="Times New Roman" w:cs="Times New Roman"/>
                <w:b/>
                <w:bCs/>
                <w:noProof/>
                <w:sz w:val="24"/>
                <w:szCs w:val="24"/>
              </w:rPr>
            </w:pPr>
            <w:r>
              <w:rPr>
                <w:rFonts w:ascii="Times New Roman" w:hAnsi="Times New Roman"/>
                <w:b/>
                <w:noProof/>
                <w:sz w:val="24"/>
              </w:rPr>
              <w:t>Проекти в ЕПИП — основни сектори</w:t>
            </w:r>
          </w:p>
          <w:p>
            <w:pPr>
              <w:jc w:val="center"/>
              <w:rPr>
                <w:noProof/>
              </w:rPr>
            </w:pPr>
            <w:r>
              <w:rPr>
                <w:noProof/>
                <w:lang w:val="en-US" w:eastAsia="en-US" w:bidi="ar-SA"/>
              </w:rPr>
              <w:drawing>
                <wp:inline distT="0" distB="0" distL="0" distR="0">
                  <wp:extent cx="2673928" cy="2226559"/>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678379" cy="2230265"/>
                          </a:xfrm>
                          <a:prstGeom prst="rect">
                            <a:avLst/>
                          </a:prstGeom>
                        </pic:spPr>
                      </pic:pic>
                    </a:graphicData>
                  </a:graphic>
                </wp:inline>
              </w:drawing>
            </w:r>
          </w:p>
        </w:tc>
      </w:tr>
    </w:tbl>
    <w:p>
      <w:pPr>
        <w:suppressAutoHyphens/>
        <w:jc w:val="both"/>
        <w:rPr>
          <w:rFonts w:ascii="Times New Roman" w:hAnsi="Times New Roman" w:cs="Times New Roman"/>
          <w:noProof/>
          <w:sz w:val="24"/>
          <w:szCs w:val="24"/>
        </w:rPr>
      </w:pPr>
    </w:p>
    <w:p>
      <w:pPr>
        <w:suppressAutoHyphens/>
        <w:jc w:val="both"/>
        <w:rPr>
          <w:rFonts w:ascii="Times New Roman" w:hAnsi="Times New Roman" w:cs="Times New Roman"/>
          <w:noProof/>
          <w:sz w:val="24"/>
          <w:szCs w:val="24"/>
        </w:rPr>
      </w:pPr>
      <w:r>
        <w:rPr>
          <w:rFonts w:ascii="Times New Roman" w:hAnsi="Times New Roman"/>
          <w:noProof/>
          <w:sz w:val="24"/>
        </w:rPr>
        <w:t>Тази инициатива подкрепя политическата насока, зададена на международни форуми като МВФ, Г-20 и ОИСР, в рамките на всеки от които бе подчертана необходимостта от създаване на прозрачен и ориентиран към бъдещето набор от проекти, който би бил от полза за потенциалните инвеститори. В бъдеще порталът за проекти ще съдържа и връзки към национални и регионални набори от по-малки проекти.</w:t>
      </w:r>
    </w:p>
    <w:p>
      <w:pPr>
        <w:suppressAutoHyphens/>
        <w:jc w:val="both"/>
        <w:rPr>
          <w:rFonts w:ascii="Times New Roman" w:hAnsi="Times New Roman" w:cs="Times New Roman"/>
          <w:b/>
          <w:noProof/>
          <w:sz w:val="24"/>
          <w:szCs w:val="24"/>
          <w:u w:val="single"/>
        </w:rPr>
      </w:pPr>
      <w:r>
        <w:rPr>
          <w:rFonts w:ascii="Times New Roman" w:hAnsi="Times New Roman"/>
          <w:noProof/>
          <w:sz w:val="24"/>
        </w:rPr>
        <w:t>Комисията ще следи отблизо обратната информация от пазара с цел постепенно подобряване на възможностите на портала и осигуряване на съгласуваност с текущи инициативи под егидата на Г-20.</w:t>
      </w:r>
    </w:p>
    <w:p>
      <w:pPr>
        <w:numPr>
          <w:ilvl w:val="0"/>
          <w:numId w:val="30"/>
        </w:numPr>
        <w:suppressAutoHyphens/>
        <w:jc w:val="both"/>
        <w:rPr>
          <w:rFonts w:ascii="Times New Roman" w:hAnsi="Times New Roman" w:cs="Times New Roman"/>
          <w:b/>
          <w:noProof/>
          <w:sz w:val="24"/>
          <w:szCs w:val="24"/>
        </w:rPr>
      </w:pPr>
      <w:r>
        <w:rPr>
          <w:rFonts w:ascii="Times New Roman" w:hAnsi="Times New Roman"/>
          <w:b/>
          <w:noProof/>
          <w:sz w:val="24"/>
          <w:u w:val="single"/>
        </w:rPr>
        <w:t>Подобряване на инвестиционната среда чрез премахване на пречките пред инвестициите и осигуряване на регулаторна сигурност</w:t>
      </w:r>
    </w:p>
    <w:p>
      <w:pPr>
        <w:suppressAutoHyphens/>
        <w:jc w:val="both"/>
        <w:rPr>
          <w:rFonts w:ascii="Times New Roman" w:hAnsi="Times New Roman" w:cs="Times New Roman"/>
          <w:b/>
          <w:noProof/>
          <w:sz w:val="24"/>
          <w:szCs w:val="24"/>
        </w:rPr>
      </w:pPr>
      <w:r>
        <w:rPr>
          <w:rFonts w:ascii="Times New Roman" w:hAnsi="Times New Roman"/>
          <w:b/>
          <w:noProof/>
          <w:sz w:val="24"/>
        </w:rPr>
        <w:t>В допълнение към новия подход към финансирането и предоставянето на техническа помощ бяха предприети конкретни действия за премахване на финансовите, административните и регулаторните пречки пред инвестициите и по-нататъшно задълбочаване на единния пазар.</w:t>
      </w:r>
      <w:r>
        <w:rPr>
          <w:rFonts w:ascii="Times New Roman" w:hAnsi="Times New Roman"/>
          <w:noProof/>
          <w:sz w:val="24"/>
        </w:rPr>
        <w:t xml:space="preserve"> Подобряването и разнообразяването на източниците на финансиране е необходим, но не и достатъчен фактор. Европа трябва да създаде регулаторна среда, която да бъде предвидима, да намалява административната тежест и да насърчава инвестициите. Тези усилия на равнище ЕС вървят ръка за ръка с ангажимента на държавите членки да продължат реформите с цел премахване на административните, финансовите и специфичните за отделните сектори пречки на национално равнище в контекста на европейския семестър и извън него.</w:t>
      </w:r>
    </w:p>
    <w:p>
      <w:pPr>
        <w:suppressAutoHyphens/>
        <w:spacing w:after="0" w:line="100" w:lineRule="atLeast"/>
        <w:ind w:left="1440" w:hanging="360"/>
        <w:rPr>
          <w:rFonts w:ascii="Times New Roman" w:hAnsi="Times New Roman" w:cs="Times New Roman"/>
          <w:noProof/>
          <w:sz w:val="24"/>
          <w:szCs w:val="24"/>
        </w:rPr>
      </w:pPr>
      <w:r>
        <w:rPr>
          <w:rFonts w:ascii="Times New Roman" w:hAnsi="Times New Roman"/>
          <w:b/>
          <w:noProof/>
          <w:sz w:val="24"/>
        </w:rPr>
        <w:t>а.</w:t>
      </w:r>
      <w:r>
        <w:rPr>
          <w:rFonts w:ascii="Times New Roman" w:hAnsi="Times New Roman"/>
          <w:b/>
          <w:noProof/>
          <w:sz w:val="24"/>
        </w:rPr>
        <w:tab/>
        <w:t xml:space="preserve">Напредък на равнище ЕС: изграждане на единния пазар и опростяване на съществуващите секторни правила </w:t>
      </w:r>
    </w:p>
    <w:p>
      <w:pPr>
        <w:suppressAutoHyphens/>
        <w:spacing w:after="0" w:line="100" w:lineRule="atLeast"/>
        <w:ind w:left="360"/>
        <w:rPr>
          <w:rFonts w:ascii="Times New Roman" w:hAnsi="Times New Roman" w:cs="Times New Roman"/>
          <w:noProof/>
          <w:sz w:val="24"/>
          <w:szCs w:val="24"/>
        </w:rPr>
      </w:pPr>
    </w:p>
    <w:p>
      <w:pPr>
        <w:suppressAutoHyphens/>
        <w:jc w:val="both"/>
        <w:rPr>
          <w:rFonts w:ascii="Times New Roman" w:hAnsi="Times New Roman" w:cs="Times New Roman"/>
          <w:noProof/>
          <w:sz w:val="24"/>
          <w:szCs w:val="24"/>
        </w:rPr>
      </w:pPr>
      <w:r>
        <w:rPr>
          <w:rFonts w:ascii="Times New Roman" w:hAnsi="Times New Roman"/>
          <w:b/>
          <w:noProof/>
          <w:sz w:val="24"/>
        </w:rPr>
        <w:t>Голяма част от ключовите инициативи на Комисията подкрепят тези цели</w:t>
      </w:r>
      <w:r>
        <w:rPr>
          <w:rFonts w:ascii="Times New Roman" w:hAnsi="Times New Roman"/>
          <w:noProof/>
          <w:sz w:val="24"/>
        </w:rPr>
        <w:t>. Днес Комисията представи съобщение, с което отчита работата си във връзка с „</w:t>
      </w:r>
      <w:r>
        <w:rPr>
          <w:rFonts w:ascii="Times New Roman" w:hAnsi="Times New Roman"/>
          <w:b/>
          <w:noProof/>
          <w:sz w:val="24"/>
        </w:rPr>
        <w:t>изграждането на единния пазар за работни места, растеж и инвестиции</w:t>
      </w:r>
      <w:r>
        <w:rPr>
          <w:rFonts w:ascii="Times New Roman" w:hAnsi="Times New Roman"/>
          <w:noProof/>
          <w:sz w:val="24"/>
        </w:rPr>
        <w:t>“</w:t>
      </w:r>
      <w:r>
        <w:rPr>
          <w:rStyle w:val="FootnoteReference"/>
          <w:noProof/>
        </w:rPr>
        <w:footnoteReference w:id="35"/>
      </w:r>
      <w:r>
        <w:rPr>
          <w:rFonts w:ascii="Times New Roman" w:hAnsi="Times New Roman"/>
          <w:noProof/>
          <w:sz w:val="24"/>
        </w:rPr>
        <w:t xml:space="preserve">. Действията, посочени в това съобщение, са от съществено значение за дългосрочното изпълнение и успеха на целите от Плана за инвестиции за Европа. Освен това стратегията за енергиен съюз </w:t>
      </w:r>
      <w:r>
        <w:rPr>
          <w:rStyle w:val="FootnoteReference"/>
          <w:noProof/>
        </w:rPr>
        <w:footnoteReference w:id="36"/>
      </w:r>
      <w:r>
        <w:rPr>
          <w:rFonts w:ascii="Times New Roman" w:hAnsi="Times New Roman"/>
          <w:noProof/>
          <w:sz w:val="24"/>
        </w:rPr>
        <w:t xml:space="preserve"> цели осигуряването на устойчива пазарна регулаторна рамка, която ще подпомогне прехода към нисковъглеродна икономика, водеща до инвестиции най-вече в гъвкаво и нисковъглеродно производство, в центъра на което са потребителите в ЕС. Необходимите законодателни мерки за прилагане на стабилна регулаторна рамка в подкрепа на посочения преход ще бъдат предложени в рамките на тази година. Успоредно с това програмата на Комисията за по-добро регулиране е насочена към опростяване на правната рамка и намаляване на регулаторната тежест.</w:t>
      </w:r>
    </w:p>
    <w:p>
      <w:pPr>
        <w:suppressAutoHyphens/>
        <w:jc w:val="both"/>
        <w:rPr>
          <w:rFonts w:ascii="Times New Roman" w:hAnsi="Times New Roman" w:cs="Times New Roman"/>
          <w:noProof/>
          <w:sz w:val="24"/>
          <w:szCs w:val="24"/>
        </w:rPr>
      </w:pPr>
      <w:r>
        <w:rPr>
          <w:rFonts w:ascii="Times New Roman" w:hAnsi="Times New Roman"/>
          <w:noProof/>
          <w:sz w:val="24"/>
        </w:rPr>
        <w:t>Конкретни примери за инвестиционни пречки, за преодоляването на които се работи в рамките на съюза на капиталовите пазари, са капиталовите изисквания за застрахователите, инвестиращи в допустими инфраструктурни проекти и некотирани европейски фондове за дългосрочни инвестиции, които бяха намалени, като новите правила вече са в сила</w:t>
      </w:r>
      <w:r>
        <w:rPr>
          <w:rStyle w:val="FootnoteReference"/>
          <w:rFonts w:ascii="Times New Roman" w:hAnsi="Times New Roman"/>
          <w:noProof/>
          <w:sz w:val="24"/>
        </w:rPr>
        <w:footnoteReference w:id="37"/>
      </w:r>
      <w:r>
        <w:rPr>
          <w:rFonts w:ascii="Times New Roman" w:hAnsi="Times New Roman"/>
          <w:noProof/>
          <w:sz w:val="24"/>
        </w:rPr>
        <w:t>. Обмислят се допълнителни изменения на директивата „Платежоспособност II“ по отношение на застрахователните инвестиции в инфраструктурни предприятия. Комисията ще прецени дали е целесъобразно по подобен начин да бъдат занижени банковите капиталови изисквания за инфраструктурен риск, като се вземат предвид дискусиите за капиталовото третиране на банковия риск в рамките на съответните международни форуми. За улеснение на инвестициите в рисков капитал в Европа, заедно с инициативата за създаване на общоевропейски фонд за инвестиции във фондове за рисков капитал Комисията ще предложи и някои промени в регулаторната рамка за рисковия капитал. Скоро ще започне подготвителна работа по разработването на европейски пазари за лични пенсионни продукти, които могат да се превърнат във важен капиталов резерв за финансиране на дългосрочни инвестиции. За да се насърчат устойчивите инвестиции в съответствие със сериозните ангажименти на ЕС, поети чрез Парижкото споразумение за климата, обмислянето на това, как да се разработи общата рамка на финансовата политика в подкрепа на екологичното финансиране следва да бъде направено въз основа на текущите международни дейности.</w:t>
      </w:r>
    </w:p>
    <w:p>
      <w:pPr>
        <w:suppressAutoHyphens/>
        <w:jc w:val="both"/>
        <w:rPr>
          <w:rFonts w:ascii="Times New Roman" w:hAnsi="Times New Roman" w:cs="Times New Roman"/>
          <w:b/>
          <w:noProof/>
          <w:sz w:val="24"/>
          <w:szCs w:val="24"/>
        </w:rPr>
      </w:pPr>
      <w:r>
        <w:rPr>
          <w:rFonts w:ascii="Times New Roman" w:hAnsi="Times New Roman"/>
          <w:noProof/>
          <w:sz w:val="24"/>
        </w:rPr>
        <w:t xml:space="preserve">Посочените инициативи правят инвестициите по-устойчиви и съответстващи на необходимостта от ориентиране на частните инвестиции към подкрепата на прехода към нисковъглеродна и устойчива на изменението на климата икономика, както се изисква в Парижкото споразумение. </w:t>
      </w:r>
    </w:p>
    <w:p>
      <w:pPr>
        <w:suppressAutoHyphens/>
        <w:jc w:val="both"/>
        <w:rPr>
          <w:rFonts w:ascii="Times New Roman" w:hAnsi="Times New Roman" w:cs="Times New Roman"/>
          <w:noProof/>
          <w:sz w:val="24"/>
          <w:szCs w:val="24"/>
        </w:rPr>
      </w:pPr>
      <w:r>
        <w:rPr>
          <w:rFonts w:ascii="Times New Roman" w:hAnsi="Times New Roman"/>
          <w:b/>
          <w:noProof/>
          <w:sz w:val="24"/>
        </w:rPr>
        <w:t xml:space="preserve">Комисията предприема действия и в редица области с пряко въздействие върху инвестиционните решения в Европа: </w:t>
      </w:r>
    </w:p>
    <w:p>
      <w:pPr>
        <w:suppressAutoHyphens/>
        <w:jc w:val="both"/>
        <w:rPr>
          <w:rFonts w:ascii="Times New Roman" w:hAnsi="Times New Roman" w:cs="Times New Roman"/>
          <w:noProof/>
          <w:sz w:val="24"/>
          <w:szCs w:val="24"/>
        </w:rPr>
      </w:pPr>
      <w:r>
        <w:rPr>
          <w:rFonts w:ascii="Times New Roman" w:hAnsi="Times New Roman"/>
          <w:noProof/>
          <w:sz w:val="24"/>
        </w:rPr>
        <w:t xml:space="preserve">Първо, в областта на </w:t>
      </w:r>
      <w:r>
        <w:rPr>
          <w:rFonts w:ascii="Times New Roman" w:hAnsi="Times New Roman"/>
          <w:b/>
          <w:noProof/>
          <w:sz w:val="24"/>
        </w:rPr>
        <w:t>държавните помощи</w:t>
      </w:r>
      <w:r>
        <w:rPr>
          <w:rFonts w:ascii="Times New Roman" w:hAnsi="Times New Roman"/>
          <w:noProof/>
          <w:sz w:val="24"/>
        </w:rPr>
        <w:t xml:space="preserve"> Комисията поясни, че финансирането по линия на ЕФСИ не представлява държавна помощ по смисъла на Договора, а финансирането от групата на ЕИБ по линия на ЕФСИ не трябва да бъде одобрявано от Комисията съгласно правилата на ЕС за държавните помощи. Проектите, подкрепени от ЕФСИ, обаче могат да се възползват също от съфинансиране от държавите членки. Такова съфинансиране, освен ако не е предоставено при пазарни условия или не попада в рамките на групово освобождаване, представлява държавна помощ, която трябва да бъде одобрена от Комисията. За да подкрепи бързото предоставяне на подпомагане по линия на ЕФСИ, Комисията се ангажира с приоритетно оценяване на съфинансирането от страна на държавите членки, като дава оценка в срок от шест седмици от получаването на необходимата информация. За да осигури допълнителна правна сигурност на инвеститорите по отношение на финансирането на инфраструктура, Комисията даде практически насоки за това какво представлява държавна помощ под формата на съобщение относно понятието за държавна помощ. Известието определя случаите, в които публичното финансиране за инфраструктура се изключва принципно от прилагането на правилата за държавните помощи</w:t>
      </w:r>
      <w:r>
        <w:rPr>
          <w:rStyle w:val="FootnoteReference"/>
          <w:noProof/>
        </w:rPr>
        <w:footnoteReference w:id="38"/>
      </w:r>
      <w:r>
        <w:rPr>
          <w:rFonts w:ascii="Times New Roman" w:hAnsi="Times New Roman"/>
          <w:noProof/>
          <w:sz w:val="24"/>
        </w:rPr>
        <w:t>.</w:t>
      </w:r>
    </w:p>
    <w:p>
      <w:pPr>
        <w:suppressAutoHyphens/>
        <w:jc w:val="both"/>
        <w:rPr>
          <w:rFonts w:ascii="Times New Roman" w:hAnsi="Times New Roman" w:cs="Times New Roman"/>
          <w:noProof/>
          <w:sz w:val="24"/>
          <w:szCs w:val="24"/>
        </w:rPr>
      </w:pPr>
      <w:r>
        <w:rPr>
          <w:rFonts w:ascii="Times New Roman" w:hAnsi="Times New Roman"/>
          <w:noProof/>
          <w:sz w:val="24"/>
        </w:rPr>
        <w:t xml:space="preserve">Второ, в областта на </w:t>
      </w:r>
      <w:r>
        <w:rPr>
          <w:rFonts w:ascii="Times New Roman" w:hAnsi="Times New Roman"/>
          <w:b/>
          <w:noProof/>
          <w:sz w:val="24"/>
        </w:rPr>
        <w:t>счетоводното отчитане в публичния сектор</w:t>
      </w:r>
      <w:r>
        <w:rPr>
          <w:rFonts w:ascii="Times New Roman" w:hAnsi="Times New Roman"/>
          <w:noProof/>
          <w:sz w:val="24"/>
        </w:rPr>
        <w:t xml:space="preserve"> Евростат провежда активни консултации с държавите членки, за да гарантира, че ПЧП както по линия на ЕФСИ, така и по принцип се класифицират в съответствие с принципите за националните сметки, стоящи в основата на данните, използвани за бюджетно наблюдение</w:t>
      </w:r>
      <w:r>
        <w:rPr>
          <w:rStyle w:val="FootnoteReference"/>
          <w:noProof/>
        </w:rPr>
        <w:footnoteReference w:id="39"/>
      </w:r>
      <w:r>
        <w:rPr>
          <w:rFonts w:ascii="Times New Roman" w:hAnsi="Times New Roman"/>
          <w:noProof/>
          <w:sz w:val="24"/>
        </w:rPr>
        <w:t>, така че да могат да бъдат структурирани по начин, който гарантира оптимално използване на публичните ресурси. В сътрудничество с държавите членки Евростат разработи статистическа методология за класифициране на такива проекти</w:t>
      </w:r>
      <w:r>
        <w:rPr>
          <w:rStyle w:val="FootnoteReference"/>
          <w:noProof/>
        </w:rPr>
        <w:footnoteReference w:id="40"/>
      </w:r>
      <w:r>
        <w:rPr>
          <w:rFonts w:ascii="Times New Roman" w:hAnsi="Times New Roman"/>
          <w:noProof/>
          <w:sz w:val="24"/>
        </w:rPr>
        <w:t>. Освен това, при поискване Евростат предоставя предварителни консултации на статистическите органи на държавите членки, за да се оцени дали проектите на ПЧП трябва да бъдат класифицирани в рамките на националните сметки или извън тях (съществуват примери и за двата случая), включително в сътрудничество с ЕИБ, ако това е от полза. Тези консултации са публично достъпни, за да служат като насоки</w:t>
      </w:r>
      <w:r>
        <w:rPr>
          <w:rStyle w:val="FootnoteReference"/>
          <w:noProof/>
        </w:rPr>
        <w:footnoteReference w:id="41"/>
      </w:r>
      <w:r>
        <w:rPr>
          <w:rFonts w:ascii="Times New Roman" w:hAnsi="Times New Roman"/>
          <w:noProof/>
          <w:sz w:val="24"/>
        </w:rPr>
        <w:t xml:space="preserve">. </w:t>
      </w:r>
    </w:p>
    <w:p>
      <w:pPr>
        <w:suppressAutoHyphens/>
        <w:jc w:val="both"/>
        <w:rPr>
          <w:rFonts w:ascii="Times New Roman" w:hAnsi="Times New Roman"/>
          <w:noProof/>
          <w:sz w:val="24"/>
        </w:rPr>
      </w:pPr>
      <w:r>
        <w:rPr>
          <w:rFonts w:ascii="Times New Roman" w:hAnsi="Times New Roman"/>
          <w:noProof/>
          <w:sz w:val="24"/>
        </w:rPr>
        <w:t>В бъдеще ще бъдат положени допълнителни усилия за проактивно взаимодействие с ключови заинтересовани страни и организатори на проекти от публичния сектор, като същевременно се запази независимостта на Евростат. По-специално ще бъде засилен капацитетът за предоставяне на консултации във връзка с инвестиции, съфинансирани със средства от ЕС, включително ЕФСИ. Освен това Евростат си сътрудничи с Европейския експертен център за ПЧП на ЕИБ (EPEC), за да разясни някои аспекти от националното счетоводство по отношение на отчитането на ПЧП, да обясни счетоводните правила и да сподели опита на ПЧП с държавите членки. Насоките, предназначени по-конкретно за заинтересованите страни, които подготвят договори за ПЧП, ще бъдат публикувани през лятото. В сътрудничество с други служби на Комисията Евростат ще следи отблизо въздействието на счетоводните правила за публичния сектор върху създаването на ПЧП в различни сектори. Ако е целесъобразно, ще преразгледа насоките си в консултация с държавите членки, например за да се отчетат особеностите на някои договорни клаузи, като договорите за енергоспестяване с гарантиран резултат.</w:t>
      </w:r>
    </w:p>
    <w:p>
      <w:pPr>
        <w:suppressAutoHyphens/>
        <w:jc w:val="both"/>
        <w:rPr>
          <w:rFonts w:ascii="Times New Roman" w:hAnsi="Times New Roman" w:cs="Times New Roman"/>
          <w:noProof/>
          <w:sz w:val="24"/>
          <w:szCs w:val="24"/>
        </w:rPr>
      </w:pPr>
      <w:r>
        <w:rPr>
          <w:rFonts w:ascii="Times New Roman" w:hAnsi="Times New Roman"/>
          <w:noProof/>
          <w:sz w:val="24"/>
        </w:rPr>
        <w:t>Трето, през 2014 г. беше приета нова рамка на ЕС</w:t>
      </w:r>
      <w:r>
        <w:rPr>
          <w:noProof/>
          <w:vertAlign w:val="superscript"/>
        </w:rPr>
        <w:footnoteReference w:id="42"/>
      </w:r>
      <w:r>
        <w:rPr>
          <w:rFonts w:ascii="Times New Roman" w:hAnsi="Times New Roman"/>
          <w:noProof/>
          <w:sz w:val="24"/>
        </w:rPr>
        <w:t xml:space="preserve"> по отношение на </w:t>
      </w:r>
      <w:r>
        <w:rPr>
          <w:rFonts w:ascii="Times New Roman" w:hAnsi="Times New Roman"/>
          <w:b/>
          <w:noProof/>
          <w:sz w:val="24"/>
        </w:rPr>
        <w:t>обществените поръчки</w:t>
      </w:r>
      <w:r>
        <w:rPr>
          <w:rFonts w:ascii="Times New Roman" w:hAnsi="Times New Roman"/>
          <w:noProof/>
          <w:sz w:val="24"/>
        </w:rPr>
        <w:t>, които заемат съществен пазарен дял в ЕС и са потенциален източник на значителни спестявания на публични средства, с краен срок за транспониране в националното законодателство до 18 април 2016 г. Изменената рамка, която включва повече възможности за преговаряне, по-ясни правила по отношение на евентуални изменения на договора по време на изпълнението му и правила за трансграничните проекти, ще улесни организирането на проекти, и по-специално на такива, които се възползват от финансиране от ЕС. Новите правила ще намалят както времето, необходимо за получаване на финансиране от ЕС, така и риска от отказани плащания. Комисията също така насърчава по-широкото използване на екологосъобразни обществени поръчки за привеждане на публичните разходи в съответствие с целите за устойчиво развитие</w:t>
      </w:r>
      <w:r>
        <w:rPr>
          <w:rStyle w:val="FootnoteReference"/>
          <w:noProof/>
        </w:rPr>
        <w:footnoteReference w:id="43"/>
      </w:r>
      <w:r>
        <w:rPr>
          <w:rFonts w:ascii="Times New Roman" w:hAnsi="Times New Roman"/>
          <w:noProof/>
          <w:sz w:val="24"/>
        </w:rPr>
        <w:t>.  По отношение на бъдещите стъпки, Комисията възнамерява до октомври 2017 г. да въведе механизъм за доброволна предварителна консултация, който ще помогне на възлагащите органи да се възползват в максимална степен от рамката за обществените поръчки.</w:t>
      </w:r>
    </w:p>
    <w:p>
      <w:pPr>
        <w:suppressAutoHyphens/>
        <w:jc w:val="both"/>
        <w:rPr>
          <w:rFonts w:ascii="Times New Roman" w:hAnsi="Times New Roman" w:cs="Times New Roman"/>
          <w:b/>
          <w:noProof/>
          <w:sz w:val="24"/>
          <w:szCs w:val="24"/>
        </w:rPr>
      </w:pPr>
      <w:r>
        <w:rPr>
          <w:rFonts w:ascii="Times New Roman" w:hAnsi="Times New Roman"/>
          <w:noProof/>
          <w:sz w:val="24"/>
        </w:rPr>
        <w:t xml:space="preserve">Четвърто, и в по-общ план, </w:t>
      </w:r>
      <w:r>
        <w:rPr>
          <w:rFonts w:ascii="Times New Roman" w:hAnsi="Times New Roman"/>
          <w:b/>
          <w:noProof/>
          <w:sz w:val="24"/>
        </w:rPr>
        <w:t>изготвянето и одобряването на инвестиционни проекти</w:t>
      </w:r>
      <w:r>
        <w:rPr>
          <w:rFonts w:ascii="Times New Roman" w:hAnsi="Times New Roman"/>
          <w:noProof/>
          <w:sz w:val="24"/>
        </w:rPr>
        <w:t xml:space="preserve"> често изисква участието на няколко служби на Комисията, които разглеждат проекта от различни гледни точки — напр. финансиране от ЕС, счетоводни правила за публичния сектор, контрол на държавните помощи, екологични разрешителни и обществени поръчки. В бъдеще Комисията ще се занимае с правилата и процедурите на ЕС, които се възприемат като твърде сложни, като работи за постигане на по-голямо сближаване на сроковете на различните процедури. За тази цел тя ще създаде ефективно „обслужване на едно гише“ за големи инфраструктурни проекти, където проверките ще се провеждат успоредно и ще имат общ срок за одобрение и отговорните служби на Комисията ще работят заедно в рамките на един-единствен екип за инвестиционна политика. Този подход, който вече се прилага в известна степен в областта на енергетиката за проекти от общ интерес, следва да се приложи както за големи инвестиционни платформи, които включват национално съфинансиране, така и до големи инфраструктурни проекти с добавена стойност за ЕС в други икономически сектори, като например транспорта, включително проекти, подкрепяни от ЕФСИ. Целта за намаляване на прекомерната административна тежест и на времето за получаване на необходимите одобрения и оценки ще се преследва и чрез текущи проверки за пригодност на законодателството на ЕС и нови механизми за сътрудничество с държавите членки. В същия дух Комисията ще проучи възможността за разработване на рамка за  единно европейско разрешение, която пряко да се прилага към големи проекти с трансгранично измерение или големи инвестиционни платформи, включващи национално съфинансиране, и която да замени широкия набор от процедури по издаване на разрешения на равнището на ЕС и на национално равнище. </w:t>
      </w:r>
    </w:p>
    <w:p>
      <w:pPr>
        <w:suppressAutoHyphens/>
        <w:spacing w:line="100" w:lineRule="atLeast"/>
        <w:ind w:left="1440" w:hanging="360"/>
        <w:rPr>
          <w:rFonts w:ascii="Times New Roman" w:hAnsi="Times New Roman" w:cs="Times New Roman"/>
          <w:b/>
          <w:noProof/>
          <w:sz w:val="24"/>
          <w:szCs w:val="24"/>
        </w:rPr>
      </w:pPr>
      <w:r>
        <w:rPr>
          <w:rFonts w:ascii="Times New Roman" w:hAnsi="Times New Roman"/>
          <w:b/>
          <w:noProof/>
          <w:sz w:val="24"/>
        </w:rPr>
        <w:t>б.</w:t>
      </w:r>
      <w:r>
        <w:rPr>
          <w:rFonts w:ascii="Times New Roman" w:hAnsi="Times New Roman"/>
          <w:b/>
          <w:noProof/>
          <w:sz w:val="24"/>
        </w:rPr>
        <w:tab/>
        <w:t xml:space="preserve">Напредък на национално равнище: справяне с пречките пред инвестициите в рамките на Европейския семестър </w:t>
      </w:r>
    </w:p>
    <w:p>
      <w:pPr>
        <w:suppressAutoHyphens/>
        <w:jc w:val="both"/>
        <w:rPr>
          <w:rFonts w:ascii="Times New Roman" w:hAnsi="Times New Roman" w:cs="Times New Roman"/>
          <w:b/>
          <w:noProof/>
          <w:sz w:val="24"/>
          <w:szCs w:val="24"/>
          <w:u w:val="single"/>
        </w:rPr>
      </w:pPr>
      <w:r>
        <w:rPr>
          <w:rFonts w:ascii="Times New Roman" w:hAnsi="Times New Roman" w:cs="Times New Roman"/>
          <w:b/>
          <w:noProof/>
          <w:sz w:val="24"/>
          <w:szCs w:val="24"/>
        </w:rPr>
        <w:t>Държавите членки могат също така да направят повече за подобряване на рамковите условия за инвестиции на национално равнище.</w:t>
      </w:r>
      <w:r>
        <w:rPr>
          <w:rFonts w:ascii="Times New Roman" w:hAnsi="Times New Roman" w:cs="Times New Roman"/>
          <w:noProof/>
          <w:sz w:val="24"/>
          <w:szCs w:val="24"/>
        </w:rPr>
        <w:t xml:space="preserve"> В</w:t>
      </w:r>
      <w:r>
        <w:rPr>
          <w:rFonts w:ascii="Times New Roman" w:hAnsi="Times New Roman"/>
          <w:noProof/>
          <w:sz w:val="24"/>
        </w:rPr>
        <w:t xml:space="preserve"> съобщението от 18 май 2016 г.</w:t>
      </w:r>
      <w:r>
        <w:rPr>
          <w:rStyle w:val="FootnoteReference"/>
          <w:noProof/>
        </w:rPr>
        <w:footnoteReference w:id="44"/>
      </w:r>
      <w:r>
        <w:rPr>
          <w:rFonts w:ascii="Times New Roman" w:hAnsi="Times New Roman"/>
          <w:noProof/>
          <w:sz w:val="24"/>
        </w:rPr>
        <w:t xml:space="preserve"> се съдържа преглед на основните цели на специфичните за всяка държава препоръки за 2016 г. Когато държавите членки разполагат с фискално пространство, те следва да го използват, за да увеличават публичните инвестиции в благоприятстващи растежа области като инфраструктура, здраве, образование и научни изследвания. В същото време са необходими допълнителни действия за стимулиране на частните инвестиции и държавите членки се насърчават да ускорят приемането на структурни реформи и  да положат усилия за премахване на пречките пред инвестициите , като например регулаторни и административни пречки, както и тромави и продължителни процедури за одобрение. Беше установено, че в някои държави членки все още са налице слабости в областта на обществените поръчки, данъчните системи, съдебните системи и правните уредби за несъстоятелността. За постигането на напредък е нужно също така/Напредъкът предполага също така установяването на стабилен набор от проекти и осигуряването на координация и планиране на всички равнища на националната администрация. В същия дух, Комисията, съвместно с държавите членки, ще набележи и ще продължи да работи за премахване на необоснованите национални пречки пред свободното движение на капитали, които възпрепятстват доброто функциониране на съюза на капиталовите пазари. До края на 2016 г. ще бъде публикуван доклад</w:t>
      </w:r>
      <w:r>
        <w:rPr>
          <w:rStyle w:val="FootnoteReference"/>
          <w:rFonts w:ascii="Times New Roman" w:hAnsi="Times New Roman"/>
          <w:noProof/>
          <w:sz w:val="24"/>
        </w:rPr>
        <w:footnoteReference w:id="45"/>
      </w:r>
      <w:r>
        <w:rPr>
          <w:rFonts w:ascii="Times New Roman" w:hAnsi="Times New Roman"/>
          <w:noProof/>
          <w:sz w:val="24"/>
        </w:rPr>
        <w:t>.</w:t>
      </w:r>
    </w:p>
    <w:p>
      <w:pPr>
        <w:suppressAutoHyphens/>
        <w:jc w:val="both"/>
        <w:rPr>
          <w:rFonts w:ascii="Times New Roman" w:hAnsi="Times New Roman" w:cs="Times New Roman"/>
          <w:b/>
          <w:noProof/>
          <w:sz w:val="24"/>
          <w:szCs w:val="24"/>
        </w:rPr>
      </w:pPr>
      <w:r>
        <w:rPr>
          <w:rFonts w:ascii="Times New Roman" w:hAnsi="Times New Roman"/>
          <w:noProof/>
          <w:sz w:val="24"/>
        </w:rPr>
        <w:t xml:space="preserve">На 1 юли 2015 г. Европейската комисия създаде </w:t>
      </w:r>
      <w:r>
        <w:rPr>
          <w:rFonts w:ascii="Times New Roman" w:hAnsi="Times New Roman"/>
          <w:b/>
          <w:noProof/>
          <w:sz w:val="24"/>
        </w:rPr>
        <w:t>Служба за подкрепа на структурните реформи</w:t>
      </w:r>
      <w:r>
        <w:rPr>
          <w:rFonts w:ascii="Times New Roman" w:hAnsi="Times New Roman"/>
          <w:noProof/>
          <w:sz w:val="24"/>
        </w:rPr>
        <w:t xml:space="preserve"> (SRSS), за да предостави техническа подкрепа на държавите членки, включително помощ за изграждане на капацитет за стимулиращи растежа административни и структурни реформи. SRSS си сътрудничи с редица държави членки по конкретни проекти за техническа помощ, за да се установят и премахнат пречките пред инвестициите</w:t>
      </w:r>
      <w:r>
        <w:rPr>
          <w:rStyle w:val="FootnoteReference"/>
          <w:rFonts w:ascii="Times New Roman" w:hAnsi="Times New Roman"/>
          <w:noProof/>
          <w:sz w:val="24"/>
        </w:rPr>
        <w:footnoteReference w:id="46"/>
      </w:r>
      <w:r>
        <w:rPr>
          <w:rFonts w:ascii="Times New Roman" w:hAnsi="Times New Roman"/>
          <w:noProof/>
          <w:sz w:val="24"/>
        </w:rPr>
        <w:t>.</w:t>
      </w:r>
    </w:p>
    <w:p>
      <w:pPr>
        <w:suppressAutoHyphens/>
        <w:jc w:val="both"/>
        <w:rPr>
          <w:rFonts w:ascii="Times New Roman" w:hAnsi="Times New Roman" w:cs="Times New Roman"/>
          <w:noProof/>
          <w:sz w:val="24"/>
          <w:szCs w:val="24"/>
        </w:rPr>
      </w:pPr>
      <w:r>
        <w:rPr>
          <w:rFonts w:ascii="Times New Roman" w:hAnsi="Times New Roman"/>
          <w:b/>
          <w:noProof/>
          <w:sz w:val="24"/>
        </w:rPr>
        <w:t xml:space="preserve">Засилена връзка между фондовете на ЕС и прилагането на реформите. </w:t>
      </w:r>
      <w:r>
        <w:rPr>
          <w:rFonts w:ascii="Times New Roman" w:hAnsi="Times New Roman"/>
          <w:noProof/>
          <w:sz w:val="24"/>
        </w:rPr>
        <w:t xml:space="preserve">С цел европейските структурни и инвестиционни фондове да се съсредоточат в още по-голяма степен върху подкрепата за ключови икономически и социални реформи за периода на програмиране 2014—2020 г., Комисията възнамерява да засили връзката с основните приоритети в специфичните за всяка държава препоръки. Одобрението на европейските структурни и инвестиционни фондове беше обвързано с изпълнението на редица реформи (предварителни условия) с цел да се улесни използването и ефективността на тези фондове. Правната рамка, обхващаща европейските структурни и инвестиционни фондове, изисква в програмите, съфинансирани от тези фондове, да се вземат предвид всички релевантни специфични препоръки за отделните държави. Комисията ще наблюдава и ще докладва за напредъка в постигането на набелязаните цели до 2017 г. </w:t>
      </w:r>
    </w:p>
    <w:p>
      <w:pPr>
        <w:numPr>
          <w:ilvl w:val="0"/>
          <w:numId w:val="30"/>
        </w:numPr>
        <w:suppressAutoHyphens/>
        <w:jc w:val="both"/>
        <w:rPr>
          <w:rFonts w:ascii="Times New Roman" w:hAnsi="Times New Roman" w:cs="Times New Roman"/>
          <w:noProof/>
          <w:sz w:val="24"/>
          <w:szCs w:val="24"/>
        </w:rPr>
      </w:pPr>
      <w:r>
        <w:rPr>
          <w:rFonts w:ascii="Times New Roman" w:hAnsi="Times New Roman"/>
          <w:b/>
          <w:noProof/>
          <w:sz w:val="24"/>
          <w:u w:val="single"/>
        </w:rPr>
        <w:t>Какво предстои: утвърждаване на плана за инвестиции и ЕФСИ 2.0</w:t>
      </w:r>
    </w:p>
    <w:p>
      <w:pPr>
        <w:suppressAutoHyphens/>
        <w:jc w:val="both"/>
        <w:rPr>
          <w:rFonts w:ascii="Times New Roman" w:hAnsi="Times New Roman" w:cs="Times New Roman"/>
          <w:noProof/>
          <w:sz w:val="24"/>
          <w:szCs w:val="24"/>
        </w:rPr>
      </w:pPr>
      <w:r>
        <w:rPr>
          <w:rFonts w:ascii="Times New Roman" w:hAnsi="Times New Roman"/>
          <w:noProof/>
          <w:sz w:val="24"/>
        </w:rPr>
        <w:t xml:space="preserve">Макар да функционира пълноценно по-малко от година, ЕФСИ вече постига осезаеми резултати. Организаторите на проекти са използвали ЕКЦИВ за подобряване на качеството на техните проекти, а инвеститорите вече имат достъп до многобройни възможности за инвестиции в ЕПИП. В допълнение Комисията внесе редица инициативи за подобряване на инвестиционната среда и започна работа с държавите членки за отстраняване на регулаторните и административните пречки пред инвестициите. </w:t>
      </w:r>
    </w:p>
    <w:p>
      <w:pPr>
        <w:suppressAutoHyphens/>
        <w:jc w:val="both"/>
        <w:rPr>
          <w:rFonts w:ascii="Times New Roman" w:hAnsi="Times New Roman" w:cs="Times New Roman"/>
          <w:noProof/>
          <w:sz w:val="24"/>
          <w:szCs w:val="24"/>
        </w:rPr>
      </w:pPr>
      <w:r>
        <w:rPr>
          <w:rFonts w:ascii="Times New Roman" w:hAnsi="Times New Roman"/>
          <w:noProof/>
          <w:sz w:val="24"/>
        </w:rPr>
        <w:t xml:space="preserve">Иновативното използване на европейските фондове дава резултати благодарение на гъвкавостта на ЕФСИ, липсата на бюрокрация и независимия подбор на проекти въз основа на тяхната техническа и финансова жизнеспособност. </w:t>
      </w:r>
    </w:p>
    <w:p>
      <w:pPr>
        <w:suppressAutoHyphens/>
        <w:jc w:val="both"/>
        <w:rPr>
          <w:rFonts w:ascii="Times New Roman" w:hAnsi="Times New Roman" w:cs="Times New Roman"/>
          <w:b/>
          <w:noProof/>
          <w:sz w:val="24"/>
          <w:szCs w:val="24"/>
        </w:rPr>
      </w:pPr>
      <w:r>
        <w:rPr>
          <w:rFonts w:ascii="Times New Roman" w:hAnsi="Times New Roman"/>
          <w:noProof/>
          <w:sz w:val="24"/>
        </w:rPr>
        <w:t>Съгласно Регламент (ЕС) 2015/1017 Комисията ще направи преглед на използването на гаранцията на ЕС до януари 2017 г. и ще представи независим преглед на функционирането на ЕФСИ, ЕКЦИВ и ЕПИП най-късно до юли 2018 г. При все това, както е изложено в настоящото съобщение, вече могат да бъдат извлечени първите важни поуки.</w:t>
      </w:r>
    </w:p>
    <w:p>
      <w:pPr>
        <w:suppressAutoHyphens/>
        <w:jc w:val="both"/>
        <w:rPr>
          <w:rFonts w:ascii="Times New Roman" w:hAnsi="Times New Roman" w:cs="Times New Roman"/>
          <w:b/>
          <w:noProof/>
          <w:sz w:val="24"/>
          <w:szCs w:val="24"/>
        </w:rPr>
      </w:pPr>
      <w:r>
        <w:rPr>
          <w:rFonts w:ascii="Times New Roman" w:hAnsi="Times New Roman"/>
          <w:b/>
          <w:noProof/>
          <w:sz w:val="24"/>
        </w:rPr>
        <w:t>В този контекст Европейският съвет се приканва да одобри следните приоритети:</w:t>
      </w:r>
    </w:p>
    <w:p>
      <w:pPr>
        <w:numPr>
          <w:ilvl w:val="0"/>
          <w:numId w:val="28"/>
        </w:numPr>
        <w:suppressAutoHyphens/>
        <w:jc w:val="both"/>
        <w:rPr>
          <w:rFonts w:ascii="Times New Roman" w:hAnsi="Times New Roman" w:cs="Times New Roman"/>
          <w:noProof/>
          <w:sz w:val="24"/>
          <w:szCs w:val="24"/>
        </w:rPr>
      </w:pPr>
      <w:r>
        <w:rPr>
          <w:rFonts w:ascii="Times New Roman" w:hAnsi="Times New Roman" w:cs="Times New Roman"/>
          <w:b/>
          <w:noProof/>
          <w:sz w:val="24"/>
          <w:szCs w:val="24"/>
        </w:rPr>
        <w:t xml:space="preserve">Предвид конкретните резултати, ЕФСИ ще бъде подсилен и ще продължи своята дейност след първоначалния тригодишен период, </w:t>
      </w:r>
      <w:r>
        <w:rPr>
          <w:rFonts w:ascii="Times New Roman" w:hAnsi="Times New Roman" w:cs="Times New Roman"/>
          <w:noProof/>
          <w:sz w:val="24"/>
          <w:szCs w:val="24"/>
        </w:rPr>
        <w:t>за да се отстранят оставащите пазарни пропуски и слабости и да се продължи с мобилизирането на финансиране от частния сектор за инвестиции, които са от решаващо значение за създаването на работни места, растежа и конкурентоспособността на Европа в бъдеще, като ще се засили допълването. За тази цел през есента Комисията ще представи подходящи законодателни предложения за удължаване на срока</w:t>
      </w:r>
      <w:r>
        <w:rPr>
          <w:rFonts w:ascii="Times New Roman" w:hAnsi="Times New Roman"/>
          <w:noProof/>
          <w:sz w:val="24"/>
        </w:rPr>
        <w:t xml:space="preserve"> на действие на ЕФСИ, като се вземе предвид недостигът на бюджетни средства. </w:t>
      </w:r>
    </w:p>
    <w:p>
      <w:pPr>
        <w:numPr>
          <w:ilvl w:val="0"/>
          <w:numId w:val="28"/>
        </w:numPr>
        <w:suppressAutoHyphens/>
        <w:jc w:val="both"/>
        <w:rPr>
          <w:rFonts w:ascii="Times New Roman" w:hAnsi="Times New Roman" w:cs="Times New Roman"/>
          <w:noProof/>
          <w:sz w:val="24"/>
          <w:szCs w:val="24"/>
        </w:rPr>
      </w:pPr>
      <w:r>
        <w:rPr>
          <w:rFonts w:ascii="Times New Roman" w:hAnsi="Times New Roman"/>
          <w:noProof/>
          <w:sz w:val="24"/>
        </w:rPr>
        <w:t xml:space="preserve">Предвид неговия успех, при настоящата рамка, </w:t>
      </w:r>
      <w:r>
        <w:rPr>
          <w:rFonts w:ascii="Times New Roman" w:hAnsi="Times New Roman"/>
          <w:b/>
          <w:noProof/>
          <w:sz w:val="24"/>
        </w:rPr>
        <w:t>прозорецът за МСП на ЕФСИ бързо ще се подсили</w:t>
      </w:r>
      <w:r>
        <w:rPr>
          <w:rFonts w:ascii="Times New Roman" w:hAnsi="Times New Roman"/>
          <w:noProof/>
          <w:sz w:val="24"/>
        </w:rPr>
        <w:t xml:space="preserve"> в полза на МСП и дружествата със средна пазарна капитализация във всички държави членки. Комисията ще работи с управителния съвет на ЕФСИ за използването на всички съществуващи възможности в рамките на Регламента за ЕФСИ за подсилване на прозореца за МСП</w:t>
      </w:r>
      <w:r>
        <w:rPr>
          <w:rStyle w:val="FootnoteReference"/>
          <w:rFonts w:ascii="Times New Roman" w:hAnsi="Times New Roman"/>
          <w:noProof/>
          <w:sz w:val="24"/>
        </w:rPr>
        <w:footnoteReference w:id="47"/>
      </w:r>
      <w:r>
        <w:rPr>
          <w:rFonts w:ascii="Times New Roman" w:hAnsi="Times New Roman"/>
          <w:noProof/>
          <w:sz w:val="24"/>
        </w:rPr>
        <w:t xml:space="preserve">. </w:t>
      </w:r>
    </w:p>
    <w:p>
      <w:pPr>
        <w:numPr>
          <w:ilvl w:val="0"/>
          <w:numId w:val="28"/>
        </w:numPr>
        <w:suppressAutoHyphens/>
        <w:jc w:val="both"/>
        <w:rPr>
          <w:rFonts w:ascii="Times New Roman" w:hAnsi="Times New Roman" w:cs="Times New Roman"/>
          <w:noProof/>
          <w:sz w:val="24"/>
          <w:szCs w:val="24"/>
        </w:rPr>
      </w:pPr>
      <w:r>
        <w:rPr>
          <w:rFonts w:ascii="Times New Roman" w:hAnsi="Times New Roman"/>
          <w:noProof/>
          <w:sz w:val="24"/>
        </w:rPr>
        <w:t xml:space="preserve">Комисията ще проучи възможността за използване на модел за инвестиции от типа на ЕФСИ в </w:t>
      </w:r>
      <w:r>
        <w:rPr>
          <w:rFonts w:ascii="Times New Roman" w:hAnsi="Times New Roman"/>
          <w:b/>
          <w:noProof/>
          <w:sz w:val="24"/>
        </w:rPr>
        <w:t>развиващи се трети страни.</w:t>
      </w:r>
    </w:p>
    <w:p>
      <w:pPr>
        <w:numPr>
          <w:ilvl w:val="0"/>
          <w:numId w:val="28"/>
        </w:numPr>
        <w:suppressAutoHyphens/>
        <w:jc w:val="both"/>
        <w:rPr>
          <w:rFonts w:ascii="Times New Roman" w:hAnsi="Times New Roman" w:cs="Times New Roman"/>
          <w:noProof/>
          <w:sz w:val="24"/>
          <w:szCs w:val="24"/>
        </w:rPr>
      </w:pPr>
      <w:r>
        <w:rPr>
          <w:rFonts w:ascii="Times New Roman" w:hAnsi="Times New Roman"/>
          <w:b/>
          <w:noProof/>
          <w:sz w:val="24"/>
        </w:rPr>
        <w:t>Комбинирането на подкрепа от страна на ЕФСИ и на европейските структурни и инвестиционни фондове</w:t>
      </w:r>
      <w:r>
        <w:rPr>
          <w:rFonts w:ascii="Times New Roman" w:hAnsi="Times New Roman"/>
          <w:noProof/>
          <w:sz w:val="24"/>
        </w:rPr>
        <w:t xml:space="preserve"> ще бъде опростено, а законодателните и други пречки пред подобно комбиниране ще бъдат премахнати. По-конкретно, в контекста на предстоящия междинен преглед на МФР ще се проучат евентуални промени в приложимите регламенти</w:t>
      </w:r>
      <w:r>
        <w:rPr>
          <w:rStyle w:val="FootnoteReference"/>
          <w:rFonts w:ascii="Times New Roman" w:hAnsi="Times New Roman"/>
          <w:noProof/>
          <w:sz w:val="24"/>
        </w:rPr>
        <w:footnoteReference w:id="48"/>
      </w:r>
      <w:r>
        <w:rPr>
          <w:rFonts w:ascii="Times New Roman" w:hAnsi="Times New Roman"/>
          <w:noProof/>
          <w:sz w:val="24"/>
        </w:rPr>
        <w:t>. Комисията и ЕИБ ще работят по списък от водещи проекти, с който да се дадат конкретни примери за такова комбиниране до края на 2016 г.</w:t>
      </w:r>
    </w:p>
    <w:p>
      <w:pPr>
        <w:numPr>
          <w:ilvl w:val="0"/>
          <w:numId w:val="28"/>
        </w:numPr>
        <w:suppressAutoHyphens/>
        <w:jc w:val="both"/>
        <w:rPr>
          <w:rFonts w:ascii="Times New Roman" w:hAnsi="Times New Roman" w:cs="Times New Roman"/>
          <w:noProof/>
          <w:sz w:val="24"/>
          <w:szCs w:val="24"/>
        </w:rPr>
      </w:pPr>
      <w:r>
        <w:rPr>
          <w:rFonts w:ascii="Times New Roman" w:hAnsi="Times New Roman" w:cs="Times New Roman"/>
          <w:b/>
          <w:noProof/>
          <w:sz w:val="24"/>
          <w:szCs w:val="24"/>
        </w:rPr>
        <w:t xml:space="preserve">Ролята на консултантския център ще бъде засилена, за да се осигури по-целенасочена информационна дейност и да се подкрепи развитието на консултантски действия на местно равнище, </w:t>
      </w:r>
      <w:r>
        <w:rPr>
          <w:rFonts w:ascii="Times New Roman" w:hAnsi="Times New Roman" w:cs="Times New Roman"/>
          <w:noProof/>
          <w:sz w:val="24"/>
          <w:szCs w:val="24"/>
        </w:rPr>
        <w:t>както и сътрудничеството с националните насърчителни банки. Комисията ще разгледа възможности</w:t>
      </w:r>
      <w:r>
        <w:rPr>
          <w:rFonts w:ascii="Times New Roman" w:hAnsi="Times New Roman"/>
          <w:noProof/>
          <w:sz w:val="24"/>
        </w:rPr>
        <w:t xml:space="preserve"> за полезно взаимодействие между съществуващите пакети за техническа помощ от ЕС с цел да се повиши гъвкавостта на предоставянето на техническа помощ и да се позволи бърза реакция на нуждите на пазара.</w:t>
      </w:r>
    </w:p>
    <w:p>
      <w:pPr>
        <w:numPr>
          <w:ilvl w:val="0"/>
          <w:numId w:val="28"/>
        </w:numPr>
        <w:suppressAutoHyphens/>
        <w:jc w:val="both"/>
        <w:rPr>
          <w:rFonts w:ascii="Times New Roman" w:hAnsi="Times New Roman" w:cs="Times New Roman"/>
          <w:noProof/>
          <w:sz w:val="24"/>
          <w:szCs w:val="24"/>
        </w:rPr>
      </w:pPr>
      <w:r>
        <w:rPr>
          <w:rFonts w:ascii="Times New Roman" w:hAnsi="Times New Roman"/>
          <w:noProof/>
          <w:sz w:val="24"/>
        </w:rPr>
        <w:t xml:space="preserve">Създаването на </w:t>
      </w:r>
      <w:r>
        <w:rPr>
          <w:rFonts w:ascii="Times New Roman" w:hAnsi="Times New Roman"/>
          <w:b/>
          <w:noProof/>
          <w:sz w:val="24"/>
        </w:rPr>
        <w:t>инвестиционни платформи</w:t>
      </w:r>
      <w:r>
        <w:rPr>
          <w:rFonts w:ascii="Times New Roman" w:hAnsi="Times New Roman"/>
          <w:noProof/>
          <w:sz w:val="24"/>
        </w:rPr>
        <w:t xml:space="preserve"> ще бъде допълнително насърчено, със засилен ангажимент от страна на Комисията, групата на ЕИБ, националните насърчителни банки и други участници.</w:t>
      </w:r>
    </w:p>
    <w:p>
      <w:pPr>
        <w:numPr>
          <w:ilvl w:val="0"/>
          <w:numId w:val="28"/>
        </w:numPr>
        <w:suppressAutoHyphens/>
        <w:jc w:val="both"/>
        <w:rPr>
          <w:rFonts w:ascii="Times New Roman" w:hAnsi="Times New Roman" w:cs="Times New Roman"/>
          <w:noProof/>
          <w:sz w:val="24"/>
          <w:szCs w:val="24"/>
        </w:rPr>
      </w:pPr>
      <w:r>
        <w:rPr>
          <w:rFonts w:ascii="Times New Roman" w:hAnsi="Times New Roman"/>
          <w:noProof/>
          <w:sz w:val="24"/>
        </w:rPr>
        <w:t xml:space="preserve">ЕФСИ ще продължи да допринася за развитието на пазара на </w:t>
      </w:r>
      <w:r>
        <w:rPr>
          <w:rFonts w:ascii="Times New Roman" w:hAnsi="Times New Roman"/>
          <w:b/>
          <w:noProof/>
          <w:sz w:val="24"/>
        </w:rPr>
        <w:t>устойчиви/екологични проекти</w:t>
      </w:r>
      <w:r>
        <w:rPr>
          <w:rFonts w:ascii="Times New Roman" w:hAnsi="Times New Roman"/>
          <w:noProof/>
          <w:sz w:val="24"/>
        </w:rPr>
        <w:t>, като насърчава по-специално развитието на пазара на „зелени“ облигации в Европа и по-добрата координация на полаганите понастоящем усилия.</w:t>
      </w:r>
    </w:p>
    <w:p>
      <w:pPr>
        <w:numPr>
          <w:ilvl w:val="0"/>
          <w:numId w:val="28"/>
        </w:numPr>
        <w:suppressAutoHyphens/>
        <w:jc w:val="both"/>
        <w:rPr>
          <w:rFonts w:ascii="Times New Roman" w:hAnsi="Times New Roman" w:cs="Times New Roman"/>
          <w:noProof/>
          <w:sz w:val="24"/>
          <w:szCs w:val="24"/>
        </w:rPr>
      </w:pPr>
      <w:r>
        <w:rPr>
          <w:rFonts w:ascii="Times New Roman" w:hAnsi="Times New Roman"/>
          <w:noProof/>
          <w:sz w:val="24"/>
        </w:rPr>
        <w:t xml:space="preserve">Комисията ще продължи да работи по своите </w:t>
      </w:r>
      <w:r>
        <w:rPr>
          <w:rFonts w:ascii="Times New Roman" w:hAnsi="Times New Roman"/>
          <w:b/>
          <w:noProof/>
          <w:sz w:val="24"/>
        </w:rPr>
        <w:t>приоритети на единния пазар.</w:t>
      </w:r>
      <w:r>
        <w:rPr>
          <w:rFonts w:ascii="Times New Roman" w:hAnsi="Times New Roman"/>
          <w:noProof/>
          <w:sz w:val="24"/>
        </w:rPr>
        <w:t xml:space="preserve"> Съвместно с Евростат Комисията ще предостави допълнителна яснота и при необходимост ще преразгледа съответните насоки относно счетоводните аспекти на публично-частните партньорства.</w:t>
      </w:r>
    </w:p>
    <w:p>
      <w:pPr>
        <w:numPr>
          <w:ilvl w:val="0"/>
          <w:numId w:val="28"/>
        </w:numPr>
        <w:suppressAutoHyphens/>
        <w:jc w:val="both"/>
        <w:rPr>
          <w:rFonts w:ascii="Times New Roman" w:hAnsi="Times New Roman" w:cs="Times New Roman"/>
          <w:noProof/>
          <w:sz w:val="24"/>
          <w:szCs w:val="24"/>
        </w:rPr>
      </w:pPr>
      <w:r>
        <w:rPr>
          <w:rFonts w:ascii="Times New Roman" w:hAnsi="Times New Roman"/>
          <w:noProof/>
          <w:sz w:val="24"/>
        </w:rPr>
        <w:t xml:space="preserve">Държавите членки следва също така да установят ясни приоритети, да подготвят конкретни инвестиционни проекти с помощта на консултантския център — по-специално по отношение на трансграничните проекти — и да структурират проектите си по оптимален начин, за да се гарантира по-голямо използване на финансовите инструменти. В контекста на </w:t>
      </w:r>
      <w:r>
        <w:rPr>
          <w:rFonts w:ascii="Times New Roman" w:hAnsi="Times New Roman"/>
          <w:b/>
          <w:noProof/>
          <w:sz w:val="24"/>
        </w:rPr>
        <w:t>процеса на европейския семестър</w:t>
      </w:r>
      <w:r>
        <w:rPr>
          <w:rFonts w:ascii="Times New Roman" w:hAnsi="Times New Roman"/>
          <w:noProof/>
          <w:sz w:val="24"/>
        </w:rPr>
        <w:t xml:space="preserve"> държавите членки следва да изпълнят специфичните за всяка страна препоръки за премахване на националните пречки пред инвестициите. </w:t>
      </w:r>
    </w:p>
    <w:p>
      <w:pPr>
        <w:jc w:val="both"/>
        <w:rPr>
          <w:rFonts w:ascii="Times New Roman" w:hAnsi="Times New Roman" w:cs="Times New Roman"/>
          <w:noProof/>
          <w:sz w:val="24"/>
          <w:szCs w:val="24"/>
        </w:rPr>
      </w:pPr>
      <w:r>
        <w:rPr>
          <w:rFonts w:ascii="Times New Roman" w:hAnsi="Times New Roman"/>
          <w:noProof/>
          <w:sz w:val="24"/>
        </w:rPr>
        <w:t>Извършването на редовен преглед на постигнатите резултати от страна на Европейския съвет, Европейския парламент и съответните състави на Съвета и сътрудничеството с Европейския икономически и социален комитет и Комитета на регионите ще осигурят необходимата политическа ангажираност, за да се гарантира, че тези инициативи продължават да дават резултати. Комисията и ЕИБ ще поддържат и контактите си с главните заинтересовани страни на национално и регионално равнище във връзка с организирането на специални последващи дейности, в контекста на които да бъдат обсъдени и изготвени конкретни решения, съответстващи на местните и регионалните потребности.</w:t>
      </w:r>
    </w:p>
    <w:p>
      <w:pPr>
        <w:jc w:val="both"/>
        <w:rPr>
          <w:noProof/>
        </w:rPr>
      </w:pPr>
      <w:r>
        <w:rPr>
          <w:rFonts w:ascii="Times New Roman" w:hAnsi="Times New Roman"/>
          <w:noProof/>
          <w:sz w:val="24"/>
        </w:rPr>
        <w:t>Комисията приканва Европейския съвет да подкрепи всички непрекъснати усилия в контекста на изпълнението на Плана за инвестиции за Европа, изложени в настоящото съобщение. Тя призовава Европейския парламент и Съвета, в качеството им на законодателни органи на ЕС, своевременно да предприемат последващи действия по всички правни аспекти на плана.</w:t>
      </w:r>
    </w:p>
    <w:sectPr>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pgNumType w:start="2"/>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w:instrText>
    </w:r>
    <w:r>
      <w:fldChar w:fldCharType="separate"/>
    </w:r>
    <w:r>
      <w:rPr>
        <w:noProof/>
      </w:rPr>
      <w:t>2</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suppressAutoHyphens/>
        <w:ind w:left="567" w:hanging="567"/>
        <w:rPr>
          <w:rFonts w:ascii="Times New Roman" w:hAnsi="Times New Roman" w:cs="Times New Roman"/>
          <w:sz w:val="20"/>
          <w:szCs w:val="20"/>
          <w:lang w:val="pt-PT"/>
        </w:rPr>
      </w:pPr>
      <w:r>
        <w:rPr>
          <w:rStyle w:val="Caractresdenotedebasdepag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COM(2014) 903 final. </w:t>
      </w:r>
    </w:p>
  </w:footnote>
  <w:footnote w:id="3">
    <w:p>
      <w:pPr>
        <w:suppressAutoHyphens/>
        <w:ind w:left="567" w:hanging="567"/>
        <w:rPr>
          <w:rFonts w:ascii="Times New Roman" w:hAnsi="Times New Roman" w:cs="Times New Roman"/>
          <w:sz w:val="20"/>
          <w:szCs w:val="20"/>
          <w:lang w:val="pt-PT"/>
        </w:rPr>
      </w:pPr>
      <w:r>
        <w:rPr>
          <w:rStyle w:val="Caractresdenotedebasdepag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EUCO 237/14 на адрес: </w:t>
      </w:r>
      <w:hyperlink r:id="rId1">
        <w:r>
          <w:rPr>
            <w:rStyle w:val="Hyperlink"/>
            <w:rFonts w:ascii="Times New Roman" w:hAnsi="Times New Roman"/>
            <w:sz w:val="20"/>
          </w:rPr>
          <w:t>http://data.consilium.europa.eu/doc/document/ST-237-2014-INIT/bg/pdf</w:t>
        </w:r>
      </w:hyperlink>
    </w:p>
  </w:footnote>
  <w:footnote w:id="4">
    <w:p>
      <w:pPr>
        <w:suppressAutoHyphens/>
        <w:ind w:left="567" w:hanging="567"/>
        <w:jc w:val="both"/>
        <w:rPr>
          <w:rFonts w:ascii="Times New Roman" w:hAnsi="Times New Roman" w:cs="Times New Roman"/>
          <w:sz w:val="20"/>
          <w:szCs w:val="20"/>
        </w:rPr>
      </w:pPr>
      <w:r>
        <w:rPr>
          <w:rStyle w:val="Caractresdenotedebasdepage"/>
          <w:rFonts w:ascii="Times New Roman" w:hAnsi="Times New Roman"/>
          <w:sz w:val="20"/>
        </w:rPr>
        <w:footnoteRef/>
      </w:r>
      <w:r>
        <w:rPr>
          <w:rFonts w:ascii="Times New Roman" w:hAnsi="Times New Roman"/>
          <w:sz w:val="20"/>
        </w:rPr>
        <w:t xml:space="preserve"> </w:t>
      </w:r>
      <w:r>
        <w:tab/>
      </w:r>
      <w:r>
        <w:rPr>
          <w:rFonts w:ascii="Times New Roman" w:hAnsi="Times New Roman"/>
          <w:sz w:val="20"/>
        </w:rPr>
        <w:t>Регламент (ЕС) 2015/1017 на Европейския парламент и на Съвета от 25 юни 2016 г. за Европейския фонд за стратегически инвестиции, Европейския консултантски център по инвестиционни въпроси и Европейския портал за инвестиционни проекти и за изменение на регламенти (ЕС) № 1291/2013 и (ЕС) № 1316/2013 — Европейски фонд за стратегически инвестиции (ОВ L 169, 1.7.2015 г., стр. 1).</w:t>
      </w:r>
    </w:p>
  </w:footnote>
  <w:footnote w:id="5">
    <w:p>
      <w:pPr>
        <w:suppressAutoHyphens/>
        <w:ind w:left="567" w:hanging="567"/>
        <w:rPr>
          <w:rFonts w:ascii="Times New Roman" w:hAnsi="Times New Roman" w:cs="Times New Roman"/>
          <w:sz w:val="20"/>
          <w:szCs w:val="20"/>
        </w:rPr>
      </w:pPr>
      <w:r>
        <w:rPr>
          <w:rStyle w:val="Caractresdenotedebasdepag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Европейската икономическа прогноза от пролетта на 2016 г. бе публикувана на 3 май 2016 г. и може да бъде намерена на следния адрес: </w:t>
      </w:r>
      <w:hyperlink r:id="rId2">
        <w:r>
          <w:rPr>
            <w:rStyle w:val="Hyperlink"/>
            <w:rFonts w:ascii="Times New Roman" w:hAnsi="Times New Roman"/>
            <w:sz w:val="20"/>
          </w:rPr>
          <w:t>http://ec.europa.eu/economy_finance/eu/forecasts/2016_spring_forecast_en.htm</w:t>
        </w:r>
      </w:hyperlink>
      <w:r>
        <w:rPr>
          <w:rFonts w:ascii="Times New Roman" w:hAnsi="Times New Roman"/>
          <w:sz w:val="20"/>
        </w:rPr>
        <w:t xml:space="preserve"> </w:t>
      </w:r>
    </w:p>
  </w:footnote>
  <w:footnote w:id="6">
    <w:p>
      <w:pPr>
        <w:suppressAutoHyphens/>
        <w:ind w:left="567" w:hanging="567"/>
        <w:jc w:val="both"/>
        <w:rPr>
          <w:rFonts w:ascii="Times New Roman" w:hAnsi="Times New Roman" w:cs="Times New Roman"/>
          <w:sz w:val="20"/>
          <w:szCs w:val="20"/>
        </w:rPr>
      </w:pPr>
      <w:r>
        <w:rPr>
          <w:rStyle w:val="Caractresdenotedebasdepage"/>
          <w:rFonts w:ascii="Times New Roman" w:hAnsi="Times New Roman"/>
          <w:sz w:val="20"/>
        </w:rPr>
        <w:footnoteRef/>
      </w:r>
      <w:r>
        <w:rPr>
          <w:rFonts w:ascii="Times New Roman" w:hAnsi="Times New Roman"/>
          <w:sz w:val="20"/>
        </w:rPr>
        <w:t xml:space="preserve"> </w:t>
      </w:r>
      <w:r>
        <w:tab/>
      </w:r>
      <w:r>
        <w:rPr>
          <w:rFonts w:ascii="Times New Roman" w:hAnsi="Times New Roman"/>
          <w:sz w:val="20"/>
        </w:rPr>
        <w:t>Това отговаря на твърдите ангажименти на ЕС, потвърдени по време на конференцията по въпросите на климата, проведена в Париж през декември 2015 г.</w:t>
      </w:r>
    </w:p>
  </w:footnote>
  <w:footnote w:id="7">
    <w:p>
      <w:pPr>
        <w:suppressAutoHyphens/>
        <w:ind w:left="567" w:hanging="567"/>
        <w:jc w:val="both"/>
        <w:rPr>
          <w:rFonts w:ascii="Times New Roman" w:hAnsi="Times New Roman" w:cs="Times New Roman"/>
          <w:sz w:val="20"/>
          <w:szCs w:val="20"/>
        </w:rPr>
      </w:pPr>
      <w:r>
        <w:rPr>
          <w:rStyle w:val="Caractresdenotedebasdepage"/>
          <w:rFonts w:ascii="Times New Roman" w:hAnsi="Times New Roman"/>
          <w:sz w:val="20"/>
        </w:rPr>
        <w:footnoteRef/>
      </w:r>
      <w:r>
        <w:rPr>
          <w:rFonts w:ascii="Times New Roman" w:hAnsi="Times New Roman"/>
          <w:sz w:val="20"/>
        </w:rPr>
        <w:t xml:space="preserve"> </w:t>
      </w:r>
      <w:r>
        <w:tab/>
      </w:r>
      <w:r>
        <w:rPr>
          <w:rFonts w:ascii="Times New Roman" w:hAnsi="Times New Roman"/>
          <w:sz w:val="20"/>
        </w:rPr>
        <w:t>В предстоящата нова програма за придобиване на умения за Европа ще бъде разгледан въпросът, свързан конкретно с инвестирането и подобряването на уменията и човешкия капитал, в по-широк контекст: при все съгласието като цяло, че уменията стимулират научните изследвания и развойната дейност, иновациите, пригодността за заетост и конкурентоспособността, данните показват, че значителна част от европейската работна сила (приблизително 20 %) притежава само основни умения с ниско равнище. Това затруднява наемането на тези нискоквалифицирани работници на работа и допринася за структурната безработица. Същевременно много свободни работни места остават незаети поради недостиг на квалифицирана работна ръка. Това сочи към наличието на структурен недостиг на инвестиции в човешкия капитал. За да получат повече хора по-добри и по-подходящи умения, се изискват подходящо финансиране, както и структурни реформи за подобряване на ефективността на системите за образование и обучение.</w:t>
      </w:r>
    </w:p>
  </w:footnote>
  <w:footnote w:id="8">
    <w:p>
      <w:pPr>
        <w:pStyle w:val="FootnoteText2"/>
        <w:pageBreakBefore/>
        <w:spacing w:after="200"/>
        <w:ind w:left="567" w:hanging="567"/>
        <w:jc w:val="both"/>
        <w:rPr>
          <w:rFonts w:ascii="Times New Roman" w:hAnsi="Times New Roman" w:cs="Times New Roman"/>
        </w:rPr>
      </w:pPr>
      <w:r>
        <w:rPr>
          <w:rStyle w:val="Caractresdenotedebasdepage"/>
          <w:rFonts w:ascii="Times New Roman" w:hAnsi="Times New Roman"/>
        </w:rPr>
        <w:footnoteRef/>
      </w:r>
      <w:r>
        <w:tab/>
      </w:r>
      <w:r>
        <w:rPr>
          <w:rFonts w:ascii="Times New Roman" w:hAnsi="Times New Roman"/>
        </w:rPr>
        <w:t>Резултатите на ЕФСИ бяха ускорени в съответствие с преходната разпоредба на Регламент (ЕС) 2015/1017.</w:t>
      </w:r>
    </w:p>
  </w:footnote>
  <w:footnote w:id="9">
    <w:p>
      <w:pPr>
        <w:suppressAutoHyphens/>
        <w:ind w:left="567" w:hanging="567"/>
        <w:jc w:val="both"/>
        <w:rPr>
          <w:rFonts w:ascii="Times New Roman" w:hAnsi="Times New Roman" w:cs="Times New Roman"/>
          <w:sz w:val="20"/>
          <w:szCs w:val="20"/>
        </w:rPr>
      </w:pPr>
      <w:r>
        <w:rPr>
          <w:rStyle w:val="Caractresdenotedebasdepage"/>
          <w:rFonts w:ascii="Times New Roman" w:hAnsi="Times New Roman"/>
          <w:sz w:val="20"/>
        </w:rPr>
        <w:footnoteRef/>
      </w:r>
      <w:r>
        <w:rPr>
          <w:rFonts w:ascii="Times New Roman" w:hAnsi="Times New Roman"/>
          <w:sz w:val="20"/>
        </w:rPr>
        <w:t xml:space="preserve"> </w:t>
      </w:r>
      <w:r>
        <w:tab/>
      </w:r>
      <w:hyperlink r:id="rId3">
        <w:r>
          <w:rPr>
            <w:rStyle w:val="Hyperlink"/>
            <w:rFonts w:ascii="Times New Roman" w:hAnsi="Times New Roman"/>
            <w:sz w:val="20"/>
          </w:rPr>
          <w:t>http://www.eib.org/eiah/</w:t>
        </w:r>
      </w:hyperlink>
      <w:r>
        <w:rPr>
          <w:rFonts w:ascii="Times New Roman" w:hAnsi="Times New Roman"/>
          <w:sz w:val="20"/>
        </w:rPr>
        <w:t xml:space="preserve"> </w:t>
      </w:r>
    </w:p>
  </w:footnote>
  <w:footnote w:id="10">
    <w:p>
      <w:pPr>
        <w:suppressAutoHyphens/>
        <w:ind w:left="567" w:hanging="567"/>
        <w:jc w:val="both"/>
        <w:rPr>
          <w:rFonts w:ascii="Times New Roman" w:hAnsi="Times New Roman" w:cs="Times New Roman"/>
          <w:sz w:val="20"/>
          <w:szCs w:val="20"/>
        </w:rPr>
      </w:pPr>
      <w:r>
        <w:rPr>
          <w:rStyle w:val="Caractresdenotedebasdepage"/>
          <w:rFonts w:ascii="Times New Roman" w:hAnsi="Times New Roman"/>
          <w:sz w:val="20"/>
        </w:rPr>
        <w:footnoteRef/>
      </w:r>
      <w:r>
        <w:tab/>
      </w:r>
      <w:hyperlink r:id="rId4">
        <w:r>
          <w:rPr>
            <w:rStyle w:val="Hyperlink"/>
            <w:rFonts w:ascii="Times New Roman" w:hAnsi="Times New Roman"/>
            <w:sz w:val="20"/>
          </w:rPr>
          <w:t>https://ec.europa.eu/priorities/european-investment-project-portal-eipp_en</w:t>
        </w:r>
      </w:hyperlink>
      <w:r>
        <w:rPr>
          <w:rFonts w:ascii="Times New Roman" w:hAnsi="Times New Roman"/>
          <w:sz w:val="20"/>
        </w:rPr>
        <w:t xml:space="preserve"> </w:t>
      </w:r>
    </w:p>
  </w:footnote>
  <w:footnote w:id="11">
    <w:p>
      <w:pPr>
        <w:suppressAutoHyphens/>
        <w:ind w:left="567" w:hanging="567"/>
        <w:jc w:val="both"/>
        <w:rPr>
          <w:rFonts w:ascii="Times New Roman" w:hAnsi="Times New Roman" w:cs="Times New Roman"/>
          <w:sz w:val="20"/>
          <w:szCs w:val="20"/>
        </w:rPr>
      </w:pPr>
      <w:r>
        <w:rPr>
          <w:rStyle w:val="Caractresdenotedebasdepage"/>
          <w:rFonts w:ascii="Times New Roman" w:hAnsi="Times New Roman"/>
          <w:sz w:val="20"/>
        </w:rPr>
        <w:footnoteRef/>
      </w:r>
      <w:r>
        <w:tab/>
      </w:r>
      <w:r>
        <w:rPr>
          <w:rFonts w:ascii="Times New Roman" w:hAnsi="Times New Roman"/>
          <w:sz w:val="20"/>
        </w:rPr>
        <w:t>Вж. Съобщението за изграждането на единния пазар за работни места, растеж и инвестиции, което също бе прието днес.</w:t>
      </w:r>
    </w:p>
  </w:footnote>
  <w:footnote w:id="12">
    <w:p>
      <w:pPr>
        <w:suppressAutoHyphens/>
        <w:ind w:left="567" w:hanging="567"/>
        <w:jc w:val="both"/>
        <w:rPr>
          <w:rFonts w:ascii="Times New Roman" w:hAnsi="Times New Roman" w:cs="Times New Roman"/>
          <w:sz w:val="20"/>
          <w:szCs w:val="20"/>
        </w:rPr>
      </w:pPr>
      <w:r>
        <w:rPr>
          <w:rStyle w:val="Caractresdenotedebasdepage"/>
          <w:rFonts w:ascii="Times New Roman" w:hAnsi="Times New Roman"/>
          <w:sz w:val="20"/>
        </w:rPr>
        <w:footnoteRef/>
      </w:r>
      <w:r>
        <w:tab/>
      </w:r>
      <w:r>
        <w:rPr>
          <w:rFonts w:ascii="Times New Roman" w:hAnsi="Times New Roman"/>
          <w:sz w:val="20"/>
        </w:rPr>
        <w:t>Пакетът от специфични за всяка държава препоръки към държавите членки, приет от Комисията през май, постави специален акцент върху инвестициите, като изисква, където е необходимо, да бъде преодолян недостигът на инвестиции, и по-конкретно в областта на инфраструктурата и нематериалните активи, както и да бъдат приети и проведени необходимите структурни реформи с цел подобряване на инвестиционната среда. Тези реформи се допълват взаимно с действията на равнището на ЕС. Вж. COM(2016) 321 final.</w:t>
      </w:r>
    </w:p>
  </w:footnote>
  <w:footnote w:id="13">
    <w:p>
      <w:pPr>
        <w:suppressAutoHyphens/>
        <w:ind w:left="567" w:hanging="567"/>
        <w:jc w:val="both"/>
        <w:rPr>
          <w:rFonts w:ascii="Times New Roman" w:hAnsi="Times New Roman" w:cs="Times New Roman"/>
          <w:sz w:val="20"/>
          <w:szCs w:val="20"/>
        </w:rPr>
      </w:pPr>
      <w:r>
        <w:rPr>
          <w:rStyle w:val="Caractresdenotedebasdepage"/>
          <w:rFonts w:ascii="Times New Roman" w:hAnsi="Times New Roman"/>
          <w:sz w:val="20"/>
        </w:rPr>
        <w:footnoteRef/>
      </w:r>
      <w:r>
        <w:tab/>
      </w:r>
      <w:r>
        <w:rPr>
          <w:rFonts w:ascii="Times New Roman" w:hAnsi="Times New Roman"/>
          <w:sz w:val="20"/>
        </w:rPr>
        <w:t>Тъй като за бизнес модела на ЕИБ е присъщо мобилизирането на частни източници за финансиране на проекти с цел извличане на максимална полза от използването на оскъдните публични ресурси, наличнaтa гаранция в размер на 16 милиарда евро, предоставена от бюджета на ЕС, и 5-те милиарда евро, предоставени от ЕИБ, са базата за привличане на значителен частен капитал.</w:t>
      </w:r>
    </w:p>
  </w:footnote>
  <w:footnote w:id="14">
    <w:p>
      <w:pPr>
        <w:suppressAutoHyphens/>
        <w:ind w:left="567" w:hanging="567"/>
        <w:jc w:val="both"/>
        <w:rPr>
          <w:rFonts w:ascii="Times New Roman" w:hAnsi="Times New Roman" w:cs="Times New Roman"/>
          <w:sz w:val="20"/>
          <w:szCs w:val="20"/>
        </w:rPr>
      </w:pPr>
      <w:r>
        <w:rPr>
          <w:rStyle w:val="Caractresdenotedebasdepage"/>
          <w:rFonts w:ascii="Times New Roman" w:hAnsi="Times New Roman"/>
          <w:sz w:val="20"/>
        </w:rPr>
        <w:footnoteRef/>
      </w:r>
      <w:r>
        <w:tab/>
      </w:r>
      <w:r>
        <w:rPr>
          <w:rFonts w:ascii="Times New Roman" w:hAnsi="Times New Roman"/>
          <w:sz w:val="20"/>
        </w:rPr>
        <w:t xml:space="preserve">Прегледът се намира на адрес: http://www.eib.org/efsi/index.htm. Тези проекти бяха одобрени от групата на ЕИБ и прегледани от инвестиционния комитет на ЕФСИ (или от Комисията преди създаването на инвестиционния комитет). Някои от проектите все още не са подписани. Поради това окончателните стойности могат да бъдат различни. </w:t>
      </w:r>
    </w:p>
  </w:footnote>
  <w:footnote w:id="15">
    <w:p>
      <w:pPr>
        <w:suppressAutoHyphens/>
        <w:ind w:left="567" w:hanging="567"/>
        <w:jc w:val="both"/>
        <w:rPr>
          <w:rFonts w:ascii="Times New Roman" w:hAnsi="Times New Roman" w:cs="Times New Roman"/>
          <w:sz w:val="20"/>
          <w:szCs w:val="20"/>
        </w:rPr>
      </w:pPr>
      <w:r>
        <w:rPr>
          <w:rStyle w:val="Caractresdenotedebasdepage"/>
          <w:rFonts w:ascii="Times New Roman" w:hAnsi="Times New Roman"/>
          <w:sz w:val="20"/>
        </w:rPr>
        <w:footnoteRef/>
      </w:r>
      <w:r>
        <w:tab/>
      </w:r>
      <w:r>
        <w:rPr>
          <w:rFonts w:ascii="Times New Roman" w:hAnsi="Times New Roman"/>
          <w:sz w:val="20"/>
        </w:rPr>
        <w:t xml:space="preserve">Списъкът с одобрените проекти в рамките на инфраструктурния и инвестиционен прозорец може да бъде намерен на следния адрес: </w:t>
      </w:r>
      <w:hyperlink r:id="rId5">
        <w:r>
          <w:rPr>
            <w:rStyle w:val="Hyperlink"/>
            <w:rFonts w:ascii="Times New Roman" w:hAnsi="Times New Roman"/>
            <w:sz w:val="20"/>
          </w:rPr>
          <w:t>http://www.eib.org/efsi/efsi-projects/index.htm</w:t>
        </w:r>
      </w:hyperlink>
      <w:r>
        <w:rPr>
          <w:rFonts w:ascii="Times New Roman" w:hAnsi="Times New Roman"/>
          <w:sz w:val="20"/>
        </w:rPr>
        <w:t xml:space="preserve">. Що се отнася до прозореца за МСП, списъкът на споразуменията, подписани с посредници, се намира на адрес: </w:t>
      </w:r>
      <w:hyperlink r:id="rId6">
        <w:r>
          <w:rPr>
            <w:rStyle w:val="Hyperlink"/>
            <w:rFonts w:ascii="Times New Roman" w:hAnsi="Times New Roman"/>
            <w:sz w:val="20"/>
          </w:rPr>
          <w:t>http://www.eif.org/what_we_do/efsi/index.htm</w:t>
        </w:r>
      </w:hyperlink>
      <w:r>
        <w:rPr>
          <w:rFonts w:ascii="Times New Roman" w:hAnsi="Times New Roman"/>
          <w:sz w:val="20"/>
        </w:rPr>
        <w:t xml:space="preserve">. Повече информация по сектори и по държави членки може да бъде намерена онлайн на адрес: </w:t>
      </w:r>
      <w:hyperlink r:id="rId7">
        <w:r>
          <w:rPr>
            <w:rStyle w:val="Hyperlink"/>
            <w:rFonts w:ascii="Times New Roman" w:hAnsi="Times New Roman"/>
            <w:sz w:val="20"/>
          </w:rPr>
          <w:t>http://ec.europa.eu/priorities/jobs-growth-and-investment/investment-plan_en</w:t>
        </w:r>
      </w:hyperlink>
      <w:r>
        <w:rPr>
          <w:rFonts w:ascii="Times New Roman" w:hAnsi="Times New Roman"/>
          <w:sz w:val="20"/>
        </w:rPr>
        <w:t xml:space="preserve"> </w:t>
      </w:r>
    </w:p>
  </w:footnote>
  <w:footnote w:id="16">
    <w:p>
      <w:pPr>
        <w:suppressAutoHyphens/>
        <w:ind w:left="567" w:hanging="567"/>
        <w:jc w:val="both"/>
        <w:rPr>
          <w:rFonts w:ascii="Times New Roman" w:hAnsi="Times New Roman" w:cs="Times New Roman"/>
          <w:sz w:val="20"/>
          <w:szCs w:val="20"/>
        </w:rPr>
      </w:pPr>
      <w:r>
        <w:rPr>
          <w:rStyle w:val="Caractresdenotedebasdepage"/>
          <w:rFonts w:ascii="Times New Roman" w:hAnsi="Times New Roman"/>
          <w:sz w:val="20"/>
        </w:rPr>
        <w:footnoteRef/>
      </w:r>
      <w:r>
        <w:tab/>
      </w:r>
      <w:r>
        <w:rPr>
          <w:rFonts w:ascii="Times New Roman" w:hAnsi="Times New Roman"/>
          <w:sz w:val="20"/>
        </w:rPr>
        <w:t xml:space="preserve">Вж. член 5 от Регламент (ЕС) 2015/1017. Допълнителни ръководни принципи са посочени в набора от показатели за ЕФСИ: Делегиран регламент (ЕС) 2015/1558 на Комисията от 22 юли 2015 г. за допълване на Регламент (ЕС) 2015/1017 на Европейския парламент и на Съвета с установяването на набор от показатели за прилагането на гаранция на ЕС (ОВ L 244, 19.9.2015 г., стр. 20). </w:t>
      </w:r>
    </w:p>
  </w:footnote>
  <w:footnote w:id="17">
    <w:p>
      <w:pPr>
        <w:suppressAutoHyphens/>
        <w:ind w:left="567" w:hanging="567"/>
        <w:jc w:val="both"/>
        <w:rPr>
          <w:rFonts w:ascii="Times New Roman" w:hAnsi="Times New Roman" w:cs="Times New Roman"/>
          <w:sz w:val="20"/>
          <w:szCs w:val="20"/>
        </w:rPr>
      </w:pPr>
      <w:r>
        <w:rPr>
          <w:rStyle w:val="Caractresdenotedebasdepage"/>
          <w:rFonts w:ascii="Times New Roman" w:hAnsi="Times New Roman"/>
          <w:sz w:val="20"/>
        </w:rPr>
        <w:footnoteRef/>
      </w:r>
      <w:r>
        <w:tab/>
      </w:r>
      <w:r>
        <w:rPr>
          <w:rFonts w:ascii="Times New Roman" w:hAnsi="Times New Roman"/>
          <w:sz w:val="20"/>
        </w:rPr>
        <w:t xml:space="preserve">Инвестиционният комитет на ЕФСИ е комитет, съставен от осем независими експерти, които отговарят за одобряването на използването на гаранцията на ЕС по линия на ЕФСИ. Автобиографиите на членовете на комитета могат да бъдат намерени на адрес: </w:t>
      </w:r>
      <w:hyperlink r:id="rId8">
        <w:r>
          <w:rPr>
            <w:rStyle w:val="Hyperlink"/>
            <w:rFonts w:ascii="Times New Roman" w:hAnsi="Times New Roman"/>
            <w:sz w:val="20"/>
          </w:rPr>
          <w:t>http://www.eib.org/efsi/governance/efsi-investment-committee/index.htm</w:t>
        </w:r>
      </w:hyperlink>
    </w:p>
  </w:footnote>
  <w:footnote w:id="18">
    <w:p>
      <w:pPr>
        <w:suppressAutoHyphens/>
        <w:ind w:left="567" w:hanging="567"/>
        <w:jc w:val="both"/>
        <w:rPr>
          <w:rFonts w:ascii="Times New Roman" w:hAnsi="Times New Roman" w:cs="Times New Roman"/>
          <w:sz w:val="20"/>
          <w:szCs w:val="20"/>
        </w:rPr>
      </w:pPr>
      <w:r>
        <w:rPr>
          <w:rStyle w:val="Caractresdenotedebasdepage"/>
          <w:rFonts w:ascii="Times New Roman" w:hAnsi="Times New Roman"/>
          <w:sz w:val="20"/>
        </w:rPr>
        <w:footnoteRef/>
      </w:r>
      <w:r>
        <w:rPr>
          <w:rFonts w:ascii="Times New Roman" w:hAnsi="Times New Roman"/>
          <w:sz w:val="20"/>
        </w:rPr>
        <w:t xml:space="preserve"> </w:t>
      </w:r>
      <w:r>
        <w:tab/>
      </w:r>
      <w:r>
        <w:rPr>
          <w:rFonts w:ascii="Times New Roman" w:hAnsi="Times New Roman"/>
          <w:sz w:val="20"/>
        </w:rPr>
        <w:t>Специалните дейности са дейности, вътрешният рейтинг на ЕИБ за които е под инвестиционния рейтинг, т.е. те са по-рискови дейности от обичайните операции на ЕИБ.</w:t>
      </w:r>
    </w:p>
  </w:footnote>
  <w:footnote w:id="19">
    <w:p>
      <w:pPr>
        <w:suppressAutoHyphens/>
        <w:ind w:left="567" w:hanging="567"/>
        <w:jc w:val="both"/>
        <w:rPr>
          <w:rFonts w:ascii="Times New Roman" w:hAnsi="Times New Roman" w:cs="Times New Roman"/>
          <w:sz w:val="20"/>
          <w:szCs w:val="20"/>
        </w:rPr>
      </w:pPr>
      <w:r>
        <w:rPr>
          <w:rStyle w:val="Caractresdenotedebasdepag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Чрез предоставяне в началото на периода на средствата на ЕФСИ за схемата за гарантиране InnovFin по линия на програмата „Хоризонт 2020“ и схемата за гарантиране за МСП по линия на COSME, както и чрез подсилване на мандата на ЕИБ за рискови капиталови ресурси. </w:t>
      </w:r>
    </w:p>
  </w:footnote>
  <w:footnote w:id="20">
    <w:p>
      <w:pPr>
        <w:suppressAutoHyphens/>
        <w:ind w:left="567" w:hanging="567"/>
        <w:jc w:val="both"/>
        <w:rPr>
          <w:rFonts w:ascii="Times New Roman" w:hAnsi="Times New Roman" w:cs="Times New Roman"/>
          <w:sz w:val="20"/>
          <w:szCs w:val="20"/>
        </w:rPr>
      </w:pPr>
      <w:r>
        <w:rPr>
          <w:rStyle w:val="Caractresdenotedebasdepag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Това включва стимули в подкрепа на интегрирането на вторичните ефекти, свързани с околната среда, в процесите за вземане на решения на финансовия пазар. </w:t>
      </w:r>
    </w:p>
  </w:footnote>
  <w:footnote w:id="21">
    <w:p>
      <w:pPr>
        <w:suppressAutoHyphens/>
        <w:ind w:left="567" w:hanging="567"/>
        <w:jc w:val="both"/>
        <w:rPr>
          <w:rFonts w:ascii="Times New Roman" w:hAnsi="Times New Roman" w:cs="Times New Roman"/>
          <w:sz w:val="20"/>
          <w:szCs w:val="20"/>
        </w:rPr>
      </w:pPr>
      <w:r>
        <w:rPr>
          <w:rStyle w:val="Caractresdenotedebasdepag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Новите пилотни инструменти, като Инструмента за частно финансиране за енергийна ефективност (PF4EE) и Инструмента за финансиране на природен капитал (NCFF), могат да подпомогнат проправянето на пътя. </w:t>
      </w:r>
    </w:p>
  </w:footnote>
  <w:footnote w:id="22">
    <w:p>
      <w:pPr>
        <w:suppressAutoHyphens/>
        <w:ind w:left="567" w:hanging="567"/>
        <w:jc w:val="both"/>
        <w:rPr>
          <w:rFonts w:ascii="Times New Roman" w:hAnsi="Times New Roman" w:cs="Times New Roman"/>
          <w:sz w:val="20"/>
          <w:szCs w:val="20"/>
        </w:rPr>
      </w:pPr>
      <w:r>
        <w:rPr>
          <w:rStyle w:val="Caractresdenotedebasdepage"/>
          <w:rFonts w:ascii="Times New Roman" w:hAnsi="Times New Roman"/>
          <w:sz w:val="20"/>
        </w:rPr>
        <w:footnoteRef/>
      </w:r>
      <w:r>
        <w:tab/>
      </w:r>
      <w:r>
        <w:rPr>
          <w:rFonts w:ascii="Times New Roman" w:hAnsi="Times New Roman"/>
          <w:sz w:val="20"/>
        </w:rPr>
        <w:t>В Съобщението от 2014 г. „План за инвестиции за Европа“ се препоръчва държавите членки да се ангажират да увеличат значително използването на иновативни финансови инструменти в ключови инвестиционни области, като например подкрепата за МСП, енергийната ефективност, информационните и комуникационните технологии, транспорта и научноизследователската и развойната дейност.</w:t>
      </w:r>
      <w:r>
        <w:rPr>
          <w:rFonts w:ascii="Times New Roman" w:hAnsi="Times New Roman"/>
          <w:noProof/>
        </w:rPr>
        <w:t xml:space="preserve"> </w:t>
      </w:r>
      <w:r>
        <w:rPr>
          <w:rFonts w:ascii="Times New Roman" w:hAnsi="Times New Roman"/>
          <w:sz w:val="20"/>
        </w:rPr>
        <w:t xml:space="preserve">Така ще се постигне цялостно удвояване на използването на финансови инструменти по линия на европейските структурни и инвестиционни фондове за периода на програмиране 2014—2020 г. </w:t>
      </w:r>
    </w:p>
  </w:footnote>
  <w:footnote w:id="23">
    <w:p>
      <w:pPr>
        <w:suppressAutoHyphens/>
        <w:ind w:left="567" w:hanging="567"/>
        <w:rPr>
          <w:rFonts w:ascii="Times New Roman" w:hAnsi="Times New Roman" w:cs="Times New Roman"/>
          <w:sz w:val="20"/>
          <w:szCs w:val="20"/>
        </w:rPr>
      </w:pPr>
      <w:r>
        <w:rPr>
          <w:rStyle w:val="Caractresdenotedebasdepage"/>
          <w:rFonts w:ascii="Times New Roman" w:hAnsi="Times New Roman"/>
          <w:sz w:val="20"/>
        </w:rPr>
        <w:footnoteRef/>
      </w:r>
      <w:r>
        <w:tab/>
      </w:r>
      <w:r>
        <w:rPr>
          <w:rFonts w:ascii="Times New Roman" w:hAnsi="Times New Roman"/>
          <w:sz w:val="20"/>
        </w:rPr>
        <w:t xml:space="preserve">Управителният съвет на ЕФСИ прие набор от правила, приложими за операциите на ЕФСИ с инвестиционни платформи и национални насърчителни банки, които могат да бъдат намерени на адрес: </w:t>
      </w:r>
      <w:hyperlink r:id="rId9">
        <w:r>
          <w:rPr>
            <w:rStyle w:val="Hyperlink"/>
            <w:rFonts w:ascii="Times New Roman" w:hAnsi="Times New Roman"/>
            <w:sz w:val="20"/>
          </w:rPr>
          <w:t>http://www.eib.org/attachments/strategies/efsi_steering_board_rules_applicable_to_operations_with_investment_platforms_and_npbs_or_institutions_en.pdf</w:t>
        </w:r>
      </w:hyperlink>
      <w:r>
        <w:rPr>
          <w:rFonts w:ascii="Times New Roman" w:hAnsi="Times New Roman"/>
          <w:sz w:val="20"/>
        </w:rPr>
        <w:t xml:space="preserve"> </w:t>
      </w:r>
    </w:p>
  </w:footnote>
  <w:footnote w:id="24">
    <w:p>
      <w:pPr>
        <w:suppressAutoHyphens/>
        <w:ind w:left="567" w:hanging="567"/>
        <w:jc w:val="both"/>
        <w:rPr>
          <w:rFonts w:ascii="Times New Roman" w:hAnsi="Times New Roman" w:cs="Times New Roman"/>
          <w:sz w:val="20"/>
          <w:szCs w:val="20"/>
        </w:rPr>
      </w:pPr>
      <w:r>
        <w:rPr>
          <w:rStyle w:val="Caractresdenotedebasdepage"/>
          <w:rFonts w:ascii="Times New Roman" w:hAnsi="Times New Roman"/>
          <w:sz w:val="20"/>
        </w:rPr>
        <w:footnoteRef/>
      </w:r>
      <w:r>
        <w:tab/>
      </w:r>
      <w:hyperlink r:id="rId10">
        <w:r>
          <w:rPr>
            <w:rStyle w:val="Hyperlink"/>
            <w:rFonts w:ascii="Times New Roman" w:hAnsi="Times New Roman"/>
            <w:sz w:val="20"/>
          </w:rPr>
          <w:t>http://ec.europa.eu/regional_policy/sources/thefunds/fin_inst/pdf/efsi_esif_compl_en.pdf</w:t>
        </w:r>
      </w:hyperlink>
    </w:p>
  </w:footnote>
  <w:footnote w:id="25">
    <w:p>
      <w:pPr>
        <w:suppressAutoHyphens/>
        <w:ind w:left="567" w:hanging="567"/>
        <w:jc w:val="both"/>
        <w:rPr>
          <w:rFonts w:ascii="Times New Roman" w:hAnsi="Times New Roman" w:cs="Times New Roman"/>
          <w:sz w:val="20"/>
          <w:szCs w:val="20"/>
        </w:rPr>
      </w:pPr>
      <w:r>
        <w:rPr>
          <w:rStyle w:val="Caractresdenotedebasdepage"/>
          <w:rFonts w:ascii="Times New Roman" w:hAnsi="Times New Roman"/>
          <w:sz w:val="20"/>
        </w:rPr>
        <w:footnoteRef/>
      </w:r>
      <w:r>
        <w:rPr>
          <w:rFonts w:ascii="Times New Roman" w:hAnsi="Times New Roman"/>
          <w:sz w:val="20"/>
        </w:rPr>
        <w:t xml:space="preserve"> </w:t>
      </w:r>
      <w:r>
        <w:tab/>
      </w:r>
      <w:r>
        <w:rPr>
          <w:rFonts w:ascii="Times New Roman" w:hAnsi="Times New Roman"/>
          <w:sz w:val="20"/>
        </w:rPr>
        <w:t>Регламент (ЕС) № 1316/2013 за създаване на Механизъм за свързване на Европа, за изменение на Регламент (ЕС) № 913/2010 и за отмяна на регламенти (ЕО) № 680/2007 и (ЕО) № 67/2010. От началото на 2015 г. са одобрени 4 проекта с помощта на дълговия инструмент на МСЕ (или наследения финансов инструмент „Инициатива за облигации за проекти“). С посочените проекти са мобилизирани инвестиции в общ размер от 1,8 милиарда евро в допълнение към инвестициите, мобилизирани от ЕФСИ.</w:t>
      </w:r>
    </w:p>
  </w:footnote>
  <w:footnote w:id="26">
    <w:p>
      <w:pPr>
        <w:suppressAutoHyphens/>
        <w:ind w:left="567" w:hanging="567"/>
        <w:jc w:val="both"/>
        <w:rPr>
          <w:rFonts w:ascii="Times New Roman" w:hAnsi="Times New Roman" w:cs="Times New Roman"/>
          <w:sz w:val="20"/>
          <w:szCs w:val="20"/>
        </w:rPr>
      </w:pPr>
      <w:r>
        <w:rPr>
          <w:rStyle w:val="Caractresdenotedebasdepage"/>
          <w:rFonts w:ascii="Times New Roman" w:hAnsi="Times New Roman"/>
          <w:sz w:val="20"/>
        </w:rPr>
        <w:footnoteRef/>
      </w:r>
      <w:r>
        <w:rPr>
          <w:rFonts w:ascii="Times New Roman" w:hAnsi="Times New Roman"/>
          <w:sz w:val="20"/>
        </w:rPr>
        <w:t xml:space="preserve"> </w:t>
      </w:r>
      <w:r>
        <w:tab/>
      </w:r>
      <w:r>
        <w:rPr>
          <w:rFonts w:ascii="Times New Roman" w:hAnsi="Times New Roman"/>
          <w:sz w:val="20"/>
        </w:rPr>
        <w:t>Регламент (ЕС) № 1291/2013 за установяване на „Хоризонт 2020“ — рамкова програма за научни изследвания и иновации (2014—2020 г.) и за отмяна на Решение № 1982/2006/EO.</w:t>
      </w:r>
    </w:p>
  </w:footnote>
  <w:footnote w:id="27">
    <w:p>
      <w:pPr>
        <w:suppressAutoHyphens/>
        <w:ind w:left="567" w:hanging="567"/>
        <w:jc w:val="both"/>
        <w:rPr>
          <w:rFonts w:ascii="Times New Roman" w:hAnsi="Times New Roman" w:cs="Times New Roman"/>
          <w:sz w:val="20"/>
          <w:szCs w:val="20"/>
        </w:rPr>
      </w:pPr>
      <w:r>
        <w:rPr>
          <w:rStyle w:val="Caractresdenotedebasdepage"/>
          <w:rFonts w:ascii="Times New Roman" w:hAnsi="Times New Roman"/>
          <w:sz w:val="20"/>
        </w:rPr>
        <w:footnoteRef/>
      </w:r>
      <w:r>
        <w:tab/>
      </w:r>
      <w:r>
        <w:rPr>
          <w:rFonts w:ascii="Times New Roman" w:hAnsi="Times New Roman"/>
          <w:sz w:val="20"/>
        </w:rPr>
        <w:t>Например в областта на енергийната ефективност, интелигентната градска мобилност и новаторски технологии, като свързаните с алтернативни горива и електрически превозни средства, широколентов достъп, както и инфекциозни заболявания.</w:t>
      </w:r>
    </w:p>
  </w:footnote>
  <w:footnote w:id="28">
    <w:p>
      <w:pPr>
        <w:suppressAutoHyphens/>
        <w:ind w:left="567" w:hanging="567"/>
        <w:jc w:val="both"/>
        <w:rPr>
          <w:rFonts w:ascii="Times New Roman" w:hAnsi="Times New Roman" w:cs="Times New Roman"/>
          <w:sz w:val="20"/>
          <w:szCs w:val="20"/>
        </w:rPr>
      </w:pPr>
      <w:r>
        <w:rPr>
          <w:rStyle w:val="Caractresdenotedebasdepag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Например трансгранични проекти за трансевропейските мрежи. </w:t>
      </w:r>
    </w:p>
  </w:footnote>
  <w:footnote w:id="29">
    <w:p>
      <w:pPr>
        <w:suppressAutoHyphens/>
        <w:ind w:left="567" w:hanging="567"/>
        <w:jc w:val="both"/>
        <w:rPr>
          <w:rFonts w:ascii="Times New Roman" w:hAnsi="Times New Roman" w:cs="Times New Roman"/>
          <w:sz w:val="20"/>
          <w:szCs w:val="20"/>
        </w:rPr>
      </w:pPr>
      <w:r>
        <w:rPr>
          <w:rStyle w:val="Caractresdenotedebasdepage"/>
          <w:rFonts w:ascii="Times New Roman" w:hAnsi="Times New Roman"/>
          <w:sz w:val="20"/>
        </w:rPr>
        <w:footnoteRef/>
      </w:r>
      <w:r>
        <w:tab/>
      </w:r>
      <w:r>
        <w:rPr>
          <w:rFonts w:ascii="Times New Roman" w:hAnsi="Times New Roman"/>
          <w:sz w:val="20"/>
        </w:rPr>
        <w:t>COM(2015) 361 final.</w:t>
      </w:r>
    </w:p>
  </w:footnote>
  <w:footnote w:id="30">
    <w:p>
      <w:pPr>
        <w:suppressAutoHyphens/>
        <w:ind w:left="567" w:hanging="567"/>
        <w:jc w:val="both"/>
        <w:rPr>
          <w:rFonts w:ascii="Times New Roman" w:hAnsi="Times New Roman" w:cs="Times New Roman"/>
          <w:sz w:val="20"/>
          <w:szCs w:val="20"/>
        </w:rPr>
      </w:pPr>
      <w:r>
        <w:rPr>
          <w:rStyle w:val="Caractresdenotedebasdepage"/>
          <w:rFonts w:ascii="Times New Roman" w:hAnsi="Times New Roman"/>
          <w:sz w:val="20"/>
        </w:rPr>
        <w:footnoteRef/>
      </w:r>
      <w:r>
        <w:tab/>
      </w:r>
      <w:r>
        <w:rPr>
          <w:rFonts w:ascii="Times New Roman" w:hAnsi="Times New Roman"/>
          <w:sz w:val="20"/>
        </w:rPr>
        <w:t>През февруари 2015 г. Германия обяви, че ще отпусне 8 милиарда евро за Плана за инвестиции чрез KfW. Също през февруари Испания обяви своя принос от 1,5 милиарда евро чрез Instituto de Crédito Oficial. През март 2015 г. Франция се ангажира с 8 милиарда евро чрез Caisse des Dépôts и Bpifrance, а Италия обяви принос от 8 милиарда евро чрез Cassa Depositi e Prestiti. През април 2015 г. Люксембург обяви, че ще отпусне 80 милиона евро чрез Société Nationale de Crédit et d’investissement, а Полша — че ще предостави 8 млрд. евро чрез Bank Gospodarstwa Krajowego. През юни 2015 г. Словакия обяви, че ще отпусне 400 милиона евро чрез своите национални насърчителни банки Slovenský Investičný Holding и Slovenská Záručná a Rozvojová Banka, а България — 100 милиона евро чрез Българската банка за развитие. На 16 юли 2015 г. Обединеното кралство обяви, че ще допринесе с 6 милиарда британски лири (около 8,5 милиарда евро) за финансирането на проекти, ползващи се с подкрепата на ЕФСИ.</w:t>
      </w:r>
    </w:p>
  </w:footnote>
  <w:footnote w:id="31">
    <w:p>
      <w:pPr>
        <w:suppressAutoHyphens/>
        <w:ind w:left="567" w:hanging="567"/>
        <w:rPr>
          <w:rFonts w:ascii="Times New Roman" w:hAnsi="Times New Roman" w:cs="Times New Roman"/>
          <w:sz w:val="20"/>
          <w:szCs w:val="20"/>
        </w:rPr>
      </w:pPr>
      <w:r>
        <w:rPr>
          <w:rStyle w:val="Caractresdenotedebasdepage"/>
          <w:rFonts w:ascii="Times New Roman" w:hAnsi="Times New Roman"/>
          <w:sz w:val="20"/>
        </w:rPr>
        <w:footnoteRef/>
      </w:r>
      <w:r>
        <w:rPr>
          <w:rFonts w:ascii="Times New Roman" w:hAnsi="Times New Roman"/>
          <w:sz w:val="20"/>
        </w:rPr>
        <w:t xml:space="preserve"> </w:t>
      </w:r>
      <w:r>
        <w:tab/>
      </w:r>
      <w:hyperlink r:id="rId11">
        <w:r>
          <w:rPr>
            <w:rStyle w:val="Hyperlink"/>
            <w:rFonts w:ascii="Times New Roman" w:hAnsi="Times New Roman"/>
            <w:sz w:val="20"/>
          </w:rPr>
          <w:t>http://europa.eu/rapid/press-release_IP-15-5723_en.htm</w:t>
        </w:r>
      </w:hyperlink>
    </w:p>
  </w:footnote>
  <w:footnote w:id="32">
    <w:p>
      <w:pPr>
        <w:suppressAutoHyphens/>
        <w:ind w:left="567" w:hanging="567"/>
        <w:rPr>
          <w:rFonts w:ascii="Times New Roman" w:hAnsi="Times New Roman" w:cs="Times New Roman"/>
          <w:sz w:val="20"/>
          <w:szCs w:val="20"/>
        </w:rPr>
      </w:pPr>
      <w:r>
        <w:rPr>
          <w:rStyle w:val="Caractresdenotedebasdepage"/>
          <w:rFonts w:ascii="Times New Roman" w:hAnsi="Times New Roman"/>
          <w:sz w:val="20"/>
        </w:rPr>
        <w:footnoteRef/>
      </w:r>
      <w:r>
        <w:rPr>
          <w:rFonts w:ascii="Times New Roman" w:hAnsi="Times New Roman"/>
          <w:sz w:val="20"/>
        </w:rPr>
        <w:t xml:space="preserve"> </w:t>
      </w:r>
      <w:r>
        <w:tab/>
      </w:r>
      <w:hyperlink r:id="rId12">
        <w:r>
          <w:rPr>
            <w:rStyle w:val="Hyperlink"/>
            <w:rFonts w:ascii="Times New Roman" w:hAnsi="Times New Roman"/>
            <w:sz w:val="20"/>
          </w:rPr>
          <w:t>http://www.eib.org/eiah/</w:t>
        </w:r>
      </w:hyperlink>
      <w:hyperlink r:id="rId13"/>
    </w:p>
  </w:footnote>
  <w:footnote w:id="33">
    <w:p>
      <w:pPr>
        <w:suppressAutoHyphens/>
        <w:ind w:left="567" w:hanging="567"/>
        <w:jc w:val="both"/>
        <w:rPr>
          <w:rFonts w:ascii="Times New Roman" w:hAnsi="Times New Roman" w:cs="Times New Roman"/>
        </w:rPr>
      </w:pPr>
      <w:r>
        <w:rPr>
          <w:rFonts w:ascii="Times New Roman" w:hAnsi="Times New Roman"/>
          <w:vertAlign w:val="superscript"/>
        </w:rPr>
        <w:footnoteRef/>
      </w:r>
      <w:r>
        <w:rPr>
          <w:rFonts w:ascii="Times New Roman" w:hAnsi="Times New Roman"/>
          <w:sz w:val="20"/>
          <w:vertAlign w:val="superscript"/>
        </w:rPr>
        <w:t xml:space="preserve"> </w:t>
      </w:r>
      <w:r>
        <w:tab/>
      </w:r>
      <w:r>
        <w:rPr>
          <w:rFonts w:ascii="Times New Roman" w:hAnsi="Times New Roman"/>
          <w:sz w:val="20"/>
        </w:rPr>
        <w:t xml:space="preserve">Специална техническа помощ за широколентов достъп следва да помогне в тази връзка, както и комбинацията от широколентов достъп по МСЕ, „Хоризонт 2020“ и ЕФСИ. </w:t>
      </w:r>
    </w:p>
  </w:footnote>
  <w:footnote w:id="34">
    <w:p>
      <w:pPr>
        <w:tabs>
          <w:tab w:val="left" w:pos="-3828"/>
        </w:tabs>
        <w:suppressAutoHyphens/>
        <w:spacing w:line="240" w:lineRule="auto"/>
        <w:ind w:left="567" w:hanging="567"/>
        <w:jc w:val="both"/>
        <w:rPr>
          <w:rFonts w:ascii="Times New Roman" w:hAnsi="Times New Roman" w:cs="Times New Roman"/>
          <w:sz w:val="20"/>
          <w:szCs w:val="20"/>
        </w:rPr>
      </w:pPr>
      <w:r>
        <w:rPr>
          <w:rStyle w:val="Caractresdenotedebasdepag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Порталът за проекти ще бъде пуснат на 1 юни на следния адрес: </w:t>
      </w:r>
      <w:hyperlink r:id="rId14">
        <w:r>
          <w:rPr>
            <w:rStyle w:val="Hyperlink"/>
            <w:rFonts w:ascii="Times New Roman" w:hAnsi="Times New Roman"/>
            <w:sz w:val="20"/>
          </w:rPr>
          <w:t>http://ec.europa.eu/eipp</w:t>
        </w:r>
      </w:hyperlink>
      <w:r>
        <w:rPr>
          <w:rFonts w:ascii="Times New Roman" w:hAnsi="Times New Roman"/>
          <w:sz w:val="20"/>
        </w:rPr>
        <w:t>. Създавайки общ сборен пункт, Комисията се стреми да бъде полезна както за организаторите на проекти в ЕС, така и за международните инвеститори. Качеството на проектите обаче ще се оценява само от потенциални инвеститори. Публикуването на инвестиционни проекти в портала за проекти не е предварително условие, нито гаранция за получаване на финансиране от ЕС или ЕИБ/ЕФСИ, а проектите, които вече получават финансиране от ЕС и/или от ЕИБ/ЕФСИ, могат да се рекламират в портала, ако се нуждаят от допълнително финансиране.</w:t>
      </w:r>
    </w:p>
  </w:footnote>
  <w:footnote w:id="35">
    <w:p>
      <w:pPr>
        <w:suppressAutoHyphens/>
        <w:ind w:left="567" w:hanging="567"/>
        <w:rPr>
          <w:rFonts w:ascii="Times New Roman" w:hAnsi="Times New Roman" w:cs="Times New Roman"/>
          <w:sz w:val="20"/>
          <w:szCs w:val="20"/>
        </w:rPr>
      </w:pPr>
      <w:r>
        <w:rPr>
          <w:rStyle w:val="Caractresdenotedebasdepage"/>
          <w:rFonts w:ascii="Times New Roman" w:hAnsi="Times New Roman"/>
          <w:sz w:val="20"/>
        </w:rPr>
        <w:footnoteRef/>
      </w:r>
      <w:r>
        <w:tab/>
      </w:r>
      <w:r>
        <w:rPr>
          <w:rFonts w:ascii="Times New Roman" w:hAnsi="Times New Roman"/>
          <w:sz w:val="20"/>
        </w:rPr>
        <w:t>COM(2016) 361.</w:t>
      </w:r>
    </w:p>
  </w:footnote>
  <w:footnote w:id="36">
    <w:p>
      <w:pPr>
        <w:suppressAutoHyphens/>
        <w:ind w:left="567" w:hanging="567"/>
        <w:rPr>
          <w:rFonts w:ascii="Times New Roman" w:hAnsi="Times New Roman" w:cs="Times New Roman"/>
          <w:sz w:val="20"/>
          <w:szCs w:val="20"/>
        </w:rPr>
      </w:pPr>
      <w:r>
        <w:rPr>
          <w:rStyle w:val="Caractresdenotedebasdepage"/>
          <w:rFonts w:ascii="Times New Roman" w:hAnsi="Times New Roman"/>
          <w:sz w:val="20"/>
        </w:rPr>
        <w:footnoteRef/>
      </w:r>
      <w:r>
        <w:rPr>
          <w:rFonts w:ascii="Times New Roman" w:hAnsi="Times New Roman"/>
          <w:sz w:val="20"/>
        </w:rPr>
        <w:t xml:space="preserve"> </w:t>
      </w:r>
      <w:r>
        <w:tab/>
      </w:r>
      <w:r>
        <w:rPr>
          <w:rFonts w:ascii="Times New Roman" w:hAnsi="Times New Roman"/>
          <w:sz w:val="20"/>
        </w:rPr>
        <w:t>COM(2015) 80.</w:t>
      </w:r>
    </w:p>
  </w:footnote>
  <w:footnote w:id="37">
    <w:p>
      <w:pPr>
        <w:pStyle w:val="FootnoteText"/>
        <w:suppressAutoHyphens/>
        <w:spacing w:after="200"/>
        <w:ind w:left="567" w:hanging="567"/>
        <w:rPr>
          <w:rFonts w:ascii="Times New Roman" w:hAnsi="Times New Roman" w:cs="Times New Roman"/>
        </w:rPr>
      </w:pPr>
      <w:r>
        <w:rPr>
          <w:rStyle w:val="FootnoteReference"/>
          <w:rFonts w:ascii="Times New Roman" w:hAnsi="Times New Roman"/>
          <w:vertAlign w:val="baseline"/>
        </w:rPr>
        <w:footnoteRef/>
      </w:r>
      <w:r>
        <w:rPr>
          <w:rFonts w:ascii="Times New Roman" w:hAnsi="Times New Roman"/>
        </w:rPr>
        <w:t xml:space="preserve"> </w:t>
      </w:r>
      <w:r>
        <w:tab/>
      </w:r>
      <w:r>
        <w:rPr>
          <w:rFonts w:ascii="Times New Roman" w:hAnsi="Times New Roman"/>
        </w:rPr>
        <w:t>Делегиран регламент (ЕС) 2015/467 на Комисията от 30 септември 2015 г. за изменение на Делегиран регламент (ЕС) 2015/35 по отношение на изчислението на регулаторните капиталови изисквания за някои категории активи, притежавани от застрахователни и презастрахователни предприятия (ОВ L 85, 1.4.2016 г., стр. 6).</w:t>
      </w:r>
    </w:p>
  </w:footnote>
  <w:footnote w:id="38">
    <w:p>
      <w:pPr>
        <w:suppressAutoHyphens/>
        <w:ind w:left="567" w:hanging="567"/>
        <w:rPr>
          <w:rFonts w:ascii="Times New Roman" w:hAnsi="Times New Roman" w:cs="Times New Roman"/>
          <w:sz w:val="20"/>
          <w:szCs w:val="20"/>
        </w:rPr>
      </w:pPr>
      <w:r>
        <w:rPr>
          <w:rStyle w:val="Caractresdenotedebasdepage"/>
          <w:rFonts w:ascii="Times New Roman" w:hAnsi="Times New Roman"/>
          <w:sz w:val="20"/>
        </w:rPr>
        <w:footnoteRef/>
      </w:r>
      <w:r>
        <w:tab/>
      </w:r>
      <w:r>
        <w:rPr>
          <w:rFonts w:ascii="Times New Roman" w:hAnsi="Times New Roman"/>
          <w:sz w:val="20"/>
        </w:rPr>
        <w:t xml:space="preserve">Известие на Комисията относно понятието за държавна помощ в съответствие с член 107, параграф 1 от ДФЕС, достъпно на следния адрес: </w:t>
      </w:r>
      <w:hyperlink r:id="rId15">
        <w:r>
          <w:rPr>
            <w:rStyle w:val="Hyperlink"/>
            <w:rFonts w:ascii="Times New Roman" w:hAnsi="Times New Roman"/>
            <w:sz w:val="20"/>
          </w:rPr>
          <w:t>http://ec.europa.eu/competition/state_aid/modernisation/notice_of_aid_en.pdf</w:t>
        </w:r>
      </w:hyperlink>
    </w:p>
  </w:footnote>
  <w:footnote w:id="39">
    <w:p>
      <w:pPr>
        <w:tabs>
          <w:tab w:val="left" w:pos="-3828"/>
        </w:tabs>
        <w:suppressAutoHyphens/>
        <w:spacing w:line="240" w:lineRule="auto"/>
        <w:ind w:left="567" w:hanging="567"/>
        <w:jc w:val="both"/>
        <w:rPr>
          <w:rFonts w:ascii="Times New Roman" w:hAnsi="Times New Roman" w:cs="Times New Roman"/>
          <w:sz w:val="20"/>
          <w:szCs w:val="20"/>
        </w:rPr>
      </w:pPr>
      <w:r>
        <w:rPr>
          <w:rStyle w:val="Caractresdenotedebasdepage"/>
          <w:rFonts w:ascii="Times New Roman" w:hAnsi="Times New Roman"/>
          <w:sz w:val="20"/>
        </w:rPr>
        <w:footnoteRef/>
      </w:r>
      <w:r>
        <w:tab/>
      </w:r>
      <w:r>
        <w:rPr>
          <w:rFonts w:ascii="Times New Roman" w:hAnsi="Times New Roman"/>
          <w:sz w:val="20"/>
        </w:rPr>
        <w:t>Фискалните показатели (дефицит и дълг), които трябва да се използват в рамките на процедурата при прекомерен дефицит и Пакта за стабилност и растеж, са установени в Договора и се предоставят от Евростат. Понятията и определенията, които трябва да се използват, се основават на Европейската система от сметки (ESA 2010), която съответства на международните счетоводни стандарти и е приета с Регламент (ЕС) № 549/2013 на Европейския парламент и на Съвета от 21 май 2013 г. относно Европейската система от национални и регионални сметки в Европейския съюз (ОВ L 174, 26.6.2013 г., стр. 1). В интерес на създателите на политики и на обществеността като цяло е тези показатели да се изчисляват в съответствие с най-високите стандарти за качество и да бъдат съпоставими за отделните държавите членки.</w:t>
      </w:r>
    </w:p>
  </w:footnote>
  <w:footnote w:id="40">
    <w:p>
      <w:pPr>
        <w:suppressAutoHyphens/>
        <w:ind w:left="567" w:hanging="567"/>
        <w:jc w:val="both"/>
        <w:rPr>
          <w:rFonts w:ascii="Times New Roman" w:hAnsi="Times New Roman" w:cs="Times New Roman"/>
          <w:sz w:val="20"/>
          <w:szCs w:val="20"/>
        </w:rPr>
      </w:pPr>
      <w:r>
        <w:rPr>
          <w:rStyle w:val="Caractresdenotedebasdepage"/>
          <w:rFonts w:ascii="Times New Roman" w:hAnsi="Times New Roman"/>
          <w:sz w:val="20"/>
        </w:rPr>
        <w:footnoteRef/>
      </w:r>
      <w:r>
        <w:tab/>
      </w:r>
      <w:r>
        <w:rPr>
          <w:rFonts w:ascii="Times New Roman" w:hAnsi="Times New Roman"/>
          <w:sz w:val="20"/>
        </w:rPr>
        <w:t xml:space="preserve">Ръководството за държавния дефицит и дълг — Прилагане на ЕСА 2010 — издание от 2016 г., достъпно на адрес: </w:t>
      </w:r>
      <w:hyperlink r:id="rId16">
        <w:r>
          <w:rPr>
            <w:rStyle w:val="Hyperlink"/>
            <w:rFonts w:ascii="Times New Roman" w:hAnsi="Times New Roman"/>
            <w:sz w:val="20"/>
          </w:rPr>
          <w:t>http://ec.europa.eu/eurostat/web/products-manuals-and-guidelines/-/KS-GQ-16-001</w:t>
        </w:r>
      </w:hyperlink>
      <w:r>
        <w:rPr>
          <w:rFonts w:ascii="Times New Roman" w:hAnsi="Times New Roman"/>
          <w:sz w:val="20"/>
        </w:rPr>
        <w:t xml:space="preserve"> </w:t>
      </w:r>
    </w:p>
  </w:footnote>
  <w:footnote w:id="41">
    <w:p>
      <w:pPr>
        <w:suppressAutoHyphens/>
        <w:ind w:left="567" w:hanging="567"/>
        <w:jc w:val="both"/>
        <w:rPr>
          <w:rFonts w:ascii="Times New Roman" w:hAnsi="Times New Roman" w:cs="Times New Roman"/>
          <w:sz w:val="20"/>
          <w:szCs w:val="20"/>
        </w:rPr>
      </w:pPr>
      <w:r>
        <w:rPr>
          <w:rStyle w:val="Caractresdenotedebasdepage"/>
          <w:rFonts w:ascii="Times New Roman" w:hAnsi="Times New Roman"/>
          <w:sz w:val="20"/>
        </w:rPr>
        <w:footnoteRef/>
      </w:r>
      <w:r>
        <w:tab/>
      </w:r>
      <w:r>
        <w:rPr>
          <w:rFonts w:ascii="Times New Roman" w:hAnsi="Times New Roman"/>
          <w:sz w:val="20"/>
        </w:rPr>
        <w:t xml:space="preserve">Консултациите могат да бъдат намерени на адрес: </w:t>
      </w:r>
      <w:hyperlink r:id="rId17">
        <w:r>
          <w:rPr>
            <w:rStyle w:val="Hyperlink"/>
            <w:rFonts w:ascii="Times New Roman" w:hAnsi="Times New Roman"/>
            <w:sz w:val="20"/>
          </w:rPr>
          <w:t>http://ec.europa.eu/eurostat/web/government-finance-statistics/methodology/advice-to-member-states</w:t>
        </w:r>
      </w:hyperlink>
    </w:p>
  </w:footnote>
  <w:footnote w:id="42">
    <w:p>
      <w:pPr>
        <w:suppressAutoHyphens/>
        <w:ind w:left="567" w:hanging="567"/>
        <w:jc w:val="both"/>
        <w:rPr>
          <w:rFonts w:ascii="Times New Roman" w:hAnsi="Times New Roman" w:cs="Times New Roman"/>
          <w:sz w:val="20"/>
          <w:szCs w:val="20"/>
        </w:rPr>
      </w:pPr>
      <w:r>
        <w:rPr>
          <w:rStyle w:val="Caractresdenotedebasdepage"/>
          <w:rFonts w:ascii="Times New Roman" w:hAnsi="Times New Roman"/>
          <w:sz w:val="20"/>
        </w:rPr>
        <w:footnoteRef/>
      </w:r>
      <w:r>
        <w:rPr>
          <w:rFonts w:ascii="Times New Roman" w:hAnsi="Times New Roman"/>
          <w:sz w:val="20"/>
        </w:rPr>
        <w:t xml:space="preserve"> </w:t>
      </w:r>
      <w:r>
        <w:tab/>
      </w:r>
      <w:r>
        <w:rPr>
          <w:rFonts w:ascii="Times New Roman" w:hAnsi="Times New Roman"/>
          <w:sz w:val="20"/>
        </w:rPr>
        <w:t>Директива 2014/24/ЕС за обществените поръчки, Директива 2014/25/ЕС относно възлагането на поръчки от възложители, извършващи дейност в секторите на водоснабдяването, енергетиката, транспорта и пощенските услуги, и Директива 2014/23/EС за възлагане на договори за концесия.</w:t>
      </w:r>
    </w:p>
  </w:footnote>
  <w:footnote w:id="43">
    <w:p>
      <w:pPr>
        <w:suppressAutoHyphens/>
        <w:ind w:left="567" w:hanging="567"/>
        <w:rPr>
          <w:rFonts w:ascii="Times New Roman" w:hAnsi="Times New Roman" w:cs="Times New Roman"/>
          <w:sz w:val="20"/>
          <w:szCs w:val="20"/>
        </w:rPr>
      </w:pPr>
      <w:r>
        <w:rPr>
          <w:rStyle w:val="Caractresdenotedebasdepage"/>
          <w:rFonts w:ascii="Times New Roman" w:hAnsi="Times New Roman"/>
          <w:sz w:val="20"/>
        </w:rPr>
        <w:footnoteRef/>
      </w:r>
      <w:r>
        <w:rPr>
          <w:rFonts w:ascii="Times New Roman" w:hAnsi="Times New Roman"/>
          <w:sz w:val="20"/>
        </w:rPr>
        <w:t xml:space="preserve"> </w:t>
      </w:r>
      <w:r>
        <w:tab/>
      </w:r>
      <w:r>
        <w:rPr>
          <w:rFonts w:ascii="Times New Roman" w:hAnsi="Times New Roman" w:cs="Times New Roman"/>
          <w:sz w:val="20"/>
          <w:szCs w:val="20"/>
        </w:rPr>
        <w:t>Допълнителна информация относно екологосъобразните обществени поръчки е достъпна на адрес:</w:t>
      </w:r>
      <w:r>
        <w:t xml:space="preserve"> </w:t>
      </w:r>
      <w:hyperlink r:id="rId18">
        <w:r>
          <w:rPr>
            <w:rStyle w:val="Hyperlink"/>
            <w:rFonts w:ascii="Times New Roman" w:hAnsi="Times New Roman"/>
            <w:sz w:val="20"/>
          </w:rPr>
          <w:t>http://ec.europa.eu/environment/gpp/index_en.htm</w:t>
        </w:r>
      </w:hyperlink>
      <w:r>
        <w:rPr>
          <w:rFonts w:ascii="Times New Roman" w:hAnsi="Times New Roman"/>
          <w:sz w:val="20"/>
        </w:rPr>
        <w:t xml:space="preserve"> </w:t>
      </w:r>
    </w:p>
  </w:footnote>
  <w:footnote w:id="44">
    <w:p>
      <w:pPr>
        <w:suppressAutoHyphens/>
        <w:ind w:left="567" w:hanging="567"/>
        <w:rPr>
          <w:rFonts w:ascii="Times New Roman" w:hAnsi="Times New Roman" w:cs="Times New Roman"/>
          <w:sz w:val="20"/>
          <w:szCs w:val="20"/>
        </w:rPr>
      </w:pPr>
      <w:r>
        <w:rPr>
          <w:rStyle w:val="Caractresdenotedebasdepage"/>
          <w:rFonts w:ascii="Times New Roman" w:hAnsi="Times New Roman"/>
          <w:sz w:val="20"/>
        </w:rPr>
        <w:footnoteRef/>
      </w:r>
      <w:r>
        <w:tab/>
      </w:r>
      <w:r>
        <w:rPr>
          <w:rFonts w:ascii="Times New Roman" w:hAnsi="Times New Roman"/>
          <w:sz w:val="20"/>
        </w:rPr>
        <w:t>COM(2016) 321 final.</w:t>
      </w:r>
    </w:p>
  </w:footnote>
  <w:footnote w:id="45">
    <w:p>
      <w:pPr>
        <w:pStyle w:val="FootnoteText"/>
        <w:suppressAutoHyphens/>
        <w:spacing w:after="200"/>
        <w:ind w:left="567" w:hanging="567"/>
        <w:jc w:val="both"/>
        <w:rPr>
          <w:rFonts w:ascii="Times New Roman" w:hAnsi="Times New Roman" w:cs="Times New Roman"/>
        </w:rPr>
      </w:pPr>
      <w:r>
        <w:rPr>
          <w:rStyle w:val="FootnoteReference"/>
          <w:rFonts w:ascii="Times New Roman" w:hAnsi="Times New Roman"/>
          <w:vertAlign w:val="baseline"/>
        </w:rPr>
        <w:footnoteRef/>
      </w:r>
      <w:r>
        <w:rPr>
          <w:rFonts w:ascii="Times New Roman" w:hAnsi="Times New Roman"/>
        </w:rPr>
        <w:t xml:space="preserve"> </w:t>
      </w:r>
      <w:r>
        <w:tab/>
      </w:r>
      <w:r>
        <w:rPr>
          <w:rFonts w:ascii="Times New Roman" w:hAnsi="Times New Roman"/>
        </w:rPr>
        <w:t xml:space="preserve">COM(2015) 468 final. </w:t>
      </w:r>
    </w:p>
  </w:footnote>
  <w:footnote w:id="46">
    <w:p>
      <w:pPr>
        <w:pStyle w:val="FootnoteText"/>
        <w:suppressAutoHyphens/>
        <w:ind w:left="567" w:hanging="567"/>
        <w:jc w:val="both"/>
        <w:rPr>
          <w:rFonts w:ascii="Times New Roman" w:hAnsi="Times New Roman" w:cs="Times New Roman"/>
        </w:rPr>
      </w:pPr>
      <w:r>
        <w:rPr>
          <w:rStyle w:val="FootnoteReference"/>
          <w:rFonts w:ascii="Times New Roman" w:hAnsi="Times New Roman"/>
          <w:vertAlign w:val="baseline"/>
        </w:rPr>
        <w:footnoteRef/>
      </w:r>
      <w:r>
        <w:rPr>
          <w:rFonts w:ascii="Times New Roman" w:hAnsi="Times New Roman"/>
        </w:rPr>
        <w:t xml:space="preserve"> </w:t>
      </w:r>
      <w:r>
        <w:tab/>
      </w:r>
      <w:r>
        <w:rPr>
          <w:rFonts w:ascii="Times New Roman" w:hAnsi="Times New Roman"/>
        </w:rPr>
        <w:t>На 26 ноември 2015 г. Комисията прие предложение за регламент за създаването на Програмата за подкрепа на структурните реформи за периода 2017—2020 г. и за изменение на регламенти (ЕС) № 1303/2013 и (ЕС) № 1305/2013, COM(2015) 701 final.</w:t>
      </w:r>
    </w:p>
  </w:footnote>
  <w:footnote w:id="47">
    <w:p>
      <w:pPr>
        <w:pStyle w:val="FootnoteText"/>
        <w:suppressAutoHyphens/>
        <w:spacing w:after="200"/>
        <w:ind w:left="567" w:hanging="567"/>
        <w:jc w:val="both"/>
        <w:rPr>
          <w:rFonts w:ascii="Times New Roman" w:hAnsi="Times New Roman" w:cs="Times New Roman"/>
        </w:rPr>
      </w:pPr>
      <w:r>
        <w:rPr>
          <w:rStyle w:val="FootnoteReference"/>
          <w:rFonts w:ascii="Times New Roman" w:hAnsi="Times New Roman"/>
          <w:vertAlign w:val="baseline"/>
        </w:rPr>
        <w:footnoteRef/>
      </w:r>
      <w:r>
        <w:rPr>
          <w:rFonts w:ascii="Times New Roman" w:hAnsi="Times New Roman"/>
        </w:rPr>
        <w:t xml:space="preserve"> </w:t>
      </w:r>
      <w:r>
        <w:tab/>
      </w:r>
      <w:r>
        <w:rPr>
          <w:rFonts w:ascii="Times New Roman" w:hAnsi="Times New Roman"/>
        </w:rPr>
        <w:t>Това включва пренасочване на до 500 милиона евро от гаранцията на ЕС в рамките на инфраструктурния и инвестиционен прозорец към прозореца за МСП, а също и използването на гаранцията на ЕФСИ за допълване на инструмента за гарантиране на заеми Innovfin и инструмента за гарантиране на заеми по линия на COSME, както и Програмата на ЕС за заетост и социални иновации (EaSI), като по този начин се увеличава общият размер на бюджетните кредити за тези инструменти и се дава възможност на ЕИФ да финансира значителен допълнителен брой операции.</w:t>
      </w:r>
    </w:p>
  </w:footnote>
  <w:footnote w:id="48">
    <w:p>
      <w:pPr>
        <w:pStyle w:val="FootnoteText"/>
        <w:suppressAutoHyphens/>
        <w:ind w:left="567" w:hanging="567"/>
        <w:jc w:val="both"/>
        <w:rPr>
          <w:rFonts w:ascii="Times New Roman" w:hAnsi="Times New Roman" w:cs="Times New Roman"/>
        </w:rPr>
      </w:pPr>
      <w:r>
        <w:rPr>
          <w:rStyle w:val="FootnoteReference"/>
          <w:rFonts w:ascii="Times New Roman" w:hAnsi="Times New Roman"/>
          <w:vertAlign w:val="baseline"/>
        </w:rPr>
        <w:footnoteRef/>
      </w:r>
      <w:r>
        <w:rPr>
          <w:rFonts w:ascii="Times New Roman" w:hAnsi="Times New Roman"/>
        </w:rPr>
        <w:t xml:space="preserve"> </w:t>
      </w:r>
      <w:r>
        <w:tab/>
      </w:r>
      <w:r>
        <w:rPr>
          <w:rFonts w:ascii="Times New Roman" w:hAnsi="Times New Roman"/>
        </w:rPr>
        <w:t>Това би могло да включва създаването на стимули за държавите членки за допълване на финансовите инструменти на равнище ЕС със средства от европейските структурни и инвестиционни фондове, като се избягва използването на безвъзмездни средства, когато финансовите инструменти осигуряват по-голяма добавена стойност, и да предостави възможност за комбиниране на безвъзмездни средства и финансови инструменти с подкрепа от ЕФСИ, когато е необходимо, като равнището на финансова подкрепа за конкретни проекти се свързва с привеждането им в съответствие с целите на политиката на ЕС и се засилва обвързаността с предварителни условия.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sz w:val="24"/>
        <w:szCs w:val="24"/>
      </w:rPr>
    </w:lvl>
    <w:lvl w:ilvl="1">
      <w:start w:val="1"/>
      <w:numFmt w:val="bullet"/>
      <w:lvlText w:val="o"/>
      <w:lvlJc w:val="left"/>
      <w:pPr>
        <w:tabs>
          <w:tab w:val="num" w:pos="0"/>
        </w:tabs>
        <w:ind w:left="1440" w:hanging="360"/>
      </w:pPr>
      <w:rPr>
        <w:rFonts w:ascii="Courier New" w:hAnsi="Courier New"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4"/>
        <w:szCs w:val="24"/>
      </w:rPr>
    </w:lvl>
    <w:lvl w:ilvl="4">
      <w:start w:val="1"/>
      <w:numFmt w:val="bullet"/>
      <w:lvlText w:val="o"/>
      <w:lvlJc w:val="left"/>
      <w:pPr>
        <w:tabs>
          <w:tab w:val="num" w:pos="0"/>
        </w:tabs>
        <w:ind w:left="3600" w:hanging="360"/>
      </w:pPr>
      <w:rPr>
        <w:rFonts w:ascii="Courier New" w:hAnsi="Courier New" w:cs="Wingdings"/>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4"/>
        <w:szCs w:val="24"/>
      </w:rPr>
    </w:lvl>
    <w:lvl w:ilvl="7">
      <w:start w:val="1"/>
      <w:numFmt w:val="bullet"/>
      <w:lvlText w:val="o"/>
      <w:lvlJc w:val="left"/>
      <w:pPr>
        <w:tabs>
          <w:tab w:val="num" w:pos="0"/>
        </w:tabs>
        <w:ind w:left="5760" w:hanging="360"/>
      </w:pPr>
      <w:rPr>
        <w:rFonts w:ascii="Courier New" w:hAnsi="Courier New" w:cs="Wingdings"/>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D130DAC0"/>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Times New Roman" w:hAnsi="Times New Roman" w:cs="Times New Roman" w:hint="default"/>
        <w:sz w:val="24"/>
        <w:szCs w:val="24"/>
        <w:lang w:val="en-G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multilevel"/>
    <w:tmpl w:val="C50AB974"/>
    <w:name w:val="WW8Num3"/>
    <w:lvl w:ilvl="0">
      <w:start w:val="1"/>
      <w:numFmt w:val="decimal"/>
      <w:lvlText w:val="%1."/>
      <w:lvlJc w:val="left"/>
      <w:pPr>
        <w:tabs>
          <w:tab w:val="num" w:pos="0"/>
        </w:tabs>
        <w:ind w:left="720" w:hanging="360"/>
      </w:pPr>
      <w:rPr>
        <w:rFonts w:ascii="Times New Roman" w:hAnsi="Times New Roman" w:cs="Times New Roman" w:hint="default"/>
        <w:b/>
      </w:rPr>
    </w:lvl>
    <w:lvl w:ilvl="1">
      <w:start w:val="1"/>
      <w:numFmt w:val="lowerLetter"/>
      <w:lvlText w:val="%2."/>
      <w:lvlJc w:val="left"/>
      <w:pPr>
        <w:tabs>
          <w:tab w:val="num" w:pos="0"/>
        </w:tabs>
        <w:ind w:left="1440" w:hanging="360"/>
      </w:pPr>
      <w:rPr>
        <w:rFonts w:ascii="Times New Roman" w:hAnsi="Times New Roman" w:cs="Times New Roman" w:hint="default"/>
        <w:b/>
        <w:i w:val="0"/>
      </w:rPr>
    </w:lvl>
    <w:lvl w:ilvl="2">
      <w:start w:val="1"/>
      <w:numFmt w:val="lowerRoman"/>
      <w:lvlText w:val="%3."/>
      <w:lvlJc w:val="right"/>
      <w:pPr>
        <w:tabs>
          <w:tab w:val="num" w:pos="0"/>
        </w:tabs>
        <w:ind w:left="2160" w:hanging="180"/>
      </w:pPr>
      <w:rPr>
        <w:rFonts w:ascii="Wingdings" w:hAnsi="Wingdings" w:cs="Wingding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596AC418"/>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Symbol"/>
        <w:sz w:val="24"/>
        <w:szCs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Wingdings"/>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EB622C"/>
    <w:multiLevelType w:val="hybridMultilevel"/>
    <w:tmpl w:val="DB6AEEEE"/>
    <w:lvl w:ilvl="0" w:tplc="8C6A2D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3EA478E"/>
    <w:multiLevelType w:val="hybridMultilevel"/>
    <w:tmpl w:val="8E3064DC"/>
    <w:lvl w:ilvl="0" w:tplc="8C6A2D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FDD3F42"/>
    <w:multiLevelType w:val="hybridMultilevel"/>
    <w:tmpl w:val="0AA822DA"/>
    <w:lvl w:ilvl="0" w:tplc="8C6A2D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16F0A14"/>
    <w:multiLevelType w:val="hybridMultilevel"/>
    <w:tmpl w:val="99D87B18"/>
    <w:lvl w:ilvl="0" w:tplc="8C6A2D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1F224C9"/>
    <w:multiLevelType w:val="hybridMultilevel"/>
    <w:tmpl w:val="35985C3E"/>
    <w:lvl w:ilvl="0" w:tplc="8C6A2D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1F76957"/>
    <w:multiLevelType w:val="hybridMultilevel"/>
    <w:tmpl w:val="63D66EDC"/>
    <w:lvl w:ilvl="0" w:tplc="8C6A2D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2A1651A"/>
    <w:multiLevelType w:val="hybridMultilevel"/>
    <w:tmpl w:val="78863F4E"/>
    <w:lvl w:ilvl="0" w:tplc="8C6A2D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927C9B"/>
    <w:multiLevelType w:val="hybridMultilevel"/>
    <w:tmpl w:val="45681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ED05B01"/>
    <w:multiLevelType w:val="hybridMultilevel"/>
    <w:tmpl w:val="E9A01C90"/>
    <w:lvl w:ilvl="0" w:tplc="08090001">
      <w:start w:val="1"/>
      <w:numFmt w:val="bullet"/>
      <w:lvlText w:val=""/>
      <w:lvlJc w:val="left"/>
      <w:pPr>
        <w:ind w:left="644"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96968B8"/>
    <w:multiLevelType w:val="hybridMultilevel"/>
    <w:tmpl w:val="2E74A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A985419"/>
    <w:multiLevelType w:val="hybridMultilevel"/>
    <w:tmpl w:val="60DE86DC"/>
    <w:lvl w:ilvl="0" w:tplc="8C6A2D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62F7993"/>
    <w:multiLevelType w:val="hybridMultilevel"/>
    <w:tmpl w:val="88A46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441C0B"/>
    <w:multiLevelType w:val="hybridMultilevel"/>
    <w:tmpl w:val="1CDEDB18"/>
    <w:lvl w:ilvl="0" w:tplc="8C6A2D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B5B4881"/>
    <w:multiLevelType w:val="multilevel"/>
    <w:tmpl w:val="D130DA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Times New Roman" w:hAnsi="Times New Roman" w:cs="Times New Roman" w:hint="default"/>
        <w:sz w:val="24"/>
        <w:szCs w:val="24"/>
        <w:lang w:val="en-G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3BD63A39"/>
    <w:multiLevelType w:val="hybridMultilevel"/>
    <w:tmpl w:val="E550B8D6"/>
    <w:lvl w:ilvl="0" w:tplc="8C6A2D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424577F"/>
    <w:multiLevelType w:val="hybridMultilevel"/>
    <w:tmpl w:val="C9A8D062"/>
    <w:lvl w:ilvl="0" w:tplc="8C6A2D9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442F0E6D"/>
    <w:multiLevelType w:val="hybridMultilevel"/>
    <w:tmpl w:val="80EE8A60"/>
    <w:lvl w:ilvl="0" w:tplc="8C6A2D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DE219EC"/>
    <w:multiLevelType w:val="multilevel"/>
    <w:tmpl w:val="473C26F6"/>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180"/>
      </w:pPr>
      <w:rPr>
        <w:rFonts w:ascii="Wingdings" w:hAnsi="Wingdings" w:cs="Wingding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4F925B67"/>
    <w:multiLevelType w:val="hybridMultilevel"/>
    <w:tmpl w:val="A5D42C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052321D"/>
    <w:multiLevelType w:val="hybridMultilevel"/>
    <w:tmpl w:val="F2F4F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36471FD"/>
    <w:multiLevelType w:val="hybridMultilevel"/>
    <w:tmpl w:val="B0E0F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5C41AE3"/>
    <w:multiLevelType w:val="hybridMultilevel"/>
    <w:tmpl w:val="374820DA"/>
    <w:lvl w:ilvl="0" w:tplc="8C6A2D90">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nsid w:val="56D1523C"/>
    <w:multiLevelType w:val="hybridMultilevel"/>
    <w:tmpl w:val="16A287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81437D0"/>
    <w:multiLevelType w:val="hybridMultilevel"/>
    <w:tmpl w:val="C9F43A6C"/>
    <w:lvl w:ilvl="0" w:tplc="8C6A2D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2B0337"/>
    <w:multiLevelType w:val="hybridMultilevel"/>
    <w:tmpl w:val="18F00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9BC177D"/>
    <w:multiLevelType w:val="hybridMultilevel"/>
    <w:tmpl w:val="8C320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9EB224B"/>
    <w:multiLevelType w:val="hybridMultilevel"/>
    <w:tmpl w:val="260A911C"/>
    <w:lvl w:ilvl="0" w:tplc="8C6A2D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B8404DB"/>
    <w:multiLevelType w:val="hybridMultilevel"/>
    <w:tmpl w:val="FF0AC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F3A3031"/>
    <w:multiLevelType w:val="hybridMultilevel"/>
    <w:tmpl w:val="2718402A"/>
    <w:lvl w:ilvl="0" w:tplc="8C6A2D90">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23"/>
  </w:num>
  <w:num w:numId="2">
    <w:abstractNumId w:val="32"/>
  </w:num>
  <w:num w:numId="3">
    <w:abstractNumId w:val="30"/>
  </w:num>
  <w:num w:numId="4">
    <w:abstractNumId w:val="13"/>
  </w:num>
  <w:num w:numId="5">
    <w:abstractNumId w:val="33"/>
  </w:num>
  <w:num w:numId="6">
    <w:abstractNumId w:val="28"/>
  </w:num>
  <w:num w:numId="7">
    <w:abstractNumId w:val="29"/>
  </w:num>
  <w:num w:numId="8">
    <w:abstractNumId w:val="24"/>
  </w:num>
  <w:num w:numId="9">
    <w:abstractNumId w:val="20"/>
  </w:num>
  <w:num w:numId="10">
    <w:abstractNumId w:val="11"/>
  </w:num>
  <w:num w:numId="11">
    <w:abstractNumId w:val="14"/>
  </w:num>
  <w:num w:numId="12">
    <w:abstractNumId w:val="16"/>
  </w:num>
  <w:num w:numId="13">
    <w:abstractNumId w:val="27"/>
  </w:num>
  <w:num w:numId="14">
    <w:abstractNumId w:val="26"/>
  </w:num>
  <w:num w:numId="15">
    <w:abstractNumId w:val="9"/>
  </w:num>
  <w:num w:numId="16">
    <w:abstractNumId w:val="6"/>
  </w:num>
  <w:num w:numId="17">
    <w:abstractNumId w:val="21"/>
  </w:num>
  <w:num w:numId="18">
    <w:abstractNumId w:val="15"/>
  </w:num>
  <w:num w:numId="19">
    <w:abstractNumId w:val="25"/>
  </w:num>
  <w:num w:numId="20">
    <w:abstractNumId w:val="8"/>
  </w:num>
  <w:num w:numId="21">
    <w:abstractNumId w:val="19"/>
  </w:num>
  <w:num w:numId="22">
    <w:abstractNumId w:val="7"/>
  </w:num>
  <w:num w:numId="23">
    <w:abstractNumId w:val="10"/>
  </w:num>
  <w:num w:numId="24">
    <w:abstractNumId w:val="12"/>
  </w:num>
  <w:num w:numId="25">
    <w:abstractNumId w:val="5"/>
  </w:num>
  <w:num w:numId="26">
    <w:abstractNumId w:val="31"/>
  </w:num>
  <w:num w:numId="27">
    <w:abstractNumId w:val="17"/>
  </w:num>
  <w:num w:numId="28">
    <w:abstractNumId w:val="0"/>
  </w:num>
  <w:num w:numId="29">
    <w:abstractNumId w:val="1"/>
  </w:num>
  <w:num w:numId="30">
    <w:abstractNumId w:val="2"/>
  </w:num>
  <w:num w:numId="31">
    <w:abstractNumId w:val="3"/>
  </w:num>
  <w:num w:numId="32">
    <w:abstractNumId w:val="22"/>
  </w:num>
  <w:num w:numId="33">
    <w:abstractNumId w:val="4"/>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C6B74FC4CD524D77829BCA932E809451"/>
    <w:docVar w:name="LW_CROSSREFERENCE" w:val="&lt;UNUSED&gt;"/>
    <w:docVar w:name="LW_DocType" w:val="NORMAL"/>
    <w:docVar w:name="LW_EMISSION" w:val="1.6.2016"/>
    <w:docVar w:name="LW_EMISSION_ISODATE" w:val="2016-06-01"/>
    <w:docVar w:name="LW_EMISSION_LOCATION" w:val="BRX"/>
    <w:docVar w:name="LW_EMISSION_PREFIX" w:val="Брюксел, "/>
    <w:docVar w:name="LW_EMISSION_SUFFIX" w:val=" \u1075?."/>
    <w:docVar w:name="LW_ID_DOCTYPE_NONLW" w:val="CP-03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359"/>
    <w:docVar w:name="LW_REF.INTERNE" w:val="&lt;UNUSED&gt;"/>
    <w:docVar w:name="LW_SOUS.TITRE.OBJ.CP" w:val="&lt;UNUSED&gt;"/>
    <w:docVar w:name="LW_SUPERTITRE" w:val="&lt;UNUSED&gt;"/>
    <w:docVar w:name="LW_TITRE.OBJ.CP" w:val="\u1045?\u1074?\u1088?\u1086?\u1087?\u1072? \u1080?\u1085?\u1074?\u1077?\u1089?\u1090?\u1080?\u1088?\u1072? \u1086?\u1090?\u1085?\u1086?\u1074?\u1086?_x000b_\u1055?\u1088?\u1077?\u1075?\u1083?\u1077?\u1076? \u1085?\u1072? \u1087?\u1086?\u1089?\u1090?\u1080?\u1075?\u1085?\u1072?\u1090?\u1086?\u1090?\u1086? \u1087?\u1086? \u1055?\u1083?\u1072?\u1085?\u1072? \u1079?\u1072? \u1080?\u1085?\u1074?\u1077?\u1089?\u1090?\u1080?\u1094?\u1080?\u1080? \u1079?\u1072? \u1045?\u1074?\u1088?\u1086?\u1087?\u1072? \u1080? \u1089?\u1083?\u1077?\u1076?\u1074?\u1072?\u1097?\u1080? \u1084?\u1077?\u1088?\u1082?\u1080?"/>
    <w:docVar w:name="LW_TYPE.DOC.CP" w:val="\u1057?\u1066?\u1054?\u1041?\u1065?\u1045?\u1053?\u1048?\u1045? \u1053?\u1040? \u1050?\u1054?\u1052?\u1048?\u1057?\u1048?\u1071?\u1058?\u1040? \u1044?\u1054? \u1045?\u1042?\u1056?\u1054?\u1055?\u1045?\u1049?\u1057?\u1050?\u1048?\u1071? \u1055?\u1040?\u1056?\u1051?\u1040?\u1052?\u1045?\u1053?\u1058?, \u1045?\u1042?\u1056?\u1054?\u1055?\u1045?\u1049?\u1057?\u1050?\u1048?\u1071? \u1057?\u1066?\u1042?\u1045?\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ListParagraphChar">
    <w:name w:val="List Paragraph Char"/>
    <w:link w:val="ListParagraph"/>
    <w:uiPriority w:val="34"/>
    <w:locked/>
  </w:style>
  <w:style w:type="paragraph" w:styleId="FootnoteText">
    <w:name w:val="footnote text"/>
    <w:basedOn w:val="Normal"/>
    <w:link w:val="FootnoteTextChar"/>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nhideWhenUsed/>
    <w:rPr>
      <w:vertAlign w:val="superscript"/>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Revision">
    <w:name w:val="Revision"/>
    <w:hidden/>
    <w:uiPriority w:val="99"/>
    <w:semiHidden/>
    <w:pPr>
      <w:spacing w:after="0" w:line="240" w:lineRule="auto"/>
    </w:pPr>
  </w:style>
  <w:style w:type="character" w:styleId="Hyperlink">
    <w:name w:val="Hyperlink"/>
    <w:rPr>
      <w:color w:val="0000FF"/>
      <w:u w:val="single"/>
    </w:rPr>
  </w:style>
  <w:style w:type="character" w:customStyle="1" w:styleId="Caractresdenotedebasdepage">
    <w:name w:val="Caractères de note de bas de page"/>
  </w:style>
  <w:style w:type="paragraph" w:customStyle="1" w:styleId="FootnoteText1">
    <w:name w:val="Footnote Text1"/>
    <w:basedOn w:val="Normal"/>
    <w:pPr>
      <w:suppressLineNumbers/>
      <w:suppressAutoHyphens/>
      <w:ind w:left="283" w:hanging="283"/>
    </w:pPr>
    <w:rPr>
      <w:rFonts w:ascii="Calibri" w:eastAsia="Arial Unicode MS" w:hAnsi="Calibri" w:cs="Calibri"/>
      <w:kern w:val="1"/>
      <w:sz w:val="20"/>
      <w:szCs w:val="20"/>
    </w:rPr>
  </w:style>
  <w:style w:type="character" w:customStyle="1" w:styleId="FootnoteReference1">
    <w:name w:val="Footnote Reference1"/>
    <w:rPr>
      <w:vertAlign w:val="superscript"/>
    </w:rPr>
  </w:style>
  <w:style w:type="paragraph" w:customStyle="1" w:styleId="FootnoteText2">
    <w:name w:val="Footnote Text2"/>
    <w:basedOn w:val="Normal"/>
    <w:pPr>
      <w:suppressAutoHyphens/>
      <w:spacing w:after="0" w:line="100" w:lineRule="atLeast"/>
    </w:pPr>
    <w:rPr>
      <w:rFonts w:ascii="Calibri" w:eastAsia="Arial Unicode MS" w:hAnsi="Calibri" w:cs="Calibri"/>
      <w:kern w:val="1"/>
      <w:sz w:val="20"/>
      <w:szCs w:val="20"/>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ListParagraphChar">
    <w:name w:val="List Paragraph Char"/>
    <w:link w:val="ListParagraph"/>
    <w:uiPriority w:val="34"/>
    <w:locked/>
  </w:style>
  <w:style w:type="paragraph" w:styleId="FootnoteText">
    <w:name w:val="footnote text"/>
    <w:basedOn w:val="Normal"/>
    <w:link w:val="FootnoteTextChar"/>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nhideWhenUsed/>
    <w:rPr>
      <w:vertAlign w:val="superscript"/>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Revision">
    <w:name w:val="Revision"/>
    <w:hidden/>
    <w:uiPriority w:val="99"/>
    <w:semiHidden/>
    <w:pPr>
      <w:spacing w:after="0" w:line="240" w:lineRule="auto"/>
    </w:pPr>
  </w:style>
  <w:style w:type="character" w:styleId="Hyperlink">
    <w:name w:val="Hyperlink"/>
    <w:rPr>
      <w:color w:val="0000FF"/>
      <w:u w:val="single"/>
    </w:rPr>
  </w:style>
  <w:style w:type="character" w:customStyle="1" w:styleId="Caractresdenotedebasdepage">
    <w:name w:val="Caractères de note de bas de page"/>
  </w:style>
  <w:style w:type="paragraph" w:customStyle="1" w:styleId="FootnoteText1">
    <w:name w:val="Footnote Text1"/>
    <w:basedOn w:val="Normal"/>
    <w:pPr>
      <w:suppressLineNumbers/>
      <w:suppressAutoHyphens/>
      <w:ind w:left="283" w:hanging="283"/>
    </w:pPr>
    <w:rPr>
      <w:rFonts w:ascii="Calibri" w:eastAsia="Arial Unicode MS" w:hAnsi="Calibri" w:cs="Calibri"/>
      <w:kern w:val="1"/>
      <w:sz w:val="20"/>
      <w:szCs w:val="20"/>
    </w:rPr>
  </w:style>
  <w:style w:type="character" w:customStyle="1" w:styleId="FootnoteReference1">
    <w:name w:val="Footnote Reference1"/>
    <w:rPr>
      <w:vertAlign w:val="superscript"/>
    </w:rPr>
  </w:style>
  <w:style w:type="paragraph" w:customStyle="1" w:styleId="FootnoteText2">
    <w:name w:val="Footnote Text2"/>
    <w:basedOn w:val="Normal"/>
    <w:pPr>
      <w:suppressAutoHyphens/>
      <w:spacing w:after="0" w:line="100" w:lineRule="atLeast"/>
    </w:pPr>
    <w:rPr>
      <w:rFonts w:ascii="Calibri" w:eastAsia="Arial Unicode MS" w:hAnsi="Calibri" w:cs="Calibri"/>
      <w:kern w:val="1"/>
      <w:sz w:val="20"/>
      <w:szCs w:val="20"/>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9829">
      <w:bodyDiv w:val="1"/>
      <w:marLeft w:val="0"/>
      <w:marRight w:val="0"/>
      <w:marTop w:val="0"/>
      <w:marBottom w:val="0"/>
      <w:divBdr>
        <w:top w:val="none" w:sz="0" w:space="0" w:color="auto"/>
        <w:left w:val="none" w:sz="0" w:space="0" w:color="auto"/>
        <w:bottom w:val="none" w:sz="0" w:space="0" w:color="auto"/>
        <w:right w:val="none" w:sz="0" w:space="0" w:color="auto"/>
      </w:divBdr>
    </w:div>
    <w:div w:id="231084122">
      <w:bodyDiv w:val="1"/>
      <w:marLeft w:val="0"/>
      <w:marRight w:val="0"/>
      <w:marTop w:val="0"/>
      <w:marBottom w:val="0"/>
      <w:divBdr>
        <w:top w:val="none" w:sz="0" w:space="0" w:color="auto"/>
        <w:left w:val="none" w:sz="0" w:space="0" w:color="auto"/>
        <w:bottom w:val="none" w:sz="0" w:space="0" w:color="auto"/>
        <w:right w:val="none" w:sz="0" w:space="0" w:color="auto"/>
      </w:divBdr>
    </w:div>
    <w:div w:id="237403403">
      <w:bodyDiv w:val="1"/>
      <w:marLeft w:val="0"/>
      <w:marRight w:val="0"/>
      <w:marTop w:val="0"/>
      <w:marBottom w:val="0"/>
      <w:divBdr>
        <w:top w:val="none" w:sz="0" w:space="0" w:color="auto"/>
        <w:left w:val="none" w:sz="0" w:space="0" w:color="auto"/>
        <w:bottom w:val="none" w:sz="0" w:space="0" w:color="auto"/>
        <w:right w:val="none" w:sz="0" w:space="0" w:color="auto"/>
      </w:divBdr>
    </w:div>
    <w:div w:id="633482950">
      <w:bodyDiv w:val="1"/>
      <w:marLeft w:val="0"/>
      <w:marRight w:val="0"/>
      <w:marTop w:val="0"/>
      <w:marBottom w:val="0"/>
      <w:divBdr>
        <w:top w:val="none" w:sz="0" w:space="0" w:color="auto"/>
        <w:left w:val="none" w:sz="0" w:space="0" w:color="auto"/>
        <w:bottom w:val="none" w:sz="0" w:space="0" w:color="auto"/>
        <w:right w:val="none" w:sz="0" w:space="0" w:color="auto"/>
      </w:divBdr>
    </w:div>
    <w:div w:id="644628964">
      <w:bodyDiv w:val="1"/>
      <w:marLeft w:val="0"/>
      <w:marRight w:val="0"/>
      <w:marTop w:val="0"/>
      <w:marBottom w:val="0"/>
      <w:divBdr>
        <w:top w:val="none" w:sz="0" w:space="0" w:color="auto"/>
        <w:left w:val="none" w:sz="0" w:space="0" w:color="auto"/>
        <w:bottom w:val="none" w:sz="0" w:space="0" w:color="auto"/>
        <w:right w:val="none" w:sz="0" w:space="0" w:color="auto"/>
      </w:divBdr>
    </w:div>
    <w:div w:id="1003362348">
      <w:bodyDiv w:val="1"/>
      <w:marLeft w:val="0"/>
      <w:marRight w:val="0"/>
      <w:marTop w:val="0"/>
      <w:marBottom w:val="0"/>
      <w:divBdr>
        <w:top w:val="none" w:sz="0" w:space="0" w:color="auto"/>
        <w:left w:val="none" w:sz="0" w:space="0" w:color="auto"/>
        <w:bottom w:val="none" w:sz="0" w:space="0" w:color="auto"/>
        <w:right w:val="none" w:sz="0" w:space="0" w:color="auto"/>
      </w:divBdr>
    </w:div>
    <w:div w:id="1292714087">
      <w:bodyDiv w:val="1"/>
      <w:marLeft w:val="0"/>
      <w:marRight w:val="0"/>
      <w:marTop w:val="0"/>
      <w:marBottom w:val="0"/>
      <w:divBdr>
        <w:top w:val="none" w:sz="0" w:space="0" w:color="auto"/>
        <w:left w:val="none" w:sz="0" w:space="0" w:color="auto"/>
        <w:bottom w:val="none" w:sz="0" w:space="0" w:color="auto"/>
        <w:right w:val="none" w:sz="0" w:space="0" w:color="auto"/>
      </w:divBdr>
    </w:div>
    <w:div w:id="1327441141">
      <w:bodyDiv w:val="1"/>
      <w:marLeft w:val="0"/>
      <w:marRight w:val="0"/>
      <w:marTop w:val="0"/>
      <w:marBottom w:val="0"/>
      <w:divBdr>
        <w:top w:val="none" w:sz="0" w:space="0" w:color="auto"/>
        <w:left w:val="none" w:sz="0" w:space="0" w:color="auto"/>
        <w:bottom w:val="none" w:sz="0" w:space="0" w:color="auto"/>
        <w:right w:val="none" w:sz="0" w:space="0" w:color="auto"/>
      </w:divBdr>
    </w:div>
    <w:div w:id="1363439362">
      <w:bodyDiv w:val="1"/>
      <w:marLeft w:val="0"/>
      <w:marRight w:val="0"/>
      <w:marTop w:val="0"/>
      <w:marBottom w:val="0"/>
      <w:divBdr>
        <w:top w:val="none" w:sz="0" w:space="0" w:color="auto"/>
        <w:left w:val="none" w:sz="0" w:space="0" w:color="auto"/>
        <w:bottom w:val="none" w:sz="0" w:space="0" w:color="auto"/>
        <w:right w:val="none" w:sz="0" w:space="0" w:color="auto"/>
      </w:divBdr>
    </w:div>
    <w:div w:id="1438057146">
      <w:bodyDiv w:val="1"/>
      <w:marLeft w:val="0"/>
      <w:marRight w:val="0"/>
      <w:marTop w:val="0"/>
      <w:marBottom w:val="0"/>
      <w:divBdr>
        <w:top w:val="none" w:sz="0" w:space="0" w:color="auto"/>
        <w:left w:val="none" w:sz="0" w:space="0" w:color="auto"/>
        <w:bottom w:val="none" w:sz="0" w:space="0" w:color="auto"/>
        <w:right w:val="none" w:sz="0" w:space="0" w:color="auto"/>
      </w:divBdr>
    </w:div>
    <w:div w:id="1676346442">
      <w:bodyDiv w:val="1"/>
      <w:marLeft w:val="0"/>
      <w:marRight w:val="0"/>
      <w:marTop w:val="0"/>
      <w:marBottom w:val="0"/>
      <w:divBdr>
        <w:top w:val="none" w:sz="0" w:space="0" w:color="auto"/>
        <w:left w:val="none" w:sz="0" w:space="0" w:color="auto"/>
        <w:bottom w:val="none" w:sz="0" w:space="0" w:color="auto"/>
        <w:right w:val="none" w:sz="0" w:space="0" w:color="auto"/>
      </w:divBdr>
    </w:div>
    <w:div w:id="197756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footer" Target="foot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eib.org/efsi/governance/efsi-investment-committee/index.htm" TargetMode="External"/><Relationship Id="rId13" Type="http://schemas.openxmlformats.org/officeDocument/2006/relationships/hyperlink" Target="http://www.eib.org/eiah" TargetMode="External"/><Relationship Id="rId18" Type="http://schemas.openxmlformats.org/officeDocument/2006/relationships/hyperlink" Target="http://ec.europa.eu/environment/gpp/index_en.htm" TargetMode="External"/><Relationship Id="rId3" Type="http://schemas.openxmlformats.org/officeDocument/2006/relationships/hyperlink" Target="http://www.eib.org/eiah/" TargetMode="External"/><Relationship Id="rId7" Type="http://schemas.openxmlformats.org/officeDocument/2006/relationships/hyperlink" Target="http://ec.europa.eu/priorities/jobs-growth-and-investment/investment-plan_en" TargetMode="External"/><Relationship Id="rId12" Type="http://schemas.openxmlformats.org/officeDocument/2006/relationships/hyperlink" Target="http://www.eib.org/eiah/" TargetMode="External"/><Relationship Id="rId17" Type="http://schemas.openxmlformats.org/officeDocument/2006/relationships/hyperlink" Target="http://ec.europa.eu/eurostat/web/government-finance-statistics/methodology/advice-to-member-states" TargetMode="External"/><Relationship Id="rId2" Type="http://schemas.openxmlformats.org/officeDocument/2006/relationships/hyperlink" Target="http://ec.europa.eu/economy_finance/eu/forecasts/2016_spring_forecast_en.htm" TargetMode="External"/><Relationship Id="rId16" Type="http://schemas.openxmlformats.org/officeDocument/2006/relationships/hyperlink" Target="http://ec.europa.eu/eurostat/web/products-manuals-and-guidelines/-/KS-GQ-16-001" TargetMode="External"/><Relationship Id="rId1" Type="http://schemas.openxmlformats.org/officeDocument/2006/relationships/hyperlink" Target="http://data.consilium.europa.eu/doc/document/ST-237-2014-INIT/bg/pdf" TargetMode="External"/><Relationship Id="rId6" Type="http://schemas.openxmlformats.org/officeDocument/2006/relationships/hyperlink" Target="http://www.eif.org/what_we_do/efsi/index.htm" TargetMode="External"/><Relationship Id="rId11" Type="http://schemas.openxmlformats.org/officeDocument/2006/relationships/hyperlink" Target="http://europa.eu/rapid/press-release_IP-15-5723_en.htm" TargetMode="External"/><Relationship Id="rId5" Type="http://schemas.openxmlformats.org/officeDocument/2006/relationships/hyperlink" Target="http://www.eib.org/efsi/efsi-projects/index.htm" TargetMode="External"/><Relationship Id="rId15" Type="http://schemas.openxmlformats.org/officeDocument/2006/relationships/hyperlink" Target="http://ec.europa.eu/competition/state_aid/modernisation/notice_of_aid_en.pdf" TargetMode="External"/><Relationship Id="rId10" Type="http://schemas.openxmlformats.org/officeDocument/2006/relationships/hyperlink" Target="http://ec.europa.eu/regional_policy/sources/thefunds/fin_inst/pdf/efsi_esif_compl_en.pdf" TargetMode="External"/><Relationship Id="rId4" Type="http://schemas.openxmlformats.org/officeDocument/2006/relationships/hyperlink" Target="https://ec.europa.eu/priorities/european-investment-project-portal-eipp_en" TargetMode="External"/><Relationship Id="rId9" Type="http://schemas.openxmlformats.org/officeDocument/2006/relationships/hyperlink" Target="http://www.eib.org/attachments/strategies/efsi_steering_board_rules_applicable_to_operations_with_investment_platforms_and_npbs_or_institutions_en.pdf" TargetMode="External"/><Relationship Id="rId14" Type="http://schemas.openxmlformats.org/officeDocument/2006/relationships/hyperlink" Target="http://ec.europa.eu/ei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BA7AB-F682-4074-AF03-DB2FFD201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6100</Words>
  <Characters>36361</Characters>
  <Application>Microsoft Office Word</Application>
  <DocSecurity>0</DocSecurity>
  <Lines>616</Lines>
  <Paragraphs>102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42359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2016-05-31T10:08:00Z</dcterms:created>
  <dcterms:modified xsi:type="dcterms:W3CDTF">2016-06-01T12:54:00Z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