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drawings/drawing1.xml" ContentType="application/vnd.openxmlformats-officedocument.drawingml.chartshapes+xml"/>
  <Override PartName="/word/charts/chart7.xml" ContentType="application/vnd.openxmlformats-officedocument.drawingml.chart+xml"/>
  <Override PartName="/word/theme/themeOverride4.xml" ContentType="application/vnd.openxmlformats-officedocument.themeOverride+xml"/>
  <Override PartName="/word/drawings/drawing2.xml" ContentType="application/vnd.openxmlformats-officedocument.drawingml.chartshapes+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7.xml" ContentType="application/vnd.openxmlformats-officedocument.themeOverride+xml"/>
  <Override PartName="/word/charts/chart12.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theme/themeOverride9.xml" ContentType="application/vnd.openxmlformats-officedocument.themeOverride+xml"/>
  <Override PartName="/word/charts/chart14.xml" ContentType="application/vnd.openxmlformats-officedocument.drawingml.chart+xml"/>
  <Override PartName="/word/theme/themeOverride10.xml" ContentType="application/vnd.openxmlformats-officedocument.themeOverride+xml"/>
  <Override PartName="/word/charts/chart15.xml" ContentType="application/vnd.openxmlformats-officedocument.drawingml.chart+xml"/>
  <Override PartName="/word/theme/themeOverride11.xml" ContentType="application/vnd.openxmlformats-officedocument.themeOverride+xml"/>
  <Override PartName="/word/charts/chart16.xml" ContentType="application/vnd.openxmlformats-officedocument.drawingml.chart+xml"/>
  <Override PartName="/word/theme/themeOverride12.xml" ContentType="application/vnd.openxmlformats-officedocument.themeOverride+xml"/>
  <Override PartName="/word/charts/chart17.xml" ContentType="application/vnd.openxmlformats-officedocument.drawingml.chart+xml"/>
  <Override PartName="/word/theme/themeOverride13.xml" ContentType="application/vnd.openxmlformats-officedocument.themeOverride+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B6C" w:rsidRDefault="009349CD">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16256965478491CAB26B90BB33A4481" style="width:450.45pt;height:347.7pt">
            <v:imagedata r:id="rId12" o:title=""/>
          </v:shape>
        </w:pict>
      </w:r>
    </w:p>
    <w:bookmarkEnd w:id="0"/>
    <w:p w:rsidR="006F5B6C" w:rsidRDefault="006F5B6C">
      <w:pPr>
        <w:pStyle w:val="DocumentSubtitle"/>
        <w:tabs>
          <w:tab w:val="left" w:pos="4536"/>
        </w:tabs>
        <w:jc w:val="left"/>
        <w:rPr>
          <w:b/>
          <w:i/>
          <w:noProof/>
          <w:sz w:val="24"/>
          <w:szCs w:val="24"/>
        </w:rPr>
        <w:sectPr w:rsidR="006F5B6C">
          <w:headerReference w:type="even" r:id="rId13"/>
          <w:headerReference w:type="default" r:id="rId14"/>
          <w:footerReference w:type="even" r:id="rId15"/>
          <w:footerReference w:type="default" r:id="rId16"/>
          <w:headerReference w:type="first" r:id="rId17"/>
          <w:footerReference w:type="first" r:id="rId18"/>
          <w:pgSz w:w="11907" w:h="16839" w:code="9"/>
          <w:pgMar w:top="1134" w:right="1417" w:bottom="1134" w:left="1417" w:header="709" w:footer="709" w:gutter="0"/>
          <w:pgNumType w:start="2"/>
          <w:cols w:space="720"/>
          <w:docGrid w:linePitch="326"/>
        </w:sectPr>
      </w:pPr>
    </w:p>
    <w:p w:rsidR="006F5B6C" w:rsidRDefault="00284F4D">
      <w:pPr>
        <w:pStyle w:val="TOC2"/>
        <w:tabs>
          <w:tab w:val="left" w:pos="720"/>
          <w:tab w:val="right" w:leader="dot" w:pos="8873"/>
        </w:tabs>
        <w:rPr>
          <w:rStyle w:val="Hyperlink"/>
          <w:rFonts w:ascii="Arial" w:eastAsia="Times New Roman" w:hAnsi="Arial" w:cs="Arial"/>
          <w:i w:val="0"/>
          <w:noProof/>
        </w:rPr>
      </w:pPr>
      <w:r>
        <w:rPr>
          <w:rFonts w:ascii="Arial" w:hAnsi="Arial" w:cs="Arial"/>
          <w:b/>
          <w:bCs/>
          <w:i w:val="0"/>
          <w:noProof/>
        </w:rPr>
        <w:lastRenderedPageBreak/>
        <w:fldChar w:fldCharType="begin"/>
      </w:r>
      <w:r>
        <w:rPr>
          <w:rFonts w:ascii="Arial" w:hAnsi="Arial" w:cs="Arial"/>
          <w:b/>
          <w:bCs/>
          <w:i w:val="0"/>
          <w:noProof/>
        </w:rPr>
        <w:instrText xml:space="preserve"> TOC \o "1-3" \h \z \u </w:instrText>
      </w:r>
      <w:r>
        <w:rPr>
          <w:rFonts w:ascii="Arial" w:hAnsi="Arial" w:cs="Arial"/>
          <w:b/>
          <w:bCs/>
          <w:i w:val="0"/>
          <w:noProof/>
        </w:rPr>
        <w:fldChar w:fldCharType="separate"/>
      </w:r>
      <w:hyperlink w:anchor="_Toc454443107" w:history="1">
        <w:r>
          <w:rPr>
            <w:rStyle w:val="Hyperlink"/>
            <w:rFonts w:ascii="Arial" w:eastAsia="Times New Roman" w:hAnsi="Arial" w:cs="Arial"/>
            <w:i w:val="0"/>
            <w:noProof/>
          </w:rPr>
          <w:t>I.</w:t>
        </w:r>
        <w:r>
          <w:rPr>
            <w:rStyle w:val="Hyperlink"/>
            <w:rFonts w:ascii="Arial" w:eastAsia="Times New Roman" w:hAnsi="Arial" w:cs="Arial"/>
            <w:i w:val="0"/>
            <w:noProof/>
          </w:rPr>
          <w:tab/>
          <w:t>Въведение</w:t>
        </w:r>
        <w:r>
          <w:rPr>
            <w:rStyle w:val="Hyperlink"/>
            <w:rFonts w:ascii="Arial" w:eastAsia="Times New Roman" w:hAnsi="Arial" w:cs="Arial"/>
            <w:i w:val="0"/>
            <w:noProof/>
            <w:webHidden/>
          </w:rPr>
          <w:tab/>
        </w:r>
        <w:r>
          <w:rPr>
            <w:rStyle w:val="Hyperlink"/>
            <w:rFonts w:ascii="Arial" w:eastAsia="Times New Roman" w:hAnsi="Arial" w:cs="Arial"/>
            <w:i w:val="0"/>
            <w:noProof/>
            <w:webHidden/>
          </w:rPr>
          <w:fldChar w:fldCharType="begin"/>
        </w:r>
        <w:r>
          <w:rPr>
            <w:rStyle w:val="Hyperlink"/>
            <w:rFonts w:ascii="Arial" w:eastAsia="Times New Roman" w:hAnsi="Arial" w:cs="Arial"/>
            <w:i w:val="0"/>
            <w:noProof/>
            <w:webHidden/>
          </w:rPr>
          <w:instrText xml:space="preserve"> PAGEREF _Toc454443107 \h </w:instrText>
        </w:r>
        <w:r>
          <w:rPr>
            <w:rStyle w:val="Hyperlink"/>
            <w:rFonts w:ascii="Arial" w:eastAsia="Times New Roman" w:hAnsi="Arial" w:cs="Arial"/>
            <w:i w:val="0"/>
            <w:noProof/>
            <w:webHidden/>
          </w:rPr>
        </w:r>
        <w:r>
          <w:rPr>
            <w:rStyle w:val="Hyperlink"/>
            <w:rFonts w:ascii="Arial" w:eastAsia="Times New Roman" w:hAnsi="Arial" w:cs="Arial"/>
            <w:i w:val="0"/>
            <w:noProof/>
            <w:webHidden/>
          </w:rPr>
          <w:fldChar w:fldCharType="separate"/>
        </w:r>
        <w:r>
          <w:rPr>
            <w:rStyle w:val="Hyperlink"/>
            <w:rFonts w:ascii="Arial" w:eastAsia="Times New Roman" w:hAnsi="Arial" w:cs="Arial"/>
            <w:i w:val="0"/>
            <w:noProof/>
            <w:webHidden/>
          </w:rPr>
          <w:t>3</w:t>
        </w:r>
        <w:r>
          <w:rPr>
            <w:rStyle w:val="Hyperlink"/>
            <w:rFonts w:ascii="Arial" w:eastAsia="Times New Roman" w:hAnsi="Arial" w:cs="Arial"/>
            <w:i w:val="0"/>
            <w:noProof/>
            <w:webHidden/>
          </w:rPr>
          <w:fldChar w:fldCharType="end"/>
        </w:r>
      </w:hyperlink>
    </w:p>
    <w:p w:rsidR="006F5B6C" w:rsidRDefault="009349CD">
      <w:pPr>
        <w:pStyle w:val="TOC2"/>
        <w:tabs>
          <w:tab w:val="left" w:pos="720"/>
          <w:tab w:val="right" w:leader="dot" w:pos="8873"/>
        </w:tabs>
        <w:rPr>
          <w:rStyle w:val="Hyperlink"/>
          <w:rFonts w:ascii="Arial" w:eastAsia="Times New Roman" w:hAnsi="Arial" w:cs="Arial"/>
          <w:i w:val="0"/>
          <w:noProof/>
        </w:rPr>
      </w:pPr>
      <w:hyperlink w:anchor="_Toc454443108" w:history="1">
        <w:r w:rsidR="00284F4D">
          <w:rPr>
            <w:rStyle w:val="Hyperlink"/>
            <w:rFonts w:ascii="Arial" w:eastAsia="Times New Roman" w:hAnsi="Arial" w:cs="Arial"/>
            <w:i w:val="0"/>
            <w:noProof/>
          </w:rPr>
          <w:t>II.</w:t>
        </w:r>
        <w:r w:rsidR="00284F4D">
          <w:rPr>
            <w:rStyle w:val="Hyperlink"/>
            <w:rFonts w:ascii="Arial" w:eastAsia="Times New Roman" w:hAnsi="Arial" w:cs="Arial"/>
            <w:i w:val="0"/>
            <w:noProof/>
          </w:rPr>
          <w:tab/>
          <w:t>Прилагане на законодателството в приоритетни области на политиката</w:t>
        </w:r>
        <w:r w:rsidR="00284F4D">
          <w:rPr>
            <w:rStyle w:val="Hyperlink"/>
            <w:rFonts w:ascii="Arial" w:eastAsia="Times New Roman" w:hAnsi="Arial" w:cs="Arial"/>
            <w:i w:val="0"/>
            <w:noProof/>
            <w:webHidden/>
          </w:rPr>
          <w:tab/>
        </w:r>
        <w:r w:rsidR="00284F4D">
          <w:rPr>
            <w:rStyle w:val="Hyperlink"/>
            <w:rFonts w:ascii="Arial" w:eastAsia="Times New Roman" w:hAnsi="Arial" w:cs="Arial"/>
            <w:i w:val="0"/>
            <w:noProof/>
            <w:webHidden/>
          </w:rPr>
          <w:fldChar w:fldCharType="begin"/>
        </w:r>
        <w:r w:rsidR="00284F4D">
          <w:rPr>
            <w:rStyle w:val="Hyperlink"/>
            <w:rFonts w:ascii="Arial" w:eastAsia="Times New Roman" w:hAnsi="Arial" w:cs="Arial"/>
            <w:i w:val="0"/>
            <w:noProof/>
            <w:webHidden/>
          </w:rPr>
          <w:instrText xml:space="preserve"> PAGEREF _Toc454443108 \h </w:instrText>
        </w:r>
        <w:r w:rsidR="00284F4D">
          <w:rPr>
            <w:rStyle w:val="Hyperlink"/>
            <w:rFonts w:ascii="Arial" w:eastAsia="Times New Roman" w:hAnsi="Arial" w:cs="Arial"/>
            <w:i w:val="0"/>
            <w:noProof/>
            <w:webHidden/>
          </w:rPr>
        </w:r>
        <w:r w:rsidR="00284F4D">
          <w:rPr>
            <w:rStyle w:val="Hyperlink"/>
            <w:rFonts w:ascii="Arial" w:eastAsia="Times New Roman" w:hAnsi="Arial" w:cs="Arial"/>
            <w:i w:val="0"/>
            <w:noProof/>
            <w:webHidden/>
          </w:rPr>
          <w:fldChar w:fldCharType="separate"/>
        </w:r>
        <w:r w:rsidR="00284F4D">
          <w:rPr>
            <w:rStyle w:val="Hyperlink"/>
            <w:rFonts w:ascii="Arial" w:eastAsia="Times New Roman" w:hAnsi="Arial" w:cs="Arial"/>
            <w:i w:val="0"/>
            <w:noProof/>
            <w:webHidden/>
          </w:rPr>
          <w:t>4</w:t>
        </w:r>
        <w:r w:rsidR="00284F4D">
          <w:rPr>
            <w:rStyle w:val="Hyperlink"/>
            <w:rFonts w:ascii="Arial" w:eastAsia="Times New Roman" w:hAnsi="Arial" w:cs="Arial"/>
            <w:i w:val="0"/>
            <w:noProof/>
            <w:webHidden/>
          </w:rPr>
          <w:fldChar w:fldCharType="end"/>
        </w:r>
      </w:hyperlink>
    </w:p>
    <w:p w:rsidR="006F5B6C" w:rsidRDefault="009349CD">
      <w:pPr>
        <w:pStyle w:val="TOC2"/>
        <w:tabs>
          <w:tab w:val="left" w:pos="720"/>
          <w:tab w:val="right" w:leader="dot" w:pos="8873"/>
        </w:tabs>
        <w:rPr>
          <w:rStyle w:val="Hyperlink"/>
          <w:rFonts w:ascii="Arial" w:eastAsia="Times New Roman" w:hAnsi="Arial" w:cs="Arial"/>
          <w:i w:val="0"/>
          <w:noProof/>
        </w:rPr>
      </w:pPr>
      <w:hyperlink w:anchor="_Toc454443109" w:history="1">
        <w:r w:rsidR="00284F4D">
          <w:rPr>
            <w:rStyle w:val="Hyperlink"/>
            <w:rFonts w:ascii="Arial" w:eastAsia="Times New Roman" w:hAnsi="Arial" w:cs="Arial"/>
            <w:i w:val="0"/>
            <w:noProof/>
          </w:rPr>
          <w:t>1.</w:t>
        </w:r>
        <w:r w:rsidR="00284F4D">
          <w:rPr>
            <w:rStyle w:val="Hyperlink"/>
            <w:rFonts w:ascii="Arial" w:eastAsia="Times New Roman" w:hAnsi="Arial" w:cs="Arial"/>
            <w:i w:val="0"/>
            <w:noProof/>
          </w:rPr>
          <w:tab/>
          <w:t>Нови стимули за работните места, растежа и инвестициите</w:t>
        </w:r>
        <w:r w:rsidR="00284F4D">
          <w:rPr>
            <w:rStyle w:val="Hyperlink"/>
            <w:rFonts w:ascii="Arial" w:eastAsia="Times New Roman" w:hAnsi="Arial" w:cs="Arial"/>
            <w:i w:val="0"/>
            <w:noProof/>
            <w:webHidden/>
          </w:rPr>
          <w:tab/>
        </w:r>
        <w:r w:rsidR="00284F4D">
          <w:rPr>
            <w:rStyle w:val="Hyperlink"/>
            <w:rFonts w:ascii="Arial" w:eastAsia="Times New Roman" w:hAnsi="Arial" w:cs="Arial"/>
            <w:i w:val="0"/>
            <w:noProof/>
            <w:webHidden/>
          </w:rPr>
          <w:fldChar w:fldCharType="begin"/>
        </w:r>
        <w:r w:rsidR="00284F4D">
          <w:rPr>
            <w:rStyle w:val="Hyperlink"/>
            <w:rFonts w:ascii="Arial" w:eastAsia="Times New Roman" w:hAnsi="Arial" w:cs="Arial"/>
            <w:i w:val="0"/>
            <w:noProof/>
            <w:webHidden/>
          </w:rPr>
          <w:instrText xml:space="preserve"> PAGEREF _Toc454443109 \h </w:instrText>
        </w:r>
        <w:r w:rsidR="00284F4D">
          <w:rPr>
            <w:rStyle w:val="Hyperlink"/>
            <w:rFonts w:ascii="Arial" w:eastAsia="Times New Roman" w:hAnsi="Arial" w:cs="Arial"/>
            <w:i w:val="0"/>
            <w:noProof/>
            <w:webHidden/>
          </w:rPr>
        </w:r>
        <w:r w:rsidR="00284F4D">
          <w:rPr>
            <w:rStyle w:val="Hyperlink"/>
            <w:rFonts w:ascii="Arial" w:eastAsia="Times New Roman" w:hAnsi="Arial" w:cs="Arial"/>
            <w:i w:val="0"/>
            <w:noProof/>
            <w:webHidden/>
          </w:rPr>
          <w:fldChar w:fldCharType="separate"/>
        </w:r>
        <w:r w:rsidR="00284F4D">
          <w:rPr>
            <w:rStyle w:val="Hyperlink"/>
            <w:rFonts w:ascii="Arial" w:eastAsia="Times New Roman" w:hAnsi="Arial" w:cs="Arial"/>
            <w:i w:val="0"/>
            <w:noProof/>
            <w:webHidden/>
          </w:rPr>
          <w:t>4</w:t>
        </w:r>
        <w:r w:rsidR="00284F4D">
          <w:rPr>
            <w:rStyle w:val="Hyperlink"/>
            <w:rFonts w:ascii="Arial" w:eastAsia="Times New Roman" w:hAnsi="Arial" w:cs="Arial"/>
            <w:i w:val="0"/>
            <w:noProof/>
            <w:webHidden/>
          </w:rPr>
          <w:fldChar w:fldCharType="end"/>
        </w:r>
      </w:hyperlink>
    </w:p>
    <w:p w:rsidR="006F5B6C" w:rsidRDefault="009349CD">
      <w:pPr>
        <w:pStyle w:val="TOC2"/>
        <w:tabs>
          <w:tab w:val="left" w:pos="720"/>
          <w:tab w:val="right" w:leader="dot" w:pos="8873"/>
        </w:tabs>
        <w:rPr>
          <w:rStyle w:val="Hyperlink"/>
          <w:rFonts w:ascii="Arial" w:eastAsia="Times New Roman" w:hAnsi="Arial" w:cs="Arial"/>
          <w:i w:val="0"/>
          <w:noProof/>
        </w:rPr>
      </w:pPr>
      <w:hyperlink w:anchor="_Toc454443110" w:history="1">
        <w:r w:rsidR="00284F4D">
          <w:rPr>
            <w:rStyle w:val="Hyperlink"/>
            <w:rFonts w:ascii="Arial" w:eastAsia="Times New Roman" w:hAnsi="Arial" w:cs="Arial"/>
            <w:i w:val="0"/>
            <w:noProof/>
          </w:rPr>
          <w:t>2.</w:t>
        </w:r>
        <w:r w:rsidR="00284F4D">
          <w:rPr>
            <w:rStyle w:val="Hyperlink"/>
            <w:rFonts w:ascii="Arial" w:eastAsia="Times New Roman" w:hAnsi="Arial" w:cs="Arial"/>
            <w:i w:val="0"/>
            <w:noProof/>
          </w:rPr>
          <w:tab/>
          <w:t>Свързан „цифров единен пазар“</w:t>
        </w:r>
        <w:r w:rsidR="00284F4D">
          <w:rPr>
            <w:rStyle w:val="Hyperlink"/>
            <w:rFonts w:ascii="Arial" w:eastAsia="Times New Roman" w:hAnsi="Arial" w:cs="Arial"/>
            <w:i w:val="0"/>
            <w:noProof/>
            <w:webHidden/>
          </w:rPr>
          <w:tab/>
        </w:r>
        <w:r w:rsidR="00284F4D">
          <w:rPr>
            <w:rStyle w:val="Hyperlink"/>
            <w:rFonts w:ascii="Arial" w:eastAsia="Times New Roman" w:hAnsi="Arial" w:cs="Arial"/>
            <w:i w:val="0"/>
            <w:noProof/>
            <w:webHidden/>
          </w:rPr>
          <w:fldChar w:fldCharType="begin"/>
        </w:r>
        <w:r w:rsidR="00284F4D">
          <w:rPr>
            <w:rStyle w:val="Hyperlink"/>
            <w:rFonts w:ascii="Arial" w:eastAsia="Times New Roman" w:hAnsi="Arial" w:cs="Arial"/>
            <w:i w:val="0"/>
            <w:noProof/>
            <w:webHidden/>
          </w:rPr>
          <w:instrText xml:space="preserve"> PAGEREF _Toc454443110 \h </w:instrText>
        </w:r>
        <w:r w:rsidR="00284F4D">
          <w:rPr>
            <w:rStyle w:val="Hyperlink"/>
            <w:rFonts w:ascii="Arial" w:eastAsia="Times New Roman" w:hAnsi="Arial" w:cs="Arial"/>
            <w:i w:val="0"/>
            <w:noProof/>
            <w:webHidden/>
          </w:rPr>
        </w:r>
        <w:r w:rsidR="00284F4D">
          <w:rPr>
            <w:rStyle w:val="Hyperlink"/>
            <w:rFonts w:ascii="Arial" w:eastAsia="Times New Roman" w:hAnsi="Arial" w:cs="Arial"/>
            <w:i w:val="0"/>
            <w:noProof/>
            <w:webHidden/>
          </w:rPr>
          <w:fldChar w:fldCharType="separate"/>
        </w:r>
        <w:r w:rsidR="00284F4D">
          <w:rPr>
            <w:rStyle w:val="Hyperlink"/>
            <w:rFonts w:ascii="Arial" w:eastAsia="Times New Roman" w:hAnsi="Arial" w:cs="Arial"/>
            <w:i w:val="0"/>
            <w:noProof/>
            <w:webHidden/>
          </w:rPr>
          <w:t>6</w:t>
        </w:r>
        <w:r w:rsidR="00284F4D">
          <w:rPr>
            <w:rStyle w:val="Hyperlink"/>
            <w:rFonts w:ascii="Arial" w:eastAsia="Times New Roman" w:hAnsi="Arial" w:cs="Arial"/>
            <w:i w:val="0"/>
            <w:noProof/>
            <w:webHidden/>
          </w:rPr>
          <w:fldChar w:fldCharType="end"/>
        </w:r>
      </w:hyperlink>
    </w:p>
    <w:p w:rsidR="006F5B6C" w:rsidRDefault="009349CD">
      <w:pPr>
        <w:pStyle w:val="TOC2"/>
        <w:tabs>
          <w:tab w:val="left" w:pos="720"/>
          <w:tab w:val="right" w:leader="dot" w:pos="8873"/>
        </w:tabs>
        <w:rPr>
          <w:rStyle w:val="Hyperlink"/>
          <w:rFonts w:ascii="Arial" w:eastAsia="Times New Roman" w:hAnsi="Arial" w:cs="Arial"/>
          <w:i w:val="0"/>
          <w:noProof/>
        </w:rPr>
      </w:pPr>
      <w:hyperlink w:anchor="_Toc454443111" w:history="1">
        <w:r w:rsidR="00284F4D">
          <w:rPr>
            <w:rStyle w:val="Hyperlink"/>
            <w:rFonts w:ascii="Arial" w:eastAsia="Times New Roman" w:hAnsi="Arial" w:cs="Arial"/>
            <w:i w:val="0"/>
            <w:noProof/>
          </w:rPr>
          <w:t>3.</w:t>
        </w:r>
        <w:r w:rsidR="00284F4D">
          <w:rPr>
            <w:rStyle w:val="Hyperlink"/>
            <w:rFonts w:ascii="Arial" w:eastAsia="Times New Roman" w:hAnsi="Arial" w:cs="Arial"/>
            <w:i w:val="0"/>
            <w:noProof/>
          </w:rPr>
          <w:tab/>
          <w:t>Устойчив енергиен съюз с ориентирана към бъдещето политика по въпросите на изменението на климата</w:t>
        </w:r>
        <w:r w:rsidR="00284F4D">
          <w:rPr>
            <w:rStyle w:val="Hyperlink"/>
            <w:rFonts w:ascii="Arial" w:eastAsia="Times New Roman" w:hAnsi="Arial" w:cs="Arial"/>
            <w:i w:val="0"/>
            <w:noProof/>
            <w:webHidden/>
          </w:rPr>
          <w:tab/>
        </w:r>
        <w:r w:rsidR="00284F4D">
          <w:rPr>
            <w:rStyle w:val="Hyperlink"/>
            <w:rFonts w:ascii="Arial" w:eastAsia="Times New Roman" w:hAnsi="Arial" w:cs="Arial"/>
            <w:i w:val="0"/>
            <w:noProof/>
            <w:webHidden/>
          </w:rPr>
          <w:fldChar w:fldCharType="begin"/>
        </w:r>
        <w:r w:rsidR="00284F4D">
          <w:rPr>
            <w:rStyle w:val="Hyperlink"/>
            <w:rFonts w:ascii="Arial" w:eastAsia="Times New Roman" w:hAnsi="Arial" w:cs="Arial"/>
            <w:i w:val="0"/>
            <w:noProof/>
            <w:webHidden/>
          </w:rPr>
          <w:instrText xml:space="preserve"> PAGEREF _Toc454443111 \h </w:instrText>
        </w:r>
        <w:r w:rsidR="00284F4D">
          <w:rPr>
            <w:rStyle w:val="Hyperlink"/>
            <w:rFonts w:ascii="Arial" w:eastAsia="Times New Roman" w:hAnsi="Arial" w:cs="Arial"/>
            <w:i w:val="0"/>
            <w:noProof/>
            <w:webHidden/>
          </w:rPr>
        </w:r>
        <w:r w:rsidR="00284F4D">
          <w:rPr>
            <w:rStyle w:val="Hyperlink"/>
            <w:rFonts w:ascii="Arial" w:eastAsia="Times New Roman" w:hAnsi="Arial" w:cs="Arial"/>
            <w:i w:val="0"/>
            <w:noProof/>
            <w:webHidden/>
          </w:rPr>
          <w:fldChar w:fldCharType="separate"/>
        </w:r>
        <w:r w:rsidR="00284F4D">
          <w:rPr>
            <w:rStyle w:val="Hyperlink"/>
            <w:rFonts w:ascii="Arial" w:eastAsia="Times New Roman" w:hAnsi="Arial" w:cs="Arial"/>
            <w:i w:val="0"/>
            <w:noProof/>
            <w:webHidden/>
          </w:rPr>
          <w:t>6</w:t>
        </w:r>
        <w:r w:rsidR="00284F4D">
          <w:rPr>
            <w:rStyle w:val="Hyperlink"/>
            <w:rFonts w:ascii="Arial" w:eastAsia="Times New Roman" w:hAnsi="Arial" w:cs="Arial"/>
            <w:i w:val="0"/>
            <w:noProof/>
            <w:webHidden/>
          </w:rPr>
          <w:fldChar w:fldCharType="end"/>
        </w:r>
      </w:hyperlink>
    </w:p>
    <w:p w:rsidR="006F5B6C" w:rsidRDefault="009349CD">
      <w:pPr>
        <w:pStyle w:val="TOC2"/>
        <w:tabs>
          <w:tab w:val="left" w:pos="720"/>
          <w:tab w:val="right" w:leader="dot" w:pos="8873"/>
        </w:tabs>
        <w:rPr>
          <w:rStyle w:val="Hyperlink"/>
          <w:rFonts w:ascii="Arial" w:eastAsia="Times New Roman" w:hAnsi="Arial" w:cs="Arial"/>
          <w:i w:val="0"/>
          <w:noProof/>
        </w:rPr>
      </w:pPr>
      <w:hyperlink w:anchor="_Toc454443112" w:history="1">
        <w:r w:rsidR="00284F4D">
          <w:rPr>
            <w:rStyle w:val="Hyperlink"/>
            <w:rFonts w:ascii="Arial" w:eastAsia="Times New Roman" w:hAnsi="Arial" w:cs="Arial"/>
            <w:i w:val="0"/>
            <w:noProof/>
          </w:rPr>
          <w:t>4.</w:t>
        </w:r>
        <w:r w:rsidR="00284F4D">
          <w:rPr>
            <w:rStyle w:val="Hyperlink"/>
            <w:rFonts w:ascii="Arial" w:eastAsia="Times New Roman" w:hAnsi="Arial" w:cs="Arial"/>
            <w:i w:val="0"/>
            <w:noProof/>
          </w:rPr>
          <w:tab/>
          <w:t>По-</w:t>
        </w:r>
        <w:r w:rsidR="00284F4D">
          <w:rPr>
            <w:rStyle w:val="Hyperlink"/>
            <w:rFonts w:ascii="Arial" w:eastAsia="Times New Roman" w:hAnsi="Arial" w:cs="Arial"/>
            <w:i w:val="0"/>
            <w:noProof/>
            <w:spacing w:val="-4"/>
          </w:rPr>
          <w:t>задълбочен</w:t>
        </w:r>
        <w:r w:rsidR="00284F4D">
          <w:rPr>
            <w:rStyle w:val="Hyperlink"/>
            <w:rFonts w:ascii="Arial" w:eastAsia="Times New Roman" w:hAnsi="Arial" w:cs="Arial"/>
            <w:i w:val="0"/>
            <w:noProof/>
          </w:rPr>
          <w:t xml:space="preserve"> и по-справедлив вътрешен пазар със засилена промишлена база</w:t>
        </w:r>
        <w:r w:rsidR="00284F4D">
          <w:rPr>
            <w:rStyle w:val="Hyperlink"/>
            <w:rFonts w:ascii="Arial" w:eastAsia="Times New Roman" w:hAnsi="Arial" w:cs="Arial"/>
            <w:i w:val="0"/>
            <w:noProof/>
            <w:webHidden/>
          </w:rPr>
          <w:tab/>
        </w:r>
        <w:r w:rsidR="00284F4D">
          <w:rPr>
            <w:rStyle w:val="Hyperlink"/>
            <w:rFonts w:ascii="Arial" w:eastAsia="Times New Roman" w:hAnsi="Arial" w:cs="Arial"/>
            <w:i w:val="0"/>
            <w:noProof/>
            <w:webHidden/>
          </w:rPr>
          <w:fldChar w:fldCharType="begin"/>
        </w:r>
        <w:r w:rsidR="00284F4D">
          <w:rPr>
            <w:rStyle w:val="Hyperlink"/>
            <w:rFonts w:ascii="Arial" w:eastAsia="Times New Roman" w:hAnsi="Arial" w:cs="Arial"/>
            <w:i w:val="0"/>
            <w:noProof/>
            <w:webHidden/>
          </w:rPr>
          <w:instrText xml:space="preserve"> PAGEREF _Toc454443112 \h </w:instrText>
        </w:r>
        <w:r w:rsidR="00284F4D">
          <w:rPr>
            <w:rStyle w:val="Hyperlink"/>
            <w:rFonts w:ascii="Arial" w:eastAsia="Times New Roman" w:hAnsi="Arial" w:cs="Arial"/>
            <w:i w:val="0"/>
            <w:noProof/>
            <w:webHidden/>
          </w:rPr>
        </w:r>
        <w:r w:rsidR="00284F4D">
          <w:rPr>
            <w:rStyle w:val="Hyperlink"/>
            <w:rFonts w:ascii="Arial" w:eastAsia="Times New Roman" w:hAnsi="Arial" w:cs="Arial"/>
            <w:i w:val="0"/>
            <w:noProof/>
            <w:webHidden/>
          </w:rPr>
          <w:fldChar w:fldCharType="separate"/>
        </w:r>
        <w:r w:rsidR="00284F4D">
          <w:rPr>
            <w:rStyle w:val="Hyperlink"/>
            <w:rFonts w:ascii="Arial" w:eastAsia="Times New Roman" w:hAnsi="Arial" w:cs="Arial"/>
            <w:i w:val="0"/>
            <w:noProof/>
            <w:webHidden/>
          </w:rPr>
          <w:t>7</w:t>
        </w:r>
        <w:r w:rsidR="00284F4D">
          <w:rPr>
            <w:rStyle w:val="Hyperlink"/>
            <w:rFonts w:ascii="Arial" w:eastAsia="Times New Roman" w:hAnsi="Arial" w:cs="Arial"/>
            <w:i w:val="0"/>
            <w:noProof/>
            <w:webHidden/>
          </w:rPr>
          <w:fldChar w:fldCharType="end"/>
        </w:r>
      </w:hyperlink>
    </w:p>
    <w:p w:rsidR="006F5B6C" w:rsidRDefault="009349CD">
      <w:pPr>
        <w:pStyle w:val="TOC2"/>
        <w:tabs>
          <w:tab w:val="left" w:pos="720"/>
          <w:tab w:val="right" w:leader="dot" w:pos="8873"/>
        </w:tabs>
        <w:rPr>
          <w:rStyle w:val="Hyperlink"/>
          <w:rFonts w:ascii="Arial" w:eastAsia="Times New Roman" w:hAnsi="Arial" w:cs="Arial"/>
          <w:i w:val="0"/>
          <w:noProof/>
        </w:rPr>
      </w:pPr>
      <w:hyperlink w:anchor="_Toc454443113" w:history="1">
        <w:r w:rsidR="00284F4D">
          <w:rPr>
            <w:rStyle w:val="Hyperlink"/>
            <w:rFonts w:ascii="Arial" w:eastAsia="Times New Roman" w:hAnsi="Arial" w:cs="Arial"/>
            <w:i w:val="0"/>
            <w:noProof/>
          </w:rPr>
          <w:t>5.</w:t>
        </w:r>
        <w:r w:rsidR="00284F4D">
          <w:rPr>
            <w:rStyle w:val="Hyperlink"/>
            <w:rFonts w:ascii="Arial" w:eastAsia="Times New Roman" w:hAnsi="Arial" w:cs="Arial"/>
            <w:i w:val="0"/>
            <w:noProof/>
          </w:rPr>
          <w:tab/>
          <w:t>По-задълбочен и по-справедлив икономически и паричен съюз</w:t>
        </w:r>
        <w:r w:rsidR="00284F4D">
          <w:rPr>
            <w:rStyle w:val="Hyperlink"/>
            <w:rFonts w:ascii="Arial" w:eastAsia="Times New Roman" w:hAnsi="Arial" w:cs="Arial"/>
            <w:i w:val="0"/>
            <w:noProof/>
            <w:webHidden/>
          </w:rPr>
          <w:tab/>
        </w:r>
        <w:r w:rsidR="00284F4D">
          <w:rPr>
            <w:rStyle w:val="Hyperlink"/>
            <w:rFonts w:ascii="Arial" w:eastAsia="Times New Roman" w:hAnsi="Arial" w:cs="Arial"/>
            <w:i w:val="0"/>
            <w:noProof/>
            <w:webHidden/>
          </w:rPr>
          <w:fldChar w:fldCharType="begin"/>
        </w:r>
        <w:r w:rsidR="00284F4D">
          <w:rPr>
            <w:rStyle w:val="Hyperlink"/>
            <w:rFonts w:ascii="Arial" w:eastAsia="Times New Roman" w:hAnsi="Arial" w:cs="Arial"/>
            <w:i w:val="0"/>
            <w:noProof/>
            <w:webHidden/>
          </w:rPr>
          <w:instrText xml:space="preserve"> PAGEREF _Toc454443113 \h </w:instrText>
        </w:r>
        <w:r w:rsidR="00284F4D">
          <w:rPr>
            <w:rStyle w:val="Hyperlink"/>
            <w:rFonts w:ascii="Arial" w:eastAsia="Times New Roman" w:hAnsi="Arial" w:cs="Arial"/>
            <w:i w:val="0"/>
            <w:noProof/>
            <w:webHidden/>
          </w:rPr>
        </w:r>
        <w:r w:rsidR="00284F4D">
          <w:rPr>
            <w:rStyle w:val="Hyperlink"/>
            <w:rFonts w:ascii="Arial" w:eastAsia="Times New Roman" w:hAnsi="Arial" w:cs="Arial"/>
            <w:i w:val="0"/>
            <w:noProof/>
            <w:webHidden/>
          </w:rPr>
          <w:fldChar w:fldCharType="separate"/>
        </w:r>
        <w:r w:rsidR="00284F4D">
          <w:rPr>
            <w:rStyle w:val="Hyperlink"/>
            <w:rFonts w:ascii="Arial" w:eastAsia="Times New Roman" w:hAnsi="Arial" w:cs="Arial"/>
            <w:i w:val="0"/>
            <w:noProof/>
            <w:webHidden/>
          </w:rPr>
          <w:t>10</w:t>
        </w:r>
        <w:r w:rsidR="00284F4D">
          <w:rPr>
            <w:rStyle w:val="Hyperlink"/>
            <w:rFonts w:ascii="Arial" w:eastAsia="Times New Roman" w:hAnsi="Arial" w:cs="Arial"/>
            <w:i w:val="0"/>
            <w:noProof/>
            <w:webHidden/>
          </w:rPr>
          <w:fldChar w:fldCharType="end"/>
        </w:r>
      </w:hyperlink>
    </w:p>
    <w:p w:rsidR="006F5B6C" w:rsidRDefault="009349CD">
      <w:pPr>
        <w:pStyle w:val="TOC2"/>
        <w:tabs>
          <w:tab w:val="left" w:pos="720"/>
          <w:tab w:val="right" w:leader="dot" w:pos="8873"/>
        </w:tabs>
        <w:rPr>
          <w:rStyle w:val="Hyperlink"/>
          <w:rFonts w:ascii="Arial" w:eastAsia="Times New Roman" w:hAnsi="Arial" w:cs="Arial"/>
          <w:i w:val="0"/>
          <w:noProof/>
        </w:rPr>
      </w:pPr>
      <w:hyperlink w:anchor="_Toc454443114" w:history="1">
        <w:r w:rsidR="00284F4D">
          <w:rPr>
            <w:rStyle w:val="Hyperlink"/>
            <w:rFonts w:ascii="Arial" w:eastAsia="Times New Roman" w:hAnsi="Arial" w:cs="Arial"/>
            <w:i w:val="0"/>
            <w:noProof/>
          </w:rPr>
          <w:t>6.</w:t>
        </w:r>
        <w:r w:rsidR="00284F4D">
          <w:rPr>
            <w:rStyle w:val="Hyperlink"/>
            <w:rFonts w:ascii="Arial" w:eastAsia="Times New Roman" w:hAnsi="Arial" w:cs="Arial"/>
            <w:i w:val="0"/>
            <w:noProof/>
          </w:rPr>
          <w:tab/>
          <w:t>Пространство на правосъдие и основни права, изградено върху взаимно доверие</w:t>
        </w:r>
        <w:r w:rsidR="00284F4D">
          <w:rPr>
            <w:rStyle w:val="Hyperlink"/>
            <w:rFonts w:ascii="Arial" w:eastAsia="Times New Roman" w:hAnsi="Arial" w:cs="Arial"/>
            <w:i w:val="0"/>
            <w:noProof/>
            <w:webHidden/>
          </w:rPr>
          <w:tab/>
        </w:r>
        <w:r w:rsidR="00284F4D">
          <w:rPr>
            <w:rStyle w:val="Hyperlink"/>
            <w:rFonts w:ascii="Arial" w:eastAsia="Times New Roman" w:hAnsi="Arial" w:cs="Arial"/>
            <w:i w:val="0"/>
            <w:noProof/>
            <w:webHidden/>
          </w:rPr>
          <w:fldChar w:fldCharType="begin"/>
        </w:r>
        <w:r w:rsidR="00284F4D">
          <w:rPr>
            <w:rStyle w:val="Hyperlink"/>
            <w:rFonts w:ascii="Arial" w:eastAsia="Times New Roman" w:hAnsi="Arial" w:cs="Arial"/>
            <w:i w:val="0"/>
            <w:noProof/>
            <w:webHidden/>
          </w:rPr>
          <w:instrText xml:space="preserve"> PAGEREF _Toc454443114 \h </w:instrText>
        </w:r>
        <w:r w:rsidR="00284F4D">
          <w:rPr>
            <w:rStyle w:val="Hyperlink"/>
            <w:rFonts w:ascii="Arial" w:eastAsia="Times New Roman" w:hAnsi="Arial" w:cs="Arial"/>
            <w:i w:val="0"/>
            <w:noProof/>
            <w:webHidden/>
          </w:rPr>
        </w:r>
        <w:r w:rsidR="00284F4D">
          <w:rPr>
            <w:rStyle w:val="Hyperlink"/>
            <w:rFonts w:ascii="Arial" w:eastAsia="Times New Roman" w:hAnsi="Arial" w:cs="Arial"/>
            <w:i w:val="0"/>
            <w:noProof/>
            <w:webHidden/>
          </w:rPr>
          <w:fldChar w:fldCharType="separate"/>
        </w:r>
        <w:r w:rsidR="00284F4D">
          <w:rPr>
            <w:rStyle w:val="Hyperlink"/>
            <w:rFonts w:ascii="Arial" w:eastAsia="Times New Roman" w:hAnsi="Arial" w:cs="Arial"/>
            <w:i w:val="0"/>
            <w:noProof/>
            <w:webHidden/>
          </w:rPr>
          <w:t>11</w:t>
        </w:r>
        <w:r w:rsidR="00284F4D">
          <w:rPr>
            <w:rStyle w:val="Hyperlink"/>
            <w:rFonts w:ascii="Arial" w:eastAsia="Times New Roman" w:hAnsi="Arial" w:cs="Arial"/>
            <w:i w:val="0"/>
            <w:noProof/>
            <w:webHidden/>
          </w:rPr>
          <w:fldChar w:fldCharType="end"/>
        </w:r>
      </w:hyperlink>
    </w:p>
    <w:p w:rsidR="006F5B6C" w:rsidRDefault="009349CD">
      <w:pPr>
        <w:pStyle w:val="TOC2"/>
        <w:tabs>
          <w:tab w:val="left" w:pos="720"/>
          <w:tab w:val="right" w:leader="dot" w:pos="8873"/>
        </w:tabs>
        <w:rPr>
          <w:rStyle w:val="Hyperlink"/>
          <w:rFonts w:ascii="Arial" w:eastAsia="Times New Roman" w:hAnsi="Arial" w:cs="Arial"/>
          <w:i w:val="0"/>
          <w:noProof/>
        </w:rPr>
      </w:pPr>
      <w:hyperlink w:anchor="_Toc454443115" w:history="1">
        <w:r w:rsidR="00284F4D">
          <w:rPr>
            <w:rStyle w:val="Hyperlink"/>
            <w:rFonts w:ascii="Arial" w:eastAsia="Times New Roman" w:hAnsi="Arial" w:cs="Arial"/>
            <w:i w:val="0"/>
            <w:noProof/>
          </w:rPr>
          <w:t>7.</w:t>
        </w:r>
        <w:r w:rsidR="00284F4D">
          <w:rPr>
            <w:rStyle w:val="Hyperlink"/>
            <w:rFonts w:ascii="Arial" w:eastAsia="Times New Roman" w:hAnsi="Arial" w:cs="Arial"/>
            <w:i w:val="0"/>
            <w:noProof/>
          </w:rPr>
          <w:tab/>
          <w:t>Към нова политика в областта на миграцията</w:t>
        </w:r>
        <w:r w:rsidR="00284F4D">
          <w:rPr>
            <w:rStyle w:val="Hyperlink"/>
            <w:rFonts w:ascii="Arial" w:eastAsia="Times New Roman" w:hAnsi="Arial" w:cs="Arial"/>
            <w:i w:val="0"/>
            <w:noProof/>
            <w:webHidden/>
          </w:rPr>
          <w:tab/>
        </w:r>
        <w:r w:rsidR="00284F4D">
          <w:rPr>
            <w:rStyle w:val="Hyperlink"/>
            <w:rFonts w:ascii="Arial" w:eastAsia="Times New Roman" w:hAnsi="Arial" w:cs="Arial"/>
            <w:i w:val="0"/>
            <w:noProof/>
            <w:webHidden/>
          </w:rPr>
          <w:fldChar w:fldCharType="begin"/>
        </w:r>
        <w:r w:rsidR="00284F4D">
          <w:rPr>
            <w:rStyle w:val="Hyperlink"/>
            <w:rFonts w:ascii="Arial" w:eastAsia="Times New Roman" w:hAnsi="Arial" w:cs="Arial"/>
            <w:i w:val="0"/>
            <w:noProof/>
            <w:webHidden/>
          </w:rPr>
          <w:instrText xml:space="preserve"> PAGEREF _Toc454443115 \h </w:instrText>
        </w:r>
        <w:r w:rsidR="00284F4D">
          <w:rPr>
            <w:rStyle w:val="Hyperlink"/>
            <w:rFonts w:ascii="Arial" w:eastAsia="Times New Roman" w:hAnsi="Arial" w:cs="Arial"/>
            <w:i w:val="0"/>
            <w:noProof/>
            <w:webHidden/>
          </w:rPr>
        </w:r>
        <w:r w:rsidR="00284F4D">
          <w:rPr>
            <w:rStyle w:val="Hyperlink"/>
            <w:rFonts w:ascii="Arial" w:eastAsia="Times New Roman" w:hAnsi="Arial" w:cs="Arial"/>
            <w:i w:val="0"/>
            <w:noProof/>
            <w:webHidden/>
          </w:rPr>
          <w:fldChar w:fldCharType="separate"/>
        </w:r>
        <w:r w:rsidR="00284F4D">
          <w:rPr>
            <w:rStyle w:val="Hyperlink"/>
            <w:rFonts w:ascii="Arial" w:eastAsia="Times New Roman" w:hAnsi="Arial" w:cs="Arial"/>
            <w:i w:val="0"/>
            <w:noProof/>
            <w:webHidden/>
          </w:rPr>
          <w:t>13</w:t>
        </w:r>
        <w:r w:rsidR="00284F4D">
          <w:rPr>
            <w:rStyle w:val="Hyperlink"/>
            <w:rFonts w:ascii="Arial" w:eastAsia="Times New Roman" w:hAnsi="Arial" w:cs="Arial"/>
            <w:i w:val="0"/>
            <w:noProof/>
            <w:webHidden/>
          </w:rPr>
          <w:fldChar w:fldCharType="end"/>
        </w:r>
      </w:hyperlink>
    </w:p>
    <w:p w:rsidR="006F5B6C" w:rsidRDefault="009349CD">
      <w:pPr>
        <w:pStyle w:val="TOC2"/>
        <w:tabs>
          <w:tab w:val="left" w:pos="720"/>
          <w:tab w:val="right" w:leader="dot" w:pos="8873"/>
        </w:tabs>
        <w:rPr>
          <w:rStyle w:val="Hyperlink"/>
          <w:rFonts w:ascii="Arial" w:eastAsia="Times New Roman" w:hAnsi="Arial" w:cs="Arial"/>
          <w:i w:val="0"/>
          <w:noProof/>
        </w:rPr>
      </w:pPr>
      <w:hyperlink w:anchor="_Toc454443116" w:history="1">
        <w:r w:rsidR="00284F4D">
          <w:rPr>
            <w:rStyle w:val="Hyperlink"/>
            <w:rFonts w:ascii="Arial" w:eastAsia="Times New Roman" w:hAnsi="Arial" w:cs="Arial"/>
            <w:i w:val="0"/>
            <w:noProof/>
          </w:rPr>
          <w:t>8.</w:t>
        </w:r>
        <w:r w:rsidR="00284F4D">
          <w:rPr>
            <w:rStyle w:val="Hyperlink"/>
            <w:rFonts w:ascii="Arial" w:eastAsia="Times New Roman" w:hAnsi="Arial" w:cs="Arial"/>
            <w:i w:val="0"/>
            <w:noProof/>
          </w:rPr>
          <w:tab/>
        </w:r>
        <w:r w:rsidR="00284F4D">
          <w:rPr>
            <w:rStyle w:val="Hyperlink"/>
            <w:rFonts w:ascii="Arial" w:eastAsia="Times New Roman" w:hAnsi="Arial" w:cs="Arial"/>
            <w:i w:val="0"/>
            <w:noProof/>
            <w:spacing w:val="-4"/>
          </w:rPr>
          <w:t>Работа с държавите членки за гарантиране на правилното прилагане на правото на ЕС</w:t>
        </w:r>
        <w:r w:rsidR="00284F4D">
          <w:rPr>
            <w:rStyle w:val="Hyperlink"/>
            <w:rFonts w:ascii="Arial" w:eastAsia="Times New Roman" w:hAnsi="Arial" w:cs="Arial"/>
            <w:i w:val="0"/>
            <w:noProof/>
            <w:webHidden/>
            <w:spacing w:val="-4"/>
          </w:rPr>
          <w:tab/>
        </w:r>
        <w:r w:rsidR="00284F4D">
          <w:rPr>
            <w:rStyle w:val="Hyperlink"/>
            <w:rFonts w:ascii="Arial" w:eastAsia="Times New Roman" w:hAnsi="Arial" w:cs="Arial"/>
            <w:i w:val="0"/>
            <w:noProof/>
            <w:webHidden/>
          </w:rPr>
          <w:fldChar w:fldCharType="begin"/>
        </w:r>
        <w:r w:rsidR="00284F4D">
          <w:rPr>
            <w:rStyle w:val="Hyperlink"/>
            <w:rFonts w:ascii="Arial" w:eastAsia="Times New Roman" w:hAnsi="Arial" w:cs="Arial"/>
            <w:i w:val="0"/>
            <w:noProof/>
            <w:webHidden/>
          </w:rPr>
          <w:instrText xml:space="preserve"> PAGEREF _Toc454443116 \h </w:instrText>
        </w:r>
        <w:r w:rsidR="00284F4D">
          <w:rPr>
            <w:rStyle w:val="Hyperlink"/>
            <w:rFonts w:ascii="Arial" w:eastAsia="Times New Roman" w:hAnsi="Arial" w:cs="Arial"/>
            <w:i w:val="0"/>
            <w:noProof/>
            <w:webHidden/>
          </w:rPr>
        </w:r>
        <w:r w:rsidR="00284F4D">
          <w:rPr>
            <w:rStyle w:val="Hyperlink"/>
            <w:rFonts w:ascii="Arial" w:eastAsia="Times New Roman" w:hAnsi="Arial" w:cs="Arial"/>
            <w:i w:val="0"/>
            <w:noProof/>
            <w:webHidden/>
          </w:rPr>
          <w:fldChar w:fldCharType="separate"/>
        </w:r>
        <w:r w:rsidR="00284F4D">
          <w:rPr>
            <w:rStyle w:val="Hyperlink"/>
            <w:rFonts w:ascii="Arial" w:eastAsia="Times New Roman" w:hAnsi="Arial" w:cs="Arial"/>
            <w:i w:val="0"/>
            <w:noProof/>
            <w:webHidden/>
          </w:rPr>
          <w:t>14</w:t>
        </w:r>
        <w:r w:rsidR="00284F4D">
          <w:rPr>
            <w:rStyle w:val="Hyperlink"/>
            <w:rFonts w:ascii="Arial" w:eastAsia="Times New Roman" w:hAnsi="Arial" w:cs="Arial"/>
            <w:i w:val="0"/>
            <w:noProof/>
            <w:webHidden/>
          </w:rPr>
          <w:fldChar w:fldCharType="end"/>
        </w:r>
      </w:hyperlink>
    </w:p>
    <w:p w:rsidR="006F5B6C" w:rsidRDefault="009349CD">
      <w:pPr>
        <w:pStyle w:val="TOC2"/>
        <w:tabs>
          <w:tab w:val="left" w:pos="720"/>
          <w:tab w:val="right" w:leader="dot" w:pos="8873"/>
        </w:tabs>
        <w:rPr>
          <w:rStyle w:val="Hyperlink"/>
          <w:rFonts w:ascii="Arial" w:eastAsia="Times New Roman" w:hAnsi="Arial" w:cs="Arial"/>
          <w:i w:val="0"/>
          <w:noProof/>
        </w:rPr>
      </w:pPr>
      <w:hyperlink w:anchor="_Toc454443117" w:history="1">
        <w:r w:rsidR="00284F4D">
          <w:rPr>
            <w:rStyle w:val="Hyperlink"/>
            <w:rFonts w:ascii="Arial" w:eastAsia="Times New Roman" w:hAnsi="Arial" w:cs="Arial"/>
            <w:i w:val="0"/>
            <w:noProof/>
          </w:rPr>
          <w:t>8.1.</w:t>
        </w:r>
        <w:r w:rsidR="00284F4D">
          <w:rPr>
            <w:rStyle w:val="Hyperlink"/>
            <w:rFonts w:ascii="Arial" w:eastAsia="Times New Roman" w:hAnsi="Arial" w:cs="Arial"/>
            <w:i w:val="0"/>
            <w:noProof/>
          </w:rPr>
          <w:tab/>
          <w:t>Планове за прилагане: актуално състояние</w:t>
        </w:r>
        <w:r w:rsidR="00284F4D">
          <w:rPr>
            <w:rStyle w:val="Hyperlink"/>
            <w:rFonts w:ascii="Arial" w:eastAsia="Times New Roman" w:hAnsi="Arial" w:cs="Arial"/>
            <w:i w:val="0"/>
            <w:noProof/>
            <w:webHidden/>
          </w:rPr>
          <w:tab/>
        </w:r>
        <w:r w:rsidR="00284F4D">
          <w:rPr>
            <w:rStyle w:val="Hyperlink"/>
            <w:rFonts w:ascii="Arial" w:eastAsia="Times New Roman" w:hAnsi="Arial" w:cs="Arial"/>
            <w:i w:val="0"/>
            <w:noProof/>
            <w:webHidden/>
          </w:rPr>
          <w:fldChar w:fldCharType="begin"/>
        </w:r>
        <w:r w:rsidR="00284F4D">
          <w:rPr>
            <w:rStyle w:val="Hyperlink"/>
            <w:rFonts w:ascii="Arial" w:eastAsia="Times New Roman" w:hAnsi="Arial" w:cs="Arial"/>
            <w:i w:val="0"/>
            <w:noProof/>
            <w:webHidden/>
          </w:rPr>
          <w:instrText xml:space="preserve"> PAGEREF _Toc454443117 \h </w:instrText>
        </w:r>
        <w:r w:rsidR="00284F4D">
          <w:rPr>
            <w:rStyle w:val="Hyperlink"/>
            <w:rFonts w:ascii="Arial" w:eastAsia="Times New Roman" w:hAnsi="Arial" w:cs="Arial"/>
            <w:i w:val="0"/>
            <w:noProof/>
            <w:webHidden/>
          </w:rPr>
        </w:r>
        <w:r w:rsidR="00284F4D">
          <w:rPr>
            <w:rStyle w:val="Hyperlink"/>
            <w:rFonts w:ascii="Arial" w:eastAsia="Times New Roman" w:hAnsi="Arial" w:cs="Arial"/>
            <w:i w:val="0"/>
            <w:noProof/>
            <w:webHidden/>
          </w:rPr>
          <w:fldChar w:fldCharType="separate"/>
        </w:r>
        <w:r w:rsidR="00284F4D">
          <w:rPr>
            <w:rStyle w:val="Hyperlink"/>
            <w:rFonts w:ascii="Arial" w:eastAsia="Times New Roman" w:hAnsi="Arial" w:cs="Arial"/>
            <w:i w:val="0"/>
            <w:noProof/>
            <w:webHidden/>
          </w:rPr>
          <w:t>14</w:t>
        </w:r>
        <w:r w:rsidR="00284F4D">
          <w:rPr>
            <w:rStyle w:val="Hyperlink"/>
            <w:rFonts w:ascii="Arial" w:eastAsia="Times New Roman" w:hAnsi="Arial" w:cs="Arial"/>
            <w:i w:val="0"/>
            <w:noProof/>
            <w:webHidden/>
          </w:rPr>
          <w:fldChar w:fldCharType="end"/>
        </w:r>
      </w:hyperlink>
    </w:p>
    <w:p w:rsidR="006F5B6C" w:rsidRDefault="009349CD">
      <w:pPr>
        <w:pStyle w:val="TOC2"/>
        <w:tabs>
          <w:tab w:val="left" w:pos="720"/>
          <w:tab w:val="right" w:leader="dot" w:pos="8873"/>
        </w:tabs>
        <w:rPr>
          <w:rStyle w:val="Hyperlink"/>
          <w:rFonts w:ascii="Arial" w:eastAsia="Times New Roman" w:hAnsi="Arial" w:cs="Arial"/>
          <w:i w:val="0"/>
          <w:noProof/>
        </w:rPr>
      </w:pPr>
      <w:hyperlink w:anchor="_Toc454443118" w:history="1">
        <w:r w:rsidR="00284F4D">
          <w:rPr>
            <w:rStyle w:val="Hyperlink"/>
            <w:rFonts w:ascii="Arial" w:eastAsia="Times New Roman" w:hAnsi="Arial" w:cs="Arial"/>
            <w:i w:val="0"/>
            <w:noProof/>
          </w:rPr>
          <w:t>8.2.</w:t>
        </w:r>
        <w:r w:rsidR="00284F4D">
          <w:rPr>
            <w:rStyle w:val="Hyperlink"/>
            <w:rFonts w:ascii="Arial" w:eastAsia="Times New Roman" w:hAnsi="Arial" w:cs="Arial"/>
            <w:i w:val="0"/>
            <w:noProof/>
          </w:rPr>
          <w:tab/>
          <w:t>Обяснителни документи: актуално състояние</w:t>
        </w:r>
        <w:r w:rsidR="00284F4D">
          <w:rPr>
            <w:rStyle w:val="Hyperlink"/>
            <w:rFonts w:ascii="Arial" w:eastAsia="Times New Roman" w:hAnsi="Arial" w:cs="Arial"/>
            <w:i w:val="0"/>
            <w:noProof/>
            <w:webHidden/>
          </w:rPr>
          <w:tab/>
        </w:r>
        <w:r w:rsidR="00284F4D">
          <w:rPr>
            <w:rStyle w:val="Hyperlink"/>
            <w:rFonts w:ascii="Arial" w:eastAsia="Times New Roman" w:hAnsi="Arial" w:cs="Arial"/>
            <w:i w:val="0"/>
            <w:noProof/>
            <w:webHidden/>
          </w:rPr>
          <w:fldChar w:fldCharType="begin"/>
        </w:r>
        <w:r w:rsidR="00284F4D">
          <w:rPr>
            <w:rStyle w:val="Hyperlink"/>
            <w:rFonts w:ascii="Arial" w:eastAsia="Times New Roman" w:hAnsi="Arial" w:cs="Arial"/>
            <w:i w:val="0"/>
            <w:noProof/>
            <w:webHidden/>
          </w:rPr>
          <w:instrText xml:space="preserve"> PAGEREF _Toc454443118 \h </w:instrText>
        </w:r>
        <w:r w:rsidR="00284F4D">
          <w:rPr>
            <w:rStyle w:val="Hyperlink"/>
            <w:rFonts w:ascii="Arial" w:eastAsia="Times New Roman" w:hAnsi="Arial" w:cs="Arial"/>
            <w:i w:val="0"/>
            <w:noProof/>
            <w:webHidden/>
          </w:rPr>
        </w:r>
        <w:r w:rsidR="00284F4D">
          <w:rPr>
            <w:rStyle w:val="Hyperlink"/>
            <w:rFonts w:ascii="Arial" w:eastAsia="Times New Roman" w:hAnsi="Arial" w:cs="Arial"/>
            <w:i w:val="0"/>
            <w:noProof/>
            <w:webHidden/>
          </w:rPr>
          <w:fldChar w:fldCharType="separate"/>
        </w:r>
        <w:r w:rsidR="00284F4D">
          <w:rPr>
            <w:rStyle w:val="Hyperlink"/>
            <w:rFonts w:ascii="Arial" w:eastAsia="Times New Roman" w:hAnsi="Arial" w:cs="Arial"/>
            <w:i w:val="0"/>
            <w:noProof/>
            <w:webHidden/>
          </w:rPr>
          <w:t>15</w:t>
        </w:r>
        <w:r w:rsidR="00284F4D">
          <w:rPr>
            <w:rStyle w:val="Hyperlink"/>
            <w:rFonts w:ascii="Arial" w:eastAsia="Times New Roman" w:hAnsi="Arial" w:cs="Arial"/>
            <w:i w:val="0"/>
            <w:noProof/>
            <w:webHidden/>
          </w:rPr>
          <w:fldChar w:fldCharType="end"/>
        </w:r>
      </w:hyperlink>
    </w:p>
    <w:p w:rsidR="006F5B6C" w:rsidRDefault="009349CD">
      <w:pPr>
        <w:pStyle w:val="TOC2"/>
        <w:tabs>
          <w:tab w:val="left" w:pos="720"/>
          <w:tab w:val="right" w:leader="dot" w:pos="8873"/>
        </w:tabs>
        <w:rPr>
          <w:rStyle w:val="Hyperlink"/>
          <w:rFonts w:ascii="Arial" w:eastAsia="Times New Roman" w:hAnsi="Arial" w:cs="Arial"/>
          <w:i w:val="0"/>
          <w:noProof/>
        </w:rPr>
      </w:pPr>
      <w:hyperlink w:anchor="_Toc454443119" w:history="1">
        <w:r w:rsidR="00284F4D">
          <w:rPr>
            <w:rStyle w:val="Hyperlink"/>
            <w:rFonts w:ascii="Arial" w:eastAsia="Times New Roman" w:hAnsi="Arial" w:cs="Arial"/>
            <w:i w:val="0"/>
            <w:noProof/>
          </w:rPr>
          <w:t>III.</w:t>
        </w:r>
        <w:r w:rsidR="00284F4D">
          <w:rPr>
            <w:rStyle w:val="Hyperlink"/>
            <w:rFonts w:ascii="Arial" w:eastAsia="Times New Roman" w:hAnsi="Arial" w:cs="Arial"/>
            <w:i w:val="0"/>
            <w:noProof/>
          </w:rPr>
          <w:tab/>
          <w:t>Производство за установяване на неизпълнение на задължения</w:t>
        </w:r>
        <w:r w:rsidR="00284F4D">
          <w:rPr>
            <w:rStyle w:val="Hyperlink"/>
            <w:rFonts w:ascii="Arial" w:eastAsia="Times New Roman" w:hAnsi="Arial" w:cs="Arial"/>
            <w:i w:val="0"/>
            <w:noProof/>
            <w:webHidden/>
          </w:rPr>
          <w:tab/>
        </w:r>
        <w:r w:rsidR="00284F4D">
          <w:rPr>
            <w:rStyle w:val="Hyperlink"/>
            <w:rFonts w:ascii="Arial" w:eastAsia="Times New Roman" w:hAnsi="Arial" w:cs="Arial"/>
            <w:i w:val="0"/>
            <w:noProof/>
            <w:webHidden/>
          </w:rPr>
          <w:fldChar w:fldCharType="begin"/>
        </w:r>
        <w:r w:rsidR="00284F4D">
          <w:rPr>
            <w:rStyle w:val="Hyperlink"/>
            <w:rFonts w:ascii="Arial" w:eastAsia="Times New Roman" w:hAnsi="Arial" w:cs="Arial"/>
            <w:i w:val="0"/>
            <w:noProof/>
            <w:webHidden/>
          </w:rPr>
          <w:instrText xml:space="preserve"> PAGEREF _Toc454443119 \h </w:instrText>
        </w:r>
        <w:r w:rsidR="00284F4D">
          <w:rPr>
            <w:rStyle w:val="Hyperlink"/>
            <w:rFonts w:ascii="Arial" w:eastAsia="Times New Roman" w:hAnsi="Arial" w:cs="Arial"/>
            <w:i w:val="0"/>
            <w:noProof/>
            <w:webHidden/>
          </w:rPr>
        </w:r>
        <w:r w:rsidR="00284F4D">
          <w:rPr>
            <w:rStyle w:val="Hyperlink"/>
            <w:rFonts w:ascii="Arial" w:eastAsia="Times New Roman" w:hAnsi="Arial" w:cs="Arial"/>
            <w:i w:val="0"/>
            <w:noProof/>
            <w:webHidden/>
          </w:rPr>
          <w:fldChar w:fldCharType="separate"/>
        </w:r>
        <w:r w:rsidR="00284F4D">
          <w:rPr>
            <w:rStyle w:val="Hyperlink"/>
            <w:rFonts w:ascii="Arial" w:eastAsia="Times New Roman" w:hAnsi="Arial" w:cs="Arial"/>
            <w:i w:val="0"/>
            <w:noProof/>
            <w:webHidden/>
          </w:rPr>
          <w:t>18</w:t>
        </w:r>
        <w:r w:rsidR="00284F4D">
          <w:rPr>
            <w:rStyle w:val="Hyperlink"/>
            <w:rFonts w:ascii="Arial" w:eastAsia="Times New Roman" w:hAnsi="Arial" w:cs="Arial"/>
            <w:i w:val="0"/>
            <w:noProof/>
            <w:webHidden/>
          </w:rPr>
          <w:fldChar w:fldCharType="end"/>
        </w:r>
      </w:hyperlink>
    </w:p>
    <w:p w:rsidR="006F5B6C" w:rsidRDefault="009349CD">
      <w:pPr>
        <w:pStyle w:val="TOC2"/>
        <w:tabs>
          <w:tab w:val="left" w:pos="720"/>
          <w:tab w:val="right" w:leader="dot" w:pos="8873"/>
        </w:tabs>
        <w:rPr>
          <w:rStyle w:val="Hyperlink"/>
          <w:rFonts w:ascii="Arial" w:eastAsia="Times New Roman" w:hAnsi="Arial" w:cs="Arial"/>
          <w:i w:val="0"/>
          <w:noProof/>
          <w:spacing w:val="-4"/>
        </w:rPr>
      </w:pPr>
      <w:hyperlink w:anchor="_Toc454443120" w:history="1">
        <w:r w:rsidR="00284F4D">
          <w:rPr>
            <w:rStyle w:val="Hyperlink"/>
            <w:rFonts w:ascii="Arial" w:eastAsia="Times New Roman" w:hAnsi="Arial" w:cs="Arial"/>
            <w:i w:val="0"/>
            <w:noProof/>
            <w:spacing w:val="-4"/>
          </w:rPr>
          <w:t>IV.</w:t>
        </w:r>
        <w:r w:rsidR="00284F4D">
          <w:rPr>
            <w:rStyle w:val="Hyperlink"/>
            <w:rFonts w:ascii="Arial" w:eastAsia="Times New Roman" w:hAnsi="Arial" w:cs="Arial"/>
            <w:i w:val="0"/>
            <w:noProof/>
            <w:spacing w:val="-4"/>
          </w:rPr>
          <w:tab/>
          <w:t>Преди започване на производство за установяване на неизпълнение на задължения</w:t>
        </w:r>
        <w:r w:rsidR="00284F4D">
          <w:rPr>
            <w:rStyle w:val="Hyperlink"/>
            <w:rFonts w:ascii="Arial" w:eastAsia="Times New Roman" w:hAnsi="Arial" w:cs="Arial"/>
            <w:i w:val="0"/>
            <w:noProof/>
            <w:webHidden/>
            <w:spacing w:val="-4"/>
          </w:rPr>
          <w:tab/>
        </w:r>
        <w:r w:rsidR="00284F4D">
          <w:rPr>
            <w:rStyle w:val="Hyperlink"/>
            <w:rFonts w:ascii="Arial" w:eastAsia="Times New Roman" w:hAnsi="Arial" w:cs="Arial"/>
            <w:i w:val="0"/>
            <w:noProof/>
            <w:webHidden/>
            <w:spacing w:val="-4"/>
          </w:rPr>
          <w:fldChar w:fldCharType="begin"/>
        </w:r>
        <w:r w:rsidR="00284F4D">
          <w:rPr>
            <w:rStyle w:val="Hyperlink"/>
            <w:rFonts w:ascii="Arial" w:eastAsia="Times New Roman" w:hAnsi="Arial" w:cs="Arial"/>
            <w:i w:val="0"/>
            <w:noProof/>
            <w:webHidden/>
            <w:spacing w:val="-4"/>
          </w:rPr>
          <w:instrText xml:space="preserve"> PAGEREF _Toc454443120 \h </w:instrText>
        </w:r>
        <w:r w:rsidR="00284F4D">
          <w:rPr>
            <w:rStyle w:val="Hyperlink"/>
            <w:rFonts w:ascii="Arial" w:eastAsia="Times New Roman" w:hAnsi="Arial" w:cs="Arial"/>
            <w:i w:val="0"/>
            <w:noProof/>
            <w:webHidden/>
            <w:spacing w:val="-4"/>
          </w:rPr>
        </w:r>
        <w:r w:rsidR="00284F4D">
          <w:rPr>
            <w:rStyle w:val="Hyperlink"/>
            <w:rFonts w:ascii="Arial" w:eastAsia="Times New Roman" w:hAnsi="Arial" w:cs="Arial"/>
            <w:i w:val="0"/>
            <w:noProof/>
            <w:webHidden/>
            <w:spacing w:val="-4"/>
          </w:rPr>
          <w:fldChar w:fldCharType="separate"/>
        </w:r>
        <w:r w:rsidR="00284F4D">
          <w:rPr>
            <w:rStyle w:val="Hyperlink"/>
            <w:rFonts w:ascii="Arial" w:eastAsia="Times New Roman" w:hAnsi="Arial" w:cs="Arial"/>
            <w:i w:val="0"/>
            <w:noProof/>
            <w:webHidden/>
            <w:spacing w:val="-4"/>
          </w:rPr>
          <w:t>20</w:t>
        </w:r>
        <w:r w:rsidR="00284F4D">
          <w:rPr>
            <w:rStyle w:val="Hyperlink"/>
            <w:rFonts w:ascii="Arial" w:eastAsia="Times New Roman" w:hAnsi="Arial" w:cs="Arial"/>
            <w:i w:val="0"/>
            <w:noProof/>
            <w:webHidden/>
            <w:spacing w:val="-4"/>
          </w:rPr>
          <w:fldChar w:fldCharType="end"/>
        </w:r>
      </w:hyperlink>
    </w:p>
    <w:p w:rsidR="006F5B6C" w:rsidRDefault="009349CD">
      <w:pPr>
        <w:pStyle w:val="TOC2"/>
        <w:tabs>
          <w:tab w:val="left" w:pos="720"/>
          <w:tab w:val="right" w:leader="dot" w:pos="8873"/>
        </w:tabs>
        <w:rPr>
          <w:rStyle w:val="Hyperlink"/>
          <w:rFonts w:ascii="Arial" w:eastAsia="Times New Roman" w:hAnsi="Arial" w:cs="Arial"/>
          <w:i w:val="0"/>
          <w:noProof/>
        </w:rPr>
      </w:pPr>
      <w:hyperlink w:anchor="_Toc454443121" w:history="1">
        <w:r w:rsidR="00284F4D">
          <w:rPr>
            <w:rStyle w:val="Hyperlink"/>
            <w:rFonts w:ascii="Arial" w:eastAsia="Times New Roman" w:hAnsi="Arial" w:cs="Arial"/>
            <w:i w:val="0"/>
            <w:noProof/>
          </w:rPr>
          <w:t>1.</w:t>
        </w:r>
        <w:r w:rsidR="00284F4D">
          <w:rPr>
            <w:rStyle w:val="Hyperlink"/>
            <w:rFonts w:ascii="Arial" w:eastAsia="Times New Roman" w:hAnsi="Arial" w:cs="Arial"/>
            <w:i w:val="0"/>
            <w:noProof/>
          </w:rPr>
          <w:tab/>
          <w:t>Установяване на проблеми</w:t>
        </w:r>
        <w:r w:rsidR="00284F4D">
          <w:rPr>
            <w:rStyle w:val="Hyperlink"/>
            <w:rFonts w:ascii="Arial" w:eastAsia="Times New Roman" w:hAnsi="Arial" w:cs="Arial"/>
            <w:i w:val="0"/>
            <w:noProof/>
            <w:webHidden/>
          </w:rPr>
          <w:tab/>
        </w:r>
        <w:r w:rsidR="00284F4D">
          <w:rPr>
            <w:rStyle w:val="Hyperlink"/>
            <w:rFonts w:ascii="Arial" w:eastAsia="Times New Roman" w:hAnsi="Arial" w:cs="Arial"/>
            <w:i w:val="0"/>
            <w:noProof/>
            <w:webHidden/>
          </w:rPr>
          <w:fldChar w:fldCharType="begin"/>
        </w:r>
        <w:r w:rsidR="00284F4D">
          <w:rPr>
            <w:rStyle w:val="Hyperlink"/>
            <w:rFonts w:ascii="Arial" w:eastAsia="Times New Roman" w:hAnsi="Arial" w:cs="Arial"/>
            <w:i w:val="0"/>
            <w:noProof/>
            <w:webHidden/>
          </w:rPr>
          <w:instrText xml:space="preserve"> PAGEREF _Toc454443121 \h </w:instrText>
        </w:r>
        <w:r w:rsidR="00284F4D">
          <w:rPr>
            <w:rStyle w:val="Hyperlink"/>
            <w:rFonts w:ascii="Arial" w:eastAsia="Times New Roman" w:hAnsi="Arial" w:cs="Arial"/>
            <w:i w:val="0"/>
            <w:noProof/>
            <w:webHidden/>
          </w:rPr>
        </w:r>
        <w:r w:rsidR="00284F4D">
          <w:rPr>
            <w:rStyle w:val="Hyperlink"/>
            <w:rFonts w:ascii="Arial" w:eastAsia="Times New Roman" w:hAnsi="Arial" w:cs="Arial"/>
            <w:i w:val="0"/>
            <w:noProof/>
            <w:webHidden/>
          </w:rPr>
          <w:fldChar w:fldCharType="separate"/>
        </w:r>
        <w:r w:rsidR="00284F4D">
          <w:rPr>
            <w:rStyle w:val="Hyperlink"/>
            <w:rFonts w:ascii="Arial" w:eastAsia="Times New Roman" w:hAnsi="Arial" w:cs="Arial"/>
            <w:i w:val="0"/>
            <w:noProof/>
            <w:webHidden/>
          </w:rPr>
          <w:t>20</w:t>
        </w:r>
        <w:r w:rsidR="00284F4D">
          <w:rPr>
            <w:rStyle w:val="Hyperlink"/>
            <w:rFonts w:ascii="Arial" w:eastAsia="Times New Roman" w:hAnsi="Arial" w:cs="Arial"/>
            <w:i w:val="0"/>
            <w:noProof/>
            <w:webHidden/>
          </w:rPr>
          <w:fldChar w:fldCharType="end"/>
        </w:r>
      </w:hyperlink>
    </w:p>
    <w:p w:rsidR="006F5B6C" w:rsidRDefault="009349CD">
      <w:pPr>
        <w:pStyle w:val="TOC2"/>
        <w:tabs>
          <w:tab w:val="left" w:pos="720"/>
          <w:tab w:val="right" w:leader="dot" w:pos="8873"/>
        </w:tabs>
        <w:rPr>
          <w:rStyle w:val="Hyperlink"/>
          <w:rFonts w:ascii="Arial" w:eastAsia="Times New Roman" w:hAnsi="Arial" w:cs="Arial"/>
          <w:i w:val="0"/>
          <w:noProof/>
        </w:rPr>
      </w:pPr>
      <w:hyperlink w:anchor="_Toc454443122" w:history="1">
        <w:r w:rsidR="00284F4D">
          <w:rPr>
            <w:rStyle w:val="Hyperlink"/>
            <w:rFonts w:ascii="Arial" w:eastAsia="Times New Roman" w:hAnsi="Arial" w:cs="Arial"/>
            <w:i w:val="0"/>
            <w:noProof/>
          </w:rPr>
          <w:t>1.1.</w:t>
        </w:r>
        <w:r w:rsidR="00284F4D">
          <w:rPr>
            <w:rStyle w:val="Hyperlink"/>
            <w:rFonts w:ascii="Arial" w:eastAsia="Times New Roman" w:hAnsi="Arial" w:cs="Arial"/>
            <w:i w:val="0"/>
            <w:noProof/>
          </w:rPr>
          <w:tab/>
          <w:t>Образуване на преписки по собствена инициатива</w:t>
        </w:r>
        <w:r w:rsidR="00284F4D">
          <w:rPr>
            <w:rStyle w:val="Hyperlink"/>
            <w:rFonts w:ascii="Arial" w:eastAsia="Times New Roman" w:hAnsi="Arial" w:cs="Arial"/>
            <w:i w:val="0"/>
            <w:noProof/>
            <w:webHidden/>
          </w:rPr>
          <w:tab/>
        </w:r>
        <w:r w:rsidR="00284F4D">
          <w:rPr>
            <w:rStyle w:val="Hyperlink"/>
            <w:rFonts w:ascii="Arial" w:eastAsia="Times New Roman" w:hAnsi="Arial" w:cs="Arial"/>
            <w:i w:val="0"/>
            <w:noProof/>
            <w:webHidden/>
          </w:rPr>
          <w:fldChar w:fldCharType="begin"/>
        </w:r>
        <w:r w:rsidR="00284F4D">
          <w:rPr>
            <w:rStyle w:val="Hyperlink"/>
            <w:rFonts w:ascii="Arial" w:eastAsia="Times New Roman" w:hAnsi="Arial" w:cs="Arial"/>
            <w:i w:val="0"/>
            <w:noProof/>
            <w:webHidden/>
          </w:rPr>
          <w:instrText xml:space="preserve"> PAGEREF _Toc454443122 \h </w:instrText>
        </w:r>
        <w:r w:rsidR="00284F4D">
          <w:rPr>
            <w:rStyle w:val="Hyperlink"/>
            <w:rFonts w:ascii="Arial" w:eastAsia="Times New Roman" w:hAnsi="Arial" w:cs="Arial"/>
            <w:i w:val="0"/>
            <w:noProof/>
            <w:webHidden/>
          </w:rPr>
        </w:r>
        <w:r w:rsidR="00284F4D">
          <w:rPr>
            <w:rStyle w:val="Hyperlink"/>
            <w:rFonts w:ascii="Arial" w:eastAsia="Times New Roman" w:hAnsi="Arial" w:cs="Arial"/>
            <w:i w:val="0"/>
            <w:noProof/>
            <w:webHidden/>
          </w:rPr>
          <w:fldChar w:fldCharType="separate"/>
        </w:r>
        <w:r w:rsidR="00284F4D">
          <w:rPr>
            <w:rStyle w:val="Hyperlink"/>
            <w:rFonts w:ascii="Arial" w:eastAsia="Times New Roman" w:hAnsi="Arial" w:cs="Arial"/>
            <w:i w:val="0"/>
            <w:noProof/>
            <w:webHidden/>
          </w:rPr>
          <w:t>20</w:t>
        </w:r>
        <w:r w:rsidR="00284F4D">
          <w:rPr>
            <w:rStyle w:val="Hyperlink"/>
            <w:rFonts w:ascii="Arial" w:eastAsia="Times New Roman" w:hAnsi="Arial" w:cs="Arial"/>
            <w:i w:val="0"/>
            <w:noProof/>
            <w:webHidden/>
          </w:rPr>
          <w:fldChar w:fldCharType="end"/>
        </w:r>
      </w:hyperlink>
    </w:p>
    <w:p w:rsidR="006F5B6C" w:rsidRDefault="009349CD">
      <w:pPr>
        <w:pStyle w:val="TOC2"/>
        <w:tabs>
          <w:tab w:val="left" w:pos="720"/>
          <w:tab w:val="right" w:leader="dot" w:pos="8873"/>
        </w:tabs>
        <w:rPr>
          <w:rStyle w:val="Hyperlink"/>
          <w:rFonts w:ascii="Arial" w:eastAsia="Times New Roman" w:hAnsi="Arial" w:cs="Arial"/>
          <w:i w:val="0"/>
          <w:noProof/>
        </w:rPr>
      </w:pPr>
      <w:hyperlink w:anchor="_Toc454443123" w:history="1">
        <w:r w:rsidR="00284F4D">
          <w:rPr>
            <w:rStyle w:val="Hyperlink"/>
            <w:rFonts w:ascii="Arial" w:eastAsia="Times New Roman" w:hAnsi="Arial" w:cs="Arial"/>
            <w:i w:val="0"/>
            <w:noProof/>
          </w:rPr>
          <w:t>1.2.</w:t>
        </w:r>
        <w:r w:rsidR="00284F4D">
          <w:rPr>
            <w:rStyle w:val="Hyperlink"/>
            <w:rFonts w:ascii="Arial" w:eastAsia="Times New Roman" w:hAnsi="Arial" w:cs="Arial"/>
            <w:i w:val="0"/>
            <w:noProof/>
          </w:rPr>
          <w:tab/>
          <w:t>Жалби и петиции</w:t>
        </w:r>
        <w:r w:rsidR="00284F4D">
          <w:rPr>
            <w:rStyle w:val="Hyperlink"/>
            <w:rFonts w:ascii="Arial" w:eastAsia="Times New Roman" w:hAnsi="Arial" w:cs="Arial"/>
            <w:i w:val="0"/>
            <w:noProof/>
            <w:webHidden/>
          </w:rPr>
          <w:tab/>
        </w:r>
        <w:r w:rsidR="00284F4D">
          <w:rPr>
            <w:rStyle w:val="Hyperlink"/>
            <w:rFonts w:ascii="Arial" w:eastAsia="Times New Roman" w:hAnsi="Arial" w:cs="Arial"/>
            <w:i w:val="0"/>
            <w:noProof/>
            <w:webHidden/>
          </w:rPr>
          <w:fldChar w:fldCharType="begin"/>
        </w:r>
        <w:r w:rsidR="00284F4D">
          <w:rPr>
            <w:rStyle w:val="Hyperlink"/>
            <w:rFonts w:ascii="Arial" w:eastAsia="Times New Roman" w:hAnsi="Arial" w:cs="Arial"/>
            <w:i w:val="0"/>
            <w:noProof/>
            <w:webHidden/>
          </w:rPr>
          <w:instrText xml:space="preserve"> PAGEREF _Toc454443123 \h </w:instrText>
        </w:r>
        <w:r w:rsidR="00284F4D">
          <w:rPr>
            <w:rStyle w:val="Hyperlink"/>
            <w:rFonts w:ascii="Arial" w:eastAsia="Times New Roman" w:hAnsi="Arial" w:cs="Arial"/>
            <w:i w:val="0"/>
            <w:noProof/>
            <w:webHidden/>
          </w:rPr>
        </w:r>
        <w:r w:rsidR="00284F4D">
          <w:rPr>
            <w:rStyle w:val="Hyperlink"/>
            <w:rFonts w:ascii="Arial" w:eastAsia="Times New Roman" w:hAnsi="Arial" w:cs="Arial"/>
            <w:i w:val="0"/>
            <w:noProof/>
            <w:webHidden/>
          </w:rPr>
          <w:fldChar w:fldCharType="separate"/>
        </w:r>
        <w:r w:rsidR="00284F4D">
          <w:rPr>
            <w:rStyle w:val="Hyperlink"/>
            <w:rFonts w:ascii="Arial" w:eastAsia="Times New Roman" w:hAnsi="Arial" w:cs="Arial"/>
            <w:i w:val="0"/>
            <w:noProof/>
            <w:webHidden/>
          </w:rPr>
          <w:t>20</w:t>
        </w:r>
        <w:r w:rsidR="00284F4D">
          <w:rPr>
            <w:rStyle w:val="Hyperlink"/>
            <w:rFonts w:ascii="Arial" w:eastAsia="Times New Roman" w:hAnsi="Arial" w:cs="Arial"/>
            <w:i w:val="0"/>
            <w:noProof/>
            <w:webHidden/>
          </w:rPr>
          <w:fldChar w:fldCharType="end"/>
        </w:r>
      </w:hyperlink>
    </w:p>
    <w:p w:rsidR="006F5B6C" w:rsidRDefault="009349CD">
      <w:pPr>
        <w:pStyle w:val="TOC2"/>
        <w:tabs>
          <w:tab w:val="left" w:pos="720"/>
          <w:tab w:val="right" w:leader="dot" w:pos="8873"/>
        </w:tabs>
        <w:rPr>
          <w:rStyle w:val="Hyperlink"/>
          <w:rFonts w:ascii="Arial" w:eastAsia="Times New Roman" w:hAnsi="Arial" w:cs="Arial"/>
          <w:i w:val="0"/>
          <w:noProof/>
        </w:rPr>
      </w:pPr>
      <w:hyperlink w:anchor="_Toc454443124" w:history="1">
        <w:r w:rsidR="00284F4D">
          <w:rPr>
            <w:rStyle w:val="Hyperlink"/>
            <w:rFonts w:ascii="Arial" w:eastAsia="Times New Roman" w:hAnsi="Arial" w:cs="Arial"/>
            <w:i w:val="0"/>
            <w:noProof/>
          </w:rPr>
          <w:t>2.</w:t>
        </w:r>
        <w:r w:rsidR="00284F4D">
          <w:rPr>
            <w:rStyle w:val="Hyperlink"/>
            <w:rFonts w:ascii="Arial" w:eastAsia="Times New Roman" w:hAnsi="Arial" w:cs="Arial"/>
            <w:i w:val="0"/>
            <w:noProof/>
          </w:rPr>
          <w:tab/>
          <w:t>Решаване на проблеми</w:t>
        </w:r>
        <w:r w:rsidR="00284F4D">
          <w:rPr>
            <w:rStyle w:val="Hyperlink"/>
            <w:rFonts w:ascii="Arial" w:eastAsia="Times New Roman" w:hAnsi="Arial" w:cs="Arial"/>
            <w:i w:val="0"/>
            <w:noProof/>
            <w:webHidden/>
          </w:rPr>
          <w:tab/>
        </w:r>
        <w:r w:rsidR="00284F4D">
          <w:rPr>
            <w:rStyle w:val="Hyperlink"/>
            <w:rFonts w:ascii="Arial" w:eastAsia="Times New Roman" w:hAnsi="Arial" w:cs="Arial"/>
            <w:i w:val="0"/>
            <w:noProof/>
            <w:webHidden/>
          </w:rPr>
          <w:fldChar w:fldCharType="begin"/>
        </w:r>
        <w:r w:rsidR="00284F4D">
          <w:rPr>
            <w:rStyle w:val="Hyperlink"/>
            <w:rFonts w:ascii="Arial" w:eastAsia="Times New Roman" w:hAnsi="Arial" w:cs="Arial"/>
            <w:i w:val="0"/>
            <w:noProof/>
            <w:webHidden/>
          </w:rPr>
          <w:instrText xml:space="preserve"> PAGEREF _Toc454443124 \h </w:instrText>
        </w:r>
        <w:r w:rsidR="00284F4D">
          <w:rPr>
            <w:rStyle w:val="Hyperlink"/>
            <w:rFonts w:ascii="Arial" w:eastAsia="Times New Roman" w:hAnsi="Arial" w:cs="Arial"/>
            <w:i w:val="0"/>
            <w:noProof/>
            <w:webHidden/>
          </w:rPr>
        </w:r>
        <w:r w:rsidR="00284F4D">
          <w:rPr>
            <w:rStyle w:val="Hyperlink"/>
            <w:rFonts w:ascii="Arial" w:eastAsia="Times New Roman" w:hAnsi="Arial" w:cs="Arial"/>
            <w:i w:val="0"/>
            <w:noProof/>
            <w:webHidden/>
          </w:rPr>
          <w:fldChar w:fldCharType="separate"/>
        </w:r>
        <w:r w:rsidR="00284F4D">
          <w:rPr>
            <w:rStyle w:val="Hyperlink"/>
            <w:rFonts w:ascii="Arial" w:eastAsia="Times New Roman" w:hAnsi="Arial" w:cs="Arial"/>
            <w:i w:val="0"/>
            <w:noProof/>
            <w:webHidden/>
          </w:rPr>
          <w:t>22</w:t>
        </w:r>
        <w:r w:rsidR="00284F4D">
          <w:rPr>
            <w:rStyle w:val="Hyperlink"/>
            <w:rFonts w:ascii="Arial" w:eastAsia="Times New Roman" w:hAnsi="Arial" w:cs="Arial"/>
            <w:i w:val="0"/>
            <w:noProof/>
            <w:webHidden/>
          </w:rPr>
          <w:fldChar w:fldCharType="end"/>
        </w:r>
      </w:hyperlink>
    </w:p>
    <w:p w:rsidR="006F5B6C" w:rsidRDefault="009349CD">
      <w:pPr>
        <w:pStyle w:val="TOC2"/>
        <w:tabs>
          <w:tab w:val="left" w:pos="720"/>
          <w:tab w:val="right" w:leader="dot" w:pos="8873"/>
        </w:tabs>
        <w:rPr>
          <w:rStyle w:val="Hyperlink"/>
          <w:rFonts w:ascii="Arial" w:eastAsia="Times New Roman" w:hAnsi="Arial" w:cs="Arial"/>
          <w:i w:val="0"/>
          <w:noProof/>
        </w:rPr>
      </w:pPr>
      <w:hyperlink w:anchor="_Toc454443125" w:history="1">
        <w:r w:rsidR="00284F4D">
          <w:rPr>
            <w:rStyle w:val="Hyperlink"/>
            <w:rFonts w:ascii="Arial" w:eastAsia="Times New Roman" w:hAnsi="Arial" w:cs="Arial"/>
            <w:i w:val="0"/>
            <w:noProof/>
          </w:rPr>
          <w:t>V.</w:t>
        </w:r>
        <w:r w:rsidR="00284F4D">
          <w:rPr>
            <w:rStyle w:val="Hyperlink"/>
            <w:rFonts w:ascii="Arial" w:eastAsia="Times New Roman" w:hAnsi="Arial" w:cs="Arial"/>
            <w:i w:val="0"/>
            <w:noProof/>
          </w:rPr>
          <w:tab/>
          <w:t>Фази в производството за установяване на неизпълнение на задължения</w:t>
        </w:r>
        <w:r w:rsidR="00284F4D">
          <w:rPr>
            <w:rStyle w:val="Hyperlink"/>
            <w:rFonts w:ascii="Arial" w:eastAsia="Times New Roman" w:hAnsi="Arial" w:cs="Arial"/>
            <w:i w:val="0"/>
            <w:noProof/>
            <w:webHidden/>
          </w:rPr>
          <w:tab/>
        </w:r>
        <w:r w:rsidR="00284F4D">
          <w:rPr>
            <w:rStyle w:val="Hyperlink"/>
            <w:rFonts w:ascii="Arial" w:eastAsia="Times New Roman" w:hAnsi="Arial" w:cs="Arial"/>
            <w:i w:val="0"/>
            <w:noProof/>
            <w:webHidden/>
          </w:rPr>
          <w:fldChar w:fldCharType="begin"/>
        </w:r>
        <w:r w:rsidR="00284F4D">
          <w:rPr>
            <w:rStyle w:val="Hyperlink"/>
            <w:rFonts w:ascii="Arial" w:eastAsia="Times New Roman" w:hAnsi="Arial" w:cs="Arial"/>
            <w:i w:val="0"/>
            <w:noProof/>
            <w:webHidden/>
          </w:rPr>
          <w:instrText xml:space="preserve"> PAGEREF _Toc454443125 \h </w:instrText>
        </w:r>
        <w:r w:rsidR="00284F4D">
          <w:rPr>
            <w:rStyle w:val="Hyperlink"/>
            <w:rFonts w:ascii="Arial" w:eastAsia="Times New Roman" w:hAnsi="Arial" w:cs="Arial"/>
            <w:i w:val="0"/>
            <w:noProof/>
            <w:webHidden/>
          </w:rPr>
        </w:r>
        <w:r w:rsidR="00284F4D">
          <w:rPr>
            <w:rStyle w:val="Hyperlink"/>
            <w:rFonts w:ascii="Arial" w:eastAsia="Times New Roman" w:hAnsi="Arial" w:cs="Arial"/>
            <w:i w:val="0"/>
            <w:noProof/>
            <w:webHidden/>
          </w:rPr>
          <w:fldChar w:fldCharType="separate"/>
        </w:r>
        <w:r w:rsidR="00284F4D">
          <w:rPr>
            <w:rStyle w:val="Hyperlink"/>
            <w:rFonts w:ascii="Arial" w:eastAsia="Times New Roman" w:hAnsi="Arial" w:cs="Arial"/>
            <w:i w:val="0"/>
            <w:noProof/>
            <w:webHidden/>
          </w:rPr>
          <w:t>25</w:t>
        </w:r>
        <w:r w:rsidR="00284F4D">
          <w:rPr>
            <w:rStyle w:val="Hyperlink"/>
            <w:rFonts w:ascii="Arial" w:eastAsia="Times New Roman" w:hAnsi="Arial" w:cs="Arial"/>
            <w:i w:val="0"/>
            <w:noProof/>
            <w:webHidden/>
          </w:rPr>
          <w:fldChar w:fldCharType="end"/>
        </w:r>
      </w:hyperlink>
    </w:p>
    <w:p w:rsidR="006F5B6C" w:rsidRDefault="009349CD">
      <w:pPr>
        <w:pStyle w:val="TOC2"/>
        <w:tabs>
          <w:tab w:val="left" w:pos="720"/>
          <w:tab w:val="right" w:leader="dot" w:pos="8873"/>
        </w:tabs>
        <w:rPr>
          <w:rStyle w:val="Hyperlink"/>
          <w:rFonts w:ascii="Arial" w:eastAsia="Times New Roman" w:hAnsi="Arial" w:cs="Arial"/>
          <w:i w:val="0"/>
          <w:noProof/>
        </w:rPr>
      </w:pPr>
      <w:hyperlink w:anchor="_Toc454443126" w:history="1">
        <w:r w:rsidR="00284F4D">
          <w:rPr>
            <w:rStyle w:val="Hyperlink"/>
            <w:rFonts w:ascii="Arial" w:eastAsia="Times New Roman" w:hAnsi="Arial" w:cs="Arial"/>
            <w:i w:val="0"/>
            <w:noProof/>
          </w:rPr>
          <w:t>1.</w:t>
        </w:r>
        <w:r w:rsidR="00284F4D">
          <w:rPr>
            <w:rStyle w:val="Hyperlink"/>
            <w:rFonts w:ascii="Arial" w:eastAsia="Times New Roman" w:hAnsi="Arial" w:cs="Arial"/>
            <w:i w:val="0"/>
            <w:noProof/>
          </w:rPr>
          <w:tab/>
          <w:t>Досъдебна фаза</w:t>
        </w:r>
        <w:r w:rsidR="00284F4D">
          <w:rPr>
            <w:rStyle w:val="Hyperlink"/>
            <w:rFonts w:ascii="Arial" w:eastAsia="Times New Roman" w:hAnsi="Arial" w:cs="Arial"/>
            <w:i w:val="0"/>
            <w:noProof/>
            <w:webHidden/>
          </w:rPr>
          <w:tab/>
        </w:r>
        <w:r w:rsidR="00284F4D">
          <w:rPr>
            <w:rStyle w:val="Hyperlink"/>
            <w:rFonts w:ascii="Arial" w:eastAsia="Times New Roman" w:hAnsi="Arial" w:cs="Arial"/>
            <w:i w:val="0"/>
            <w:noProof/>
            <w:webHidden/>
          </w:rPr>
          <w:fldChar w:fldCharType="begin"/>
        </w:r>
        <w:r w:rsidR="00284F4D">
          <w:rPr>
            <w:rStyle w:val="Hyperlink"/>
            <w:rFonts w:ascii="Arial" w:eastAsia="Times New Roman" w:hAnsi="Arial" w:cs="Arial"/>
            <w:i w:val="0"/>
            <w:noProof/>
            <w:webHidden/>
          </w:rPr>
          <w:instrText xml:space="preserve"> PAGEREF _Toc454443126 \h </w:instrText>
        </w:r>
        <w:r w:rsidR="00284F4D">
          <w:rPr>
            <w:rStyle w:val="Hyperlink"/>
            <w:rFonts w:ascii="Arial" w:eastAsia="Times New Roman" w:hAnsi="Arial" w:cs="Arial"/>
            <w:i w:val="0"/>
            <w:noProof/>
            <w:webHidden/>
          </w:rPr>
        </w:r>
        <w:r w:rsidR="00284F4D">
          <w:rPr>
            <w:rStyle w:val="Hyperlink"/>
            <w:rFonts w:ascii="Arial" w:eastAsia="Times New Roman" w:hAnsi="Arial" w:cs="Arial"/>
            <w:i w:val="0"/>
            <w:noProof/>
            <w:webHidden/>
          </w:rPr>
          <w:fldChar w:fldCharType="separate"/>
        </w:r>
        <w:r w:rsidR="00284F4D">
          <w:rPr>
            <w:rStyle w:val="Hyperlink"/>
            <w:rFonts w:ascii="Arial" w:eastAsia="Times New Roman" w:hAnsi="Arial" w:cs="Arial"/>
            <w:i w:val="0"/>
            <w:noProof/>
            <w:webHidden/>
          </w:rPr>
          <w:t>25</w:t>
        </w:r>
        <w:r w:rsidR="00284F4D">
          <w:rPr>
            <w:rStyle w:val="Hyperlink"/>
            <w:rFonts w:ascii="Arial" w:eastAsia="Times New Roman" w:hAnsi="Arial" w:cs="Arial"/>
            <w:i w:val="0"/>
            <w:noProof/>
            <w:webHidden/>
          </w:rPr>
          <w:fldChar w:fldCharType="end"/>
        </w:r>
      </w:hyperlink>
    </w:p>
    <w:p w:rsidR="006F5B6C" w:rsidRDefault="009349CD">
      <w:pPr>
        <w:pStyle w:val="TOC2"/>
        <w:tabs>
          <w:tab w:val="left" w:pos="720"/>
          <w:tab w:val="right" w:leader="dot" w:pos="8873"/>
        </w:tabs>
        <w:rPr>
          <w:rStyle w:val="Hyperlink"/>
          <w:rFonts w:ascii="Arial" w:eastAsia="Times New Roman" w:hAnsi="Arial" w:cs="Arial"/>
          <w:i w:val="0"/>
          <w:noProof/>
        </w:rPr>
      </w:pPr>
      <w:hyperlink w:anchor="_Toc454443127" w:history="1">
        <w:r w:rsidR="00284F4D">
          <w:rPr>
            <w:rStyle w:val="Hyperlink"/>
            <w:rFonts w:ascii="Arial" w:eastAsia="Times New Roman" w:hAnsi="Arial" w:cs="Arial"/>
            <w:i w:val="0"/>
            <w:noProof/>
          </w:rPr>
          <w:t>2.</w:t>
        </w:r>
        <w:r w:rsidR="00284F4D">
          <w:rPr>
            <w:rStyle w:val="Hyperlink"/>
            <w:rFonts w:ascii="Arial" w:eastAsia="Times New Roman" w:hAnsi="Arial" w:cs="Arial"/>
            <w:i w:val="0"/>
            <w:noProof/>
          </w:rPr>
          <w:tab/>
          <w:t>Решения на Съда на Европейския съюз съгласно член 258 и член 260, параграф 2 от ДФЕС</w:t>
        </w:r>
        <w:r w:rsidR="00284F4D">
          <w:rPr>
            <w:rStyle w:val="Hyperlink"/>
            <w:rFonts w:ascii="Arial" w:eastAsia="Times New Roman" w:hAnsi="Arial" w:cs="Arial"/>
            <w:i w:val="0"/>
            <w:noProof/>
            <w:webHidden/>
          </w:rPr>
          <w:tab/>
        </w:r>
        <w:r w:rsidR="00284F4D">
          <w:rPr>
            <w:rStyle w:val="Hyperlink"/>
            <w:rFonts w:ascii="Arial" w:eastAsia="Times New Roman" w:hAnsi="Arial" w:cs="Arial"/>
            <w:i w:val="0"/>
            <w:noProof/>
            <w:webHidden/>
          </w:rPr>
          <w:fldChar w:fldCharType="begin"/>
        </w:r>
        <w:r w:rsidR="00284F4D">
          <w:rPr>
            <w:rStyle w:val="Hyperlink"/>
            <w:rFonts w:ascii="Arial" w:eastAsia="Times New Roman" w:hAnsi="Arial" w:cs="Arial"/>
            <w:i w:val="0"/>
            <w:noProof/>
            <w:webHidden/>
          </w:rPr>
          <w:instrText xml:space="preserve"> PAGEREF _Toc454443127 \h </w:instrText>
        </w:r>
        <w:r w:rsidR="00284F4D">
          <w:rPr>
            <w:rStyle w:val="Hyperlink"/>
            <w:rFonts w:ascii="Arial" w:eastAsia="Times New Roman" w:hAnsi="Arial" w:cs="Arial"/>
            <w:i w:val="0"/>
            <w:noProof/>
            <w:webHidden/>
          </w:rPr>
        </w:r>
        <w:r w:rsidR="00284F4D">
          <w:rPr>
            <w:rStyle w:val="Hyperlink"/>
            <w:rFonts w:ascii="Arial" w:eastAsia="Times New Roman" w:hAnsi="Arial" w:cs="Arial"/>
            <w:i w:val="0"/>
            <w:noProof/>
            <w:webHidden/>
          </w:rPr>
          <w:fldChar w:fldCharType="separate"/>
        </w:r>
        <w:r w:rsidR="00284F4D">
          <w:rPr>
            <w:rStyle w:val="Hyperlink"/>
            <w:rFonts w:ascii="Arial" w:eastAsia="Times New Roman" w:hAnsi="Arial" w:cs="Arial"/>
            <w:i w:val="0"/>
            <w:noProof/>
            <w:webHidden/>
          </w:rPr>
          <w:t>29</w:t>
        </w:r>
        <w:r w:rsidR="00284F4D">
          <w:rPr>
            <w:rStyle w:val="Hyperlink"/>
            <w:rFonts w:ascii="Arial" w:eastAsia="Times New Roman" w:hAnsi="Arial" w:cs="Arial"/>
            <w:i w:val="0"/>
            <w:noProof/>
            <w:webHidden/>
          </w:rPr>
          <w:fldChar w:fldCharType="end"/>
        </w:r>
      </w:hyperlink>
    </w:p>
    <w:p w:rsidR="006F5B6C" w:rsidRDefault="009349CD">
      <w:pPr>
        <w:pStyle w:val="TOC2"/>
        <w:tabs>
          <w:tab w:val="left" w:pos="720"/>
          <w:tab w:val="right" w:leader="dot" w:pos="8873"/>
        </w:tabs>
        <w:rPr>
          <w:rStyle w:val="Hyperlink"/>
          <w:rFonts w:ascii="Arial" w:eastAsia="Times New Roman" w:hAnsi="Arial" w:cs="Arial"/>
          <w:i w:val="0"/>
          <w:noProof/>
        </w:rPr>
      </w:pPr>
      <w:hyperlink w:anchor="_Toc454443128" w:history="1">
        <w:r w:rsidR="00284F4D">
          <w:rPr>
            <w:rStyle w:val="Hyperlink"/>
            <w:rFonts w:ascii="Arial" w:eastAsia="Times New Roman" w:hAnsi="Arial" w:cs="Arial"/>
            <w:i w:val="0"/>
            <w:noProof/>
          </w:rPr>
          <w:t>VI.</w:t>
        </w:r>
        <w:r w:rsidR="00284F4D">
          <w:rPr>
            <w:rStyle w:val="Hyperlink"/>
            <w:rFonts w:ascii="Arial" w:eastAsia="Times New Roman" w:hAnsi="Arial" w:cs="Arial"/>
            <w:i w:val="0"/>
            <w:noProof/>
          </w:rPr>
          <w:tab/>
          <w:t>Транспониране на директиви</w:t>
        </w:r>
        <w:r w:rsidR="00284F4D">
          <w:rPr>
            <w:rStyle w:val="Hyperlink"/>
            <w:rFonts w:ascii="Arial" w:eastAsia="Times New Roman" w:hAnsi="Arial" w:cs="Arial"/>
            <w:i w:val="0"/>
            <w:noProof/>
            <w:webHidden/>
          </w:rPr>
          <w:tab/>
        </w:r>
        <w:r w:rsidR="00284F4D">
          <w:rPr>
            <w:rStyle w:val="Hyperlink"/>
            <w:rFonts w:ascii="Arial" w:eastAsia="Times New Roman" w:hAnsi="Arial" w:cs="Arial"/>
            <w:i w:val="0"/>
            <w:noProof/>
            <w:webHidden/>
          </w:rPr>
          <w:fldChar w:fldCharType="begin"/>
        </w:r>
        <w:r w:rsidR="00284F4D">
          <w:rPr>
            <w:rStyle w:val="Hyperlink"/>
            <w:rFonts w:ascii="Arial" w:eastAsia="Times New Roman" w:hAnsi="Arial" w:cs="Arial"/>
            <w:i w:val="0"/>
            <w:noProof/>
            <w:webHidden/>
          </w:rPr>
          <w:instrText xml:space="preserve"> PAGEREF _Toc454443128 \h </w:instrText>
        </w:r>
        <w:r w:rsidR="00284F4D">
          <w:rPr>
            <w:rStyle w:val="Hyperlink"/>
            <w:rFonts w:ascii="Arial" w:eastAsia="Times New Roman" w:hAnsi="Arial" w:cs="Arial"/>
            <w:i w:val="0"/>
            <w:noProof/>
            <w:webHidden/>
          </w:rPr>
        </w:r>
        <w:r w:rsidR="00284F4D">
          <w:rPr>
            <w:rStyle w:val="Hyperlink"/>
            <w:rFonts w:ascii="Arial" w:eastAsia="Times New Roman" w:hAnsi="Arial" w:cs="Arial"/>
            <w:i w:val="0"/>
            <w:noProof/>
            <w:webHidden/>
          </w:rPr>
          <w:fldChar w:fldCharType="separate"/>
        </w:r>
        <w:r w:rsidR="00284F4D">
          <w:rPr>
            <w:rStyle w:val="Hyperlink"/>
            <w:rFonts w:ascii="Arial" w:eastAsia="Times New Roman" w:hAnsi="Arial" w:cs="Arial"/>
            <w:i w:val="0"/>
            <w:noProof/>
            <w:webHidden/>
          </w:rPr>
          <w:t>31</w:t>
        </w:r>
        <w:r w:rsidR="00284F4D">
          <w:rPr>
            <w:rStyle w:val="Hyperlink"/>
            <w:rFonts w:ascii="Arial" w:eastAsia="Times New Roman" w:hAnsi="Arial" w:cs="Arial"/>
            <w:i w:val="0"/>
            <w:noProof/>
            <w:webHidden/>
          </w:rPr>
          <w:fldChar w:fldCharType="end"/>
        </w:r>
      </w:hyperlink>
    </w:p>
    <w:p w:rsidR="006F5B6C" w:rsidRDefault="009349CD">
      <w:pPr>
        <w:pStyle w:val="TOC2"/>
        <w:tabs>
          <w:tab w:val="left" w:pos="720"/>
          <w:tab w:val="right" w:leader="dot" w:pos="8873"/>
        </w:tabs>
        <w:rPr>
          <w:rStyle w:val="Hyperlink"/>
          <w:rFonts w:ascii="Arial" w:eastAsia="Times New Roman" w:hAnsi="Arial" w:cs="Arial"/>
          <w:i w:val="0"/>
          <w:noProof/>
        </w:rPr>
      </w:pPr>
      <w:hyperlink w:anchor="_Toc454443129" w:history="1">
        <w:r w:rsidR="00284F4D">
          <w:rPr>
            <w:rStyle w:val="Hyperlink"/>
            <w:rFonts w:ascii="Arial" w:eastAsia="Times New Roman" w:hAnsi="Arial" w:cs="Arial"/>
            <w:i w:val="0"/>
            <w:noProof/>
          </w:rPr>
          <w:t>1.</w:t>
        </w:r>
        <w:r w:rsidR="00284F4D">
          <w:rPr>
            <w:rStyle w:val="Hyperlink"/>
            <w:rFonts w:ascii="Arial" w:eastAsia="Times New Roman" w:hAnsi="Arial" w:cs="Arial"/>
            <w:i w:val="0"/>
            <w:noProof/>
          </w:rPr>
          <w:tab/>
          <w:t>Ненавременно транспониране</w:t>
        </w:r>
        <w:r w:rsidR="00284F4D">
          <w:rPr>
            <w:rStyle w:val="Hyperlink"/>
            <w:rFonts w:ascii="Arial" w:eastAsia="Times New Roman" w:hAnsi="Arial" w:cs="Arial"/>
            <w:i w:val="0"/>
            <w:noProof/>
            <w:webHidden/>
          </w:rPr>
          <w:tab/>
        </w:r>
        <w:r w:rsidR="00284F4D">
          <w:rPr>
            <w:rStyle w:val="Hyperlink"/>
            <w:rFonts w:ascii="Arial" w:eastAsia="Times New Roman" w:hAnsi="Arial" w:cs="Arial"/>
            <w:i w:val="0"/>
            <w:noProof/>
            <w:webHidden/>
          </w:rPr>
          <w:fldChar w:fldCharType="begin"/>
        </w:r>
        <w:r w:rsidR="00284F4D">
          <w:rPr>
            <w:rStyle w:val="Hyperlink"/>
            <w:rFonts w:ascii="Arial" w:eastAsia="Times New Roman" w:hAnsi="Arial" w:cs="Arial"/>
            <w:i w:val="0"/>
            <w:noProof/>
            <w:webHidden/>
          </w:rPr>
          <w:instrText xml:space="preserve"> PAGEREF _Toc454443129 \h </w:instrText>
        </w:r>
        <w:r w:rsidR="00284F4D">
          <w:rPr>
            <w:rStyle w:val="Hyperlink"/>
            <w:rFonts w:ascii="Arial" w:eastAsia="Times New Roman" w:hAnsi="Arial" w:cs="Arial"/>
            <w:i w:val="0"/>
            <w:noProof/>
            <w:webHidden/>
          </w:rPr>
        </w:r>
        <w:r w:rsidR="00284F4D">
          <w:rPr>
            <w:rStyle w:val="Hyperlink"/>
            <w:rFonts w:ascii="Arial" w:eastAsia="Times New Roman" w:hAnsi="Arial" w:cs="Arial"/>
            <w:i w:val="0"/>
            <w:noProof/>
            <w:webHidden/>
          </w:rPr>
          <w:fldChar w:fldCharType="separate"/>
        </w:r>
        <w:r w:rsidR="00284F4D">
          <w:rPr>
            <w:rStyle w:val="Hyperlink"/>
            <w:rFonts w:ascii="Arial" w:eastAsia="Times New Roman" w:hAnsi="Arial" w:cs="Arial"/>
            <w:i w:val="0"/>
            <w:noProof/>
            <w:webHidden/>
          </w:rPr>
          <w:t>31</w:t>
        </w:r>
        <w:r w:rsidR="00284F4D">
          <w:rPr>
            <w:rStyle w:val="Hyperlink"/>
            <w:rFonts w:ascii="Arial" w:eastAsia="Times New Roman" w:hAnsi="Arial" w:cs="Arial"/>
            <w:i w:val="0"/>
            <w:noProof/>
            <w:webHidden/>
          </w:rPr>
          <w:fldChar w:fldCharType="end"/>
        </w:r>
      </w:hyperlink>
    </w:p>
    <w:p w:rsidR="006F5B6C" w:rsidRDefault="009349CD">
      <w:pPr>
        <w:pStyle w:val="TOC2"/>
        <w:tabs>
          <w:tab w:val="left" w:pos="720"/>
          <w:tab w:val="right" w:leader="dot" w:pos="8873"/>
        </w:tabs>
        <w:rPr>
          <w:rStyle w:val="Hyperlink"/>
          <w:rFonts w:ascii="Arial" w:eastAsia="Times New Roman" w:hAnsi="Arial" w:cs="Arial"/>
          <w:i w:val="0"/>
          <w:noProof/>
        </w:rPr>
      </w:pPr>
      <w:hyperlink w:anchor="_Toc454443130" w:history="1">
        <w:r w:rsidR="00284F4D">
          <w:rPr>
            <w:rStyle w:val="Hyperlink"/>
            <w:rFonts w:ascii="Arial" w:eastAsia="Times New Roman" w:hAnsi="Arial" w:cs="Arial"/>
            <w:i w:val="0"/>
            <w:noProof/>
          </w:rPr>
          <w:t>2.</w:t>
        </w:r>
        <w:r w:rsidR="00284F4D">
          <w:rPr>
            <w:rStyle w:val="Hyperlink"/>
            <w:rFonts w:ascii="Arial" w:eastAsia="Times New Roman" w:hAnsi="Arial" w:cs="Arial"/>
            <w:i w:val="0"/>
            <w:noProof/>
          </w:rPr>
          <w:tab/>
          <w:t>Сезиране на Съда на Европейския съюз съгласно член 258 и член 260, параграф 3 от ДФЕС</w:t>
        </w:r>
        <w:r w:rsidR="00284F4D">
          <w:rPr>
            <w:rStyle w:val="Hyperlink"/>
            <w:rFonts w:ascii="Arial" w:eastAsia="Times New Roman" w:hAnsi="Arial" w:cs="Arial"/>
            <w:i w:val="0"/>
            <w:noProof/>
            <w:webHidden/>
          </w:rPr>
          <w:tab/>
        </w:r>
        <w:r w:rsidR="00284F4D">
          <w:rPr>
            <w:rStyle w:val="Hyperlink"/>
            <w:rFonts w:ascii="Arial" w:eastAsia="Times New Roman" w:hAnsi="Arial" w:cs="Arial"/>
            <w:i w:val="0"/>
            <w:noProof/>
            <w:webHidden/>
          </w:rPr>
          <w:fldChar w:fldCharType="begin"/>
        </w:r>
        <w:r w:rsidR="00284F4D">
          <w:rPr>
            <w:rStyle w:val="Hyperlink"/>
            <w:rFonts w:ascii="Arial" w:eastAsia="Times New Roman" w:hAnsi="Arial" w:cs="Arial"/>
            <w:i w:val="0"/>
            <w:noProof/>
            <w:webHidden/>
          </w:rPr>
          <w:instrText xml:space="preserve"> PAGEREF _Toc454443130 \h </w:instrText>
        </w:r>
        <w:r w:rsidR="00284F4D">
          <w:rPr>
            <w:rStyle w:val="Hyperlink"/>
            <w:rFonts w:ascii="Arial" w:eastAsia="Times New Roman" w:hAnsi="Arial" w:cs="Arial"/>
            <w:i w:val="0"/>
            <w:noProof/>
            <w:webHidden/>
          </w:rPr>
        </w:r>
        <w:r w:rsidR="00284F4D">
          <w:rPr>
            <w:rStyle w:val="Hyperlink"/>
            <w:rFonts w:ascii="Arial" w:eastAsia="Times New Roman" w:hAnsi="Arial" w:cs="Arial"/>
            <w:i w:val="0"/>
            <w:noProof/>
            <w:webHidden/>
          </w:rPr>
          <w:fldChar w:fldCharType="separate"/>
        </w:r>
        <w:r w:rsidR="00284F4D">
          <w:rPr>
            <w:rStyle w:val="Hyperlink"/>
            <w:rFonts w:ascii="Arial" w:eastAsia="Times New Roman" w:hAnsi="Arial" w:cs="Arial"/>
            <w:i w:val="0"/>
            <w:noProof/>
            <w:webHidden/>
          </w:rPr>
          <w:t>33</w:t>
        </w:r>
        <w:r w:rsidR="00284F4D">
          <w:rPr>
            <w:rStyle w:val="Hyperlink"/>
            <w:rFonts w:ascii="Arial" w:eastAsia="Times New Roman" w:hAnsi="Arial" w:cs="Arial"/>
            <w:i w:val="0"/>
            <w:noProof/>
            <w:webHidden/>
          </w:rPr>
          <w:fldChar w:fldCharType="end"/>
        </w:r>
      </w:hyperlink>
    </w:p>
    <w:p w:rsidR="006F5B6C" w:rsidRDefault="009349CD">
      <w:pPr>
        <w:pStyle w:val="TOC2"/>
        <w:tabs>
          <w:tab w:val="left" w:pos="720"/>
          <w:tab w:val="right" w:leader="dot" w:pos="8873"/>
        </w:tabs>
        <w:rPr>
          <w:rFonts w:eastAsiaTheme="minorEastAsia" w:cstheme="minorBidi"/>
          <w:i w:val="0"/>
          <w:iCs w:val="0"/>
          <w:noProof/>
          <w:sz w:val="22"/>
          <w:szCs w:val="22"/>
          <w:lang w:val="en-US"/>
        </w:rPr>
      </w:pPr>
      <w:hyperlink w:anchor="_Toc454443131" w:history="1">
        <w:r w:rsidR="00284F4D">
          <w:rPr>
            <w:rStyle w:val="Hyperlink"/>
            <w:rFonts w:ascii="Arial" w:eastAsia="Times New Roman" w:hAnsi="Arial" w:cs="Arial"/>
            <w:i w:val="0"/>
            <w:noProof/>
          </w:rPr>
          <w:t>VII.</w:t>
        </w:r>
        <w:r w:rsidR="00284F4D">
          <w:rPr>
            <w:rStyle w:val="Hyperlink"/>
            <w:rFonts w:ascii="Arial" w:eastAsia="Times New Roman" w:hAnsi="Arial" w:cs="Arial"/>
            <w:i w:val="0"/>
            <w:noProof/>
          </w:rPr>
          <w:tab/>
          <w:t>Заключение</w:t>
        </w:r>
        <w:r w:rsidR="00284F4D">
          <w:rPr>
            <w:rStyle w:val="Hyperlink"/>
            <w:rFonts w:ascii="Arial" w:eastAsia="Times New Roman" w:hAnsi="Arial" w:cs="Arial"/>
            <w:i w:val="0"/>
            <w:noProof/>
            <w:webHidden/>
          </w:rPr>
          <w:tab/>
        </w:r>
        <w:r w:rsidR="00284F4D">
          <w:rPr>
            <w:rStyle w:val="Hyperlink"/>
            <w:rFonts w:ascii="Arial" w:eastAsia="Times New Roman" w:hAnsi="Arial" w:cs="Arial"/>
            <w:i w:val="0"/>
            <w:noProof/>
            <w:webHidden/>
          </w:rPr>
          <w:fldChar w:fldCharType="begin"/>
        </w:r>
        <w:r w:rsidR="00284F4D">
          <w:rPr>
            <w:rStyle w:val="Hyperlink"/>
            <w:rFonts w:ascii="Arial" w:eastAsia="Times New Roman" w:hAnsi="Arial" w:cs="Arial"/>
            <w:i w:val="0"/>
            <w:noProof/>
            <w:webHidden/>
          </w:rPr>
          <w:instrText xml:space="preserve"> PAGEREF _Toc454443131 \h </w:instrText>
        </w:r>
        <w:r w:rsidR="00284F4D">
          <w:rPr>
            <w:rStyle w:val="Hyperlink"/>
            <w:rFonts w:ascii="Arial" w:eastAsia="Times New Roman" w:hAnsi="Arial" w:cs="Arial"/>
            <w:i w:val="0"/>
            <w:noProof/>
            <w:webHidden/>
          </w:rPr>
        </w:r>
        <w:r w:rsidR="00284F4D">
          <w:rPr>
            <w:rStyle w:val="Hyperlink"/>
            <w:rFonts w:ascii="Arial" w:eastAsia="Times New Roman" w:hAnsi="Arial" w:cs="Arial"/>
            <w:i w:val="0"/>
            <w:noProof/>
            <w:webHidden/>
          </w:rPr>
          <w:fldChar w:fldCharType="separate"/>
        </w:r>
        <w:r w:rsidR="00284F4D">
          <w:rPr>
            <w:rStyle w:val="Hyperlink"/>
            <w:rFonts w:ascii="Arial" w:eastAsia="Times New Roman" w:hAnsi="Arial" w:cs="Arial"/>
            <w:i w:val="0"/>
            <w:noProof/>
            <w:webHidden/>
          </w:rPr>
          <w:t>35</w:t>
        </w:r>
        <w:r w:rsidR="00284F4D">
          <w:rPr>
            <w:rStyle w:val="Hyperlink"/>
            <w:rFonts w:ascii="Arial" w:eastAsia="Times New Roman" w:hAnsi="Arial" w:cs="Arial"/>
            <w:i w:val="0"/>
            <w:noProof/>
            <w:webHidden/>
          </w:rPr>
          <w:fldChar w:fldCharType="end"/>
        </w:r>
      </w:hyperlink>
    </w:p>
    <w:p w:rsidR="006F5B6C" w:rsidRDefault="00284F4D">
      <w:pPr>
        <w:rPr>
          <w:rFonts w:ascii="Arial" w:hAnsi="Arial" w:cs="Arial"/>
          <w:b/>
          <w:bCs/>
          <w:noProof/>
          <w:sz w:val="20"/>
        </w:rPr>
        <w:sectPr w:rsidR="006F5B6C">
          <w:headerReference w:type="even" r:id="rId19"/>
          <w:headerReference w:type="default" r:id="rId20"/>
          <w:footerReference w:type="even" r:id="rId21"/>
          <w:footerReference w:type="default" r:id="rId22"/>
          <w:headerReference w:type="first" r:id="rId23"/>
          <w:footerReference w:type="first" r:id="rId24"/>
          <w:pgSz w:w="11907" w:h="16839" w:code="9"/>
          <w:pgMar w:top="2678" w:right="1512" w:bottom="1913" w:left="1512" w:header="918" w:footer="709" w:gutter="0"/>
          <w:pgNumType w:start="2"/>
          <w:cols w:space="720"/>
          <w:titlePg/>
          <w:docGrid w:linePitch="360"/>
        </w:sectPr>
      </w:pPr>
      <w:r>
        <w:rPr>
          <w:rFonts w:ascii="Arial" w:hAnsi="Arial" w:cs="Arial"/>
          <w:b/>
          <w:bCs/>
          <w:noProof/>
          <w:sz w:val="20"/>
        </w:rPr>
        <w:fldChar w:fldCharType="end"/>
      </w:r>
    </w:p>
    <w:p w:rsidR="006F5B6C" w:rsidRDefault="00284F4D">
      <w:pPr>
        <w:pStyle w:val="kop2"/>
        <w:rPr>
          <w:noProof/>
        </w:rPr>
      </w:pPr>
      <w:bookmarkStart w:id="1" w:name="_Toc454443107"/>
      <w:r>
        <w:rPr>
          <w:caps w:val="0"/>
          <w:noProof/>
          <w:lang w:val="bg-BG"/>
        </w:rPr>
        <w:lastRenderedPageBreak/>
        <w:t>Въведение</w:t>
      </w:r>
      <w:bookmarkEnd w:id="1"/>
    </w:p>
    <w:p w:rsidR="006F5B6C" w:rsidRDefault="00284F4D">
      <w:pPr>
        <w:ind w:left="357"/>
        <w:rPr>
          <w:rFonts w:ascii="Arial" w:hAnsi="Arial" w:cs="Arial"/>
          <w:noProof/>
          <w:sz w:val="20"/>
          <w:lang w:val="bg-BG"/>
        </w:rPr>
      </w:pPr>
      <w:r>
        <w:rPr>
          <w:rFonts w:ascii="Arial" w:hAnsi="Arial" w:cs="Arial"/>
          <w:noProof/>
          <w:sz w:val="20"/>
          <w:lang w:val="bg-BG"/>
        </w:rPr>
        <w:t>Ефективното прилагане на законодателството на ЕС е от съществено значение, за да могат гражданите и предприятията да извлекат ползи от политиките на Европейския съюз</w:t>
      </w:r>
      <w:r>
        <w:rPr>
          <w:rFonts w:ascii="Arial" w:hAnsi="Arial" w:cs="Arial"/>
          <w:noProof/>
          <w:sz w:val="20"/>
          <w:lang w:val="ru-RU"/>
        </w:rPr>
        <w:t xml:space="preserve">. </w:t>
      </w:r>
      <w:r>
        <w:rPr>
          <w:rFonts w:ascii="Arial" w:hAnsi="Arial" w:cs="Arial"/>
          <w:noProof/>
          <w:sz w:val="20"/>
          <w:lang w:val="bg-BG"/>
        </w:rPr>
        <w:t>Правилното прилагане на правото гарантира, че физическите лица и дружествата могат да се възползват от правата си и да получат бърза и ефективна правна защита, ако тези права са нарушени</w:t>
      </w:r>
      <w:r>
        <w:rPr>
          <w:rFonts w:ascii="Arial" w:hAnsi="Arial" w:cs="Arial"/>
          <w:noProof/>
          <w:sz w:val="20"/>
          <w:lang w:val="ru-RU"/>
        </w:rPr>
        <w:t>.</w:t>
      </w:r>
      <w:r>
        <w:rPr>
          <w:rFonts w:ascii="Arial" w:hAnsi="Arial" w:cs="Arial"/>
          <w:noProof/>
          <w:sz w:val="20"/>
          <w:lang w:val="bg-BG"/>
        </w:rPr>
        <w:t xml:space="preserve"> Поради това гарантирането на прилагането на правото на ЕС е приоритет за Европейската комисия. Ако законодателството не се изпълнява или прилага правилно, това ще отслаби основите на ЕС.</w:t>
      </w:r>
    </w:p>
    <w:p w:rsidR="006F5B6C" w:rsidRDefault="00284F4D">
      <w:pPr>
        <w:ind w:left="357"/>
        <w:rPr>
          <w:rFonts w:ascii="Arial" w:hAnsi="Arial" w:cs="Arial"/>
          <w:noProof/>
          <w:spacing w:val="-4"/>
          <w:sz w:val="20"/>
          <w:lang w:val="bg-BG"/>
        </w:rPr>
      </w:pPr>
      <w:r>
        <w:rPr>
          <w:rFonts w:ascii="Arial" w:hAnsi="Arial" w:cs="Arial"/>
          <w:noProof/>
          <w:spacing w:val="-4"/>
          <w:sz w:val="20"/>
          <w:lang w:val="bg-BG"/>
        </w:rPr>
        <w:t>Мониторингът и подобряването на прилагането на правото на ЕС са приоритет на Комисията „Юнкер“ и представляват основна част от пакета от мерки за по-добро регулиране</w:t>
      </w:r>
      <w:r>
        <w:rPr>
          <w:rStyle w:val="FootnoteReference"/>
          <w:rFonts w:ascii="Arial" w:hAnsi="Arial" w:cs="Arial"/>
          <w:noProof/>
          <w:spacing w:val="-4"/>
          <w:sz w:val="20"/>
        </w:rPr>
        <w:footnoteReference w:id="2"/>
      </w:r>
      <w:r>
        <w:rPr>
          <w:rFonts w:ascii="Arial" w:hAnsi="Arial" w:cs="Arial"/>
          <w:noProof/>
          <w:spacing w:val="-4"/>
          <w:sz w:val="20"/>
          <w:lang w:val="bg-BG"/>
        </w:rPr>
        <w:t>. Резултатите от този мониторинг се използват в оценките на законодателството, в оценките на въздействието на нови инициативи и в жизнения цикъл на законодателството в по-общ план. Целта е да се подобри изпълнението и прилагането на действащото законодателство, както и качеството на новото законодателство.</w:t>
      </w:r>
    </w:p>
    <w:p w:rsidR="006F5B6C" w:rsidRDefault="00284F4D">
      <w:pPr>
        <w:ind w:left="357"/>
        <w:rPr>
          <w:rFonts w:ascii="Arial" w:hAnsi="Arial" w:cs="Arial"/>
          <w:noProof/>
          <w:sz w:val="20"/>
          <w:lang w:val="bg-BG"/>
        </w:rPr>
      </w:pPr>
      <w:r>
        <w:rPr>
          <w:rFonts w:ascii="Arial" w:hAnsi="Arial" w:cs="Arial"/>
          <w:noProof/>
          <w:sz w:val="20"/>
          <w:lang w:val="bg-BG"/>
        </w:rPr>
        <w:t>Държавите членки отговарят за навременното и точно транспониране на директивите в националното си законодателство, както и за правилното прилагане и изпълнение на законодателството на ЕС като цяло (</w:t>
      </w:r>
      <w:r>
        <w:rPr>
          <w:rFonts w:ascii="Arial" w:hAnsi="Arial" w:cs="Arial"/>
          <w:i/>
          <w:noProof/>
          <w:sz w:val="20"/>
          <w:lang w:val="bg-BG"/>
        </w:rPr>
        <w:t>достиженията на правото на ЕС</w:t>
      </w:r>
      <w:r>
        <w:rPr>
          <w:rStyle w:val="FootnoteReference"/>
          <w:noProof/>
        </w:rPr>
        <w:footnoteReference w:id="3"/>
      </w:r>
      <w:r>
        <w:rPr>
          <w:rFonts w:ascii="Arial" w:hAnsi="Arial" w:cs="Arial"/>
          <w:i/>
          <w:noProof/>
          <w:sz w:val="20"/>
          <w:lang w:val="bg-BG"/>
        </w:rPr>
        <w:t>)</w:t>
      </w:r>
      <w:r>
        <w:rPr>
          <w:rFonts w:ascii="Arial" w:hAnsi="Arial" w:cs="Arial"/>
          <w:noProof/>
          <w:sz w:val="20"/>
          <w:lang w:val="bg-BG"/>
        </w:rPr>
        <w:t>. Комисията, в ролята си на пазител на Договорите, осъществява мониторинг върху мерките на държавите членки и гарантира, че законодателството им е в съответствие с правото на ЕС</w:t>
      </w:r>
      <w:r>
        <w:rPr>
          <w:rStyle w:val="FootnoteReference"/>
          <w:noProof/>
        </w:rPr>
        <w:footnoteReference w:id="4"/>
      </w:r>
      <w:r>
        <w:rPr>
          <w:rFonts w:ascii="Arial" w:hAnsi="Arial" w:cs="Arial"/>
          <w:noProof/>
          <w:sz w:val="20"/>
          <w:lang w:val="bg-BG"/>
        </w:rPr>
        <w:t>. Акцентът е върху гарантиране на спазването на правото на ЕС от държавите членки чрез работа в партньорство и предоставяне на подкрепа и помощ, когато е необходимо.</w:t>
      </w:r>
    </w:p>
    <w:p w:rsidR="006F5B6C" w:rsidRDefault="00284F4D">
      <w:pPr>
        <w:ind w:left="357"/>
        <w:rPr>
          <w:rFonts w:ascii="Arial" w:hAnsi="Arial" w:cs="Arial"/>
          <w:noProof/>
          <w:sz w:val="20"/>
          <w:lang w:val="bg-BG"/>
        </w:rPr>
      </w:pPr>
      <w:r>
        <w:rPr>
          <w:rFonts w:ascii="Arial" w:hAnsi="Arial" w:cs="Arial"/>
          <w:noProof/>
          <w:sz w:val="20"/>
          <w:lang w:val="bg-BG"/>
        </w:rPr>
        <w:t>Ако Комисията установи евентуално нарушение, първата стъпка е да обсъди проблема със съответната държава членка, която се приканва да разреши проблема бързо и ефикасно в съответствие с правото на ЕС. Ако тези усилия за разрешаване на проблема не са успешни, Комисията може да започне официално производство за установяване на неизпълнение на задължения. Ако държавата членка продължи да не спазва правото на Съюза, Комисията може да сезира Съда на Европейския съюз. Като последна стъпка, по отношение на държава членка могат да бъдат наложени финансови санкции, в случай че тя не изпълни решение на Съда или не съобщи на Комисията мерките за транспониране на директива, приета съгласно определена законодателна процедура</w:t>
      </w:r>
      <w:r>
        <w:rPr>
          <w:rStyle w:val="FootnoteReference"/>
          <w:rFonts w:ascii="Arial" w:hAnsi="Arial" w:cs="Arial"/>
          <w:noProof/>
          <w:sz w:val="20"/>
        </w:rPr>
        <w:footnoteReference w:id="5"/>
      </w:r>
      <w:r>
        <w:rPr>
          <w:rFonts w:ascii="Arial" w:hAnsi="Arial" w:cs="Arial"/>
          <w:noProof/>
          <w:sz w:val="20"/>
          <w:lang w:val="bg-BG"/>
        </w:rPr>
        <w:t>.</w:t>
      </w:r>
    </w:p>
    <w:p w:rsidR="006F5B6C" w:rsidRDefault="00284F4D">
      <w:pPr>
        <w:ind w:left="357"/>
        <w:rPr>
          <w:rFonts w:ascii="Arial" w:hAnsi="Arial" w:cs="Arial"/>
          <w:noProof/>
          <w:spacing w:val="-6"/>
          <w:sz w:val="20"/>
          <w:lang w:val="bg-BG"/>
        </w:rPr>
      </w:pPr>
      <w:r>
        <w:rPr>
          <w:rFonts w:ascii="Arial" w:hAnsi="Arial" w:cs="Arial"/>
          <w:noProof/>
          <w:spacing w:val="-6"/>
          <w:sz w:val="20"/>
          <w:lang w:val="bg-BG"/>
        </w:rPr>
        <w:t>В настоящият годишен доклад се подчертават основните развития в областта на политиката на прилагане на законодателството през 2015 г. Структурата на настоящия доклад отразява акцента върху прилагането на законодателството в приоритетните за тази Комисия области на политиката. Комисията предприе дейности по прилагане на законодателството, например в областта на миграцията и убежището, където цялостното и последователно прилагане на общите правила в областта на убежището и незаконната миграция бяха поставени на преден план в контекста на кризата с бежанците. Друг пример са инструментите от предишния трети стълб в областта на политиката и съдебното сътрудничество по наказателноправни въпроси, при които цялостното транспониране и прилагане на правото на ЕС е от съществено значение за осигуряване на координиран европейски отговор на заплахите за сигурността. В допълнение към приоритетните области, в документите, придружаващи доклада</w:t>
      </w:r>
      <w:r>
        <w:rPr>
          <w:rStyle w:val="FootnoteReference"/>
          <w:rFonts w:ascii="Arial" w:hAnsi="Arial" w:cs="Arial"/>
          <w:noProof/>
          <w:spacing w:val="-6"/>
          <w:sz w:val="20"/>
        </w:rPr>
        <w:footnoteReference w:id="6"/>
      </w:r>
      <w:r>
        <w:rPr>
          <w:rFonts w:ascii="Arial" w:hAnsi="Arial" w:cs="Arial"/>
          <w:noProof/>
          <w:spacing w:val="-6"/>
          <w:sz w:val="20"/>
          <w:lang w:val="bg-BG"/>
        </w:rPr>
        <w:t>, се разглежда начинът, по който се прилага правото на ЕС, и предизвикателствата при прилагането му във всяка държава членка и област на политиката.</w:t>
      </w:r>
    </w:p>
    <w:p w:rsidR="006F5B6C" w:rsidRDefault="00284F4D">
      <w:pPr>
        <w:ind w:left="357"/>
        <w:rPr>
          <w:rFonts w:ascii="Arial" w:hAnsi="Arial" w:cs="Arial"/>
          <w:noProof/>
          <w:sz w:val="20"/>
          <w:lang w:val="bg-BG"/>
        </w:rPr>
      </w:pPr>
      <w:r>
        <w:rPr>
          <w:rFonts w:ascii="Arial" w:hAnsi="Arial" w:cs="Arial"/>
          <w:noProof/>
          <w:sz w:val="20"/>
          <w:lang w:val="bg-BG"/>
        </w:rPr>
        <w:br w:type="page"/>
      </w:r>
    </w:p>
    <w:p w:rsidR="006F5B6C" w:rsidRDefault="00284F4D">
      <w:pPr>
        <w:pStyle w:val="kop2"/>
        <w:ind w:left="720"/>
        <w:rPr>
          <w:caps w:val="0"/>
          <w:noProof/>
          <w:lang w:val="bg-BG"/>
        </w:rPr>
      </w:pPr>
      <w:bookmarkStart w:id="3" w:name="_Toc454443108"/>
      <w:r>
        <w:rPr>
          <w:caps w:val="0"/>
          <w:noProof/>
          <w:lang w:val="bg-BG"/>
        </w:rPr>
        <w:lastRenderedPageBreak/>
        <w:t>Прилагане на законодателството в приоритетни области на политиката</w:t>
      </w:r>
      <w:bookmarkEnd w:id="3"/>
    </w:p>
    <w:p w:rsidR="006F5B6C" w:rsidRDefault="00284F4D">
      <w:pPr>
        <w:rPr>
          <w:rFonts w:ascii="Arial" w:hAnsi="Arial" w:cs="Arial"/>
          <w:noProof/>
          <w:sz w:val="20"/>
          <w:lang w:val="bg-BG"/>
        </w:rPr>
      </w:pPr>
      <w:bookmarkStart w:id="4" w:name="_Toc437944176"/>
      <w:r>
        <w:rPr>
          <w:rFonts w:ascii="Arial" w:hAnsi="Arial" w:cs="Arial"/>
          <w:noProof/>
          <w:sz w:val="20"/>
          <w:lang w:val="bg-BG"/>
        </w:rPr>
        <w:t>Гарантирането на по-доброто прилагане и изпълнение на правните инструменти на ЕС е предпоставка за изпълнение на политиките на ЕС като цяло и по-специално по отношение на политическите приоритети на Комисията „Юнкер“. За постигането на целите на политиките на ЕС Комисията използва широк набор от инструменти, включително производства за установяване на неизпълнение на задължения. В годишния доклад за 2015 г. се представя общ преглед на действията на Комисията в тази връзка.</w:t>
      </w:r>
    </w:p>
    <w:p w:rsidR="006F5B6C" w:rsidRDefault="00284F4D">
      <w:pPr>
        <w:pStyle w:val="kop3"/>
        <w:rPr>
          <w:noProof/>
          <w:lang w:val="bg-BG"/>
        </w:rPr>
      </w:pPr>
      <w:bookmarkStart w:id="5" w:name="_Toc454443109"/>
      <w:r>
        <w:rPr>
          <w:noProof/>
          <w:lang w:val="bg-BG"/>
        </w:rPr>
        <w:t>Нови стимули за работните места, растежа и инвестициите</w:t>
      </w:r>
      <w:bookmarkEnd w:id="5"/>
    </w:p>
    <w:p w:rsidR="006F5B6C" w:rsidRDefault="00284F4D">
      <w:pPr>
        <w:rPr>
          <w:rFonts w:ascii="Arial" w:hAnsi="Arial" w:cs="Arial"/>
          <w:noProof/>
          <w:sz w:val="20"/>
          <w:lang w:val="bg-BG"/>
        </w:rPr>
      </w:pPr>
      <w:r>
        <w:rPr>
          <w:rFonts w:ascii="Arial" w:hAnsi="Arial" w:cs="Arial"/>
          <w:noProof/>
          <w:sz w:val="20"/>
          <w:lang w:val="bg-BG"/>
        </w:rPr>
        <w:t xml:space="preserve">Първият приоритет на Комисията „Юнкер“ е укрепването на европейската конкурентоспособност и стимулирането на инвестиции, които създават работни места. Усилията за създаване на правилната регулаторна среда с цел подпомагане на предприятията и създаване на работни места обаче се подкопават, ако </w:t>
      </w:r>
      <w:r>
        <w:rPr>
          <w:rFonts w:ascii="Arial" w:hAnsi="Arial" w:cs="Arial"/>
          <w:i/>
          <w:noProof/>
          <w:sz w:val="20"/>
          <w:lang w:val="bg-BG"/>
        </w:rPr>
        <w:t>достиженията на правото на</w:t>
      </w:r>
      <w:r>
        <w:rPr>
          <w:rFonts w:ascii="Arial" w:hAnsi="Arial" w:cs="Arial"/>
          <w:noProof/>
          <w:sz w:val="20"/>
          <w:lang w:val="bg-BG"/>
        </w:rPr>
        <w:t xml:space="preserve"> ЕС не се прилагат правилно и навременно. Ето защо прилагането и изпълнението на правото на ЕС допринася в значителна степен за създаването на работни места, растежа и инвестициите.</w:t>
      </w:r>
    </w:p>
    <w:p w:rsidR="006F5B6C" w:rsidRDefault="00284F4D">
      <w:pPr>
        <w:rPr>
          <w:rFonts w:ascii="Arial" w:hAnsi="Arial" w:cs="Arial"/>
          <w:noProof/>
          <w:sz w:val="20"/>
          <w:lang w:val="bg-BG"/>
        </w:rPr>
      </w:pPr>
      <w:r>
        <w:rPr>
          <w:rFonts w:ascii="Arial" w:hAnsi="Arial" w:cs="Arial"/>
          <w:noProof/>
          <w:sz w:val="20"/>
          <w:lang w:val="bg-BG"/>
        </w:rPr>
        <w:t>Дейностите на Комисията по прилагане на законодателството през 2015 г. са съсредоточени върху следните области:</w:t>
      </w:r>
    </w:p>
    <w:p w:rsidR="006F5B6C" w:rsidRDefault="00284F4D">
      <w:pPr>
        <w:rPr>
          <w:rFonts w:ascii="Arial" w:hAnsi="Arial" w:cs="Arial"/>
          <w:b/>
          <w:i/>
          <w:noProof/>
          <w:sz w:val="20"/>
          <w:lang w:val="bg-BG"/>
        </w:rPr>
      </w:pPr>
      <w:r>
        <w:rPr>
          <w:rFonts w:ascii="Arial" w:hAnsi="Arial" w:cs="Arial"/>
          <w:i/>
          <w:noProof/>
          <w:sz w:val="20"/>
          <w:lang w:val="bg-BG"/>
        </w:rPr>
        <w:t>Прилагане на достиженията на правото на ЕС в областта на конкуренцията</w:t>
      </w:r>
    </w:p>
    <w:p w:rsidR="006F5B6C" w:rsidRDefault="00284F4D">
      <w:pPr>
        <w:rPr>
          <w:rFonts w:ascii="Arial" w:hAnsi="Arial" w:cs="Arial"/>
          <w:noProof/>
          <w:sz w:val="20"/>
          <w:lang w:val="bg-BG"/>
        </w:rPr>
      </w:pPr>
      <w:r>
        <w:rPr>
          <w:rFonts w:ascii="Arial" w:hAnsi="Arial" w:cs="Arial"/>
          <w:noProof/>
          <w:sz w:val="20"/>
          <w:lang w:val="bg-BG"/>
        </w:rPr>
        <w:t>Комисията активно полага усилия за прилагане на антитръстовите правила и правилата в областта на държавната помощ. Така например бяха започнати производства за установяване на нарушение на задължения с цел справяне с предоставени на публично дружество привилегировани права за концесия на водноелектрически централи в определена държава. Комисията проучи също така законодателните разпоредби за ограничаване на правомощията на националните органи за защита на конкуренцията. Тя извършва активен последващ контрол на производствата по член 260, параграф 2 от ДФЕС, като иска от Съда на Европейския съюз да наложи еднократни платими суми и имуществени санкции по отношение на държавите членки, които не са успели да възстановят неправомерната и несъвместима държавна помощ. Последователното прилагане на решенията е от съществено значение за доверието в контрола на Комисията относно държавната помощ.</w:t>
      </w:r>
    </w:p>
    <w:p w:rsidR="006F5B6C" w:rsidRDefault="00284F4D">
      <w:pPr>
        <w:rPr>
          <w:rFonts w:ascii="Arial" w:hAnsi="Arial" w:cs="Arial"/>
          <w:noProof/>
          <w:sz w:val="20"/>
          <w:lang w:val="bg-BG"/>
        </w:rPr>
      </w:pPr>
      <w:r>
        <w:rPr>
          <w:rFonts w:ascii="Arial" w:hAnsi="Arial" w:cs="Arial"/>
          <w:i/>
          <w:noProof/>
          <w:sz w:val="20"/>
          <w:lang w:val="bg-BG"/>
        </w:rPr>
        <w:t>Прилагане на достиженията на правото на ЕС в областта на здравословните и безопасни условия на труд</w:t>
      </w:r>
    </w:p>
    <w:p w:rsidR="006F5B6C" w:rsidRDefault="00284F4D">
      <w:pPr>
        <w:rPr>
          <w:rFonts w:ascii="Arial" w:hAnsi="Arial" w:cs="Arial"/>
          <w:noProof/>
          <w:sz w:val="20"/>
          <w:lang w:val="bg-BG"/>
        </w:rPr>
      </w:pPr>
      <w:r>
        <w:rPr>
          <w:rFonts w:ascii="Arial" w:hAnsi="Arial" w:cs="Arial"/>
          <w:noProof/>
          <w:sz w:val="20"/>
          <w:lang w:val="bg-BG"/>
        </w:rPr>
        <w:t>Правилното и навременно транспониране и прилагане на директивите на ЕС в областта на здравословните и безопасни условия на труд е от решаващо значение за гарантиране на ефективна защита на здравето и безопасността на работниците, както и на равни условия на вътрешния пазар, допринасящи за растежа, работните места и инвестициите в ЕС.</w:t>
      </w:r>
    </w:p>
    <w:p w:rsidR="006F5B6C" w:rsidRDefault="00284F4D">
      <w:pPr>
        <w:rPr>
          <w:rFonts w:ascii="Arial" w:hAnsi="Arial" w:cs="Arial"/>
          <w:noProof/>
          <w:sz w:val="20"/>
          <w:lang w:val="bg-BG"/>
        </w:rPr>
      </w:pPr>
      <w:r>
        <w:rPr>
          <w:rFonts w:ascii="Arial" w:hAnsi="Arial" w:cs="Arial"/>
          <w:noProof/>
          <w:sz w:val="20"/>
          <w:lang w:val="bg-BG"/>
        </w:rPr>
        <w:t>Комисията започна проверки относно транспонирането от държавите членки на Директивата</w:t>
      </w:r>
      <w:r>
        <w:rPr>
          <w:rStyle w:val="FootnoteReference"/>
          <w:rFonts w:ascii="Arial" w:hAnsi="Arial" w:cs="Arial"/>
          <w:noProof/>
        </w:rPr>
        <w:footnoteReference w:id="7"/>
      </w:r>
      <w:r>
        <w:rPr>
          <w:rFonts w:ascii="Arial" w:hAnsi="Arial" w:cs="Arial"/>
          <w:noProof/>
          <w:sz w:val="20"/>
          <w:lang w:val="bg-BG"/>
        </w:rPr>
        <w:t xml:space="preserve"> за привеждане в съответствие на директивите в областта на здравословните и безопасни условия на труд към Регламента относно класифицирането, етикетирането и опаковането на вещества и смеси</w:t>
      </w:r>
      <w:r>
        <w:rPr>
          <w:rStyle w:val="FootnoteReference"/>
          <w:noProof/>
        </w:rPr>
        <w:footnoteReference w:id="8"/>
      </w:r>
      <w:r>
        <w:rPr>
          <w:rFonts w:ascii="Arial" w:hAnsi="Arial" w:cs="Arial"/>
          <w:noProof/>
          <w:sz w:val="20"/>
          <w:lang w:val="bg-BG"/>
        </w:rPr>
        <w:t>. Като осигурява връзка между директивите за здравословните и безопасни условия на труд и Регламента относно класифицирането, етикетирането и пакетирането на вещества и смеси, тази директива има важен принос за защитата на здравето на работниците срещу риска от излагане на опасни химикали. Комисията също така извършва проверки относно правилното транспониране в държавите членки на Директивата на Съвета за прилагане на рамковото споразумение на социалните партньори за превенция на нараняванията с остри предмети в сектора на здравеопазването и болниците</w:t>
      </w:r>
      <w:r>
        <w:rPr>
          <w:rStyle w:val="FootnoteReference"/>
          <w:noProof/>
        </w:rPr>
        <w:footnoteReference w:id="9"/>
      </w:r>
      <w:r>
        <w:rPr>
          <w:rFonts w:ascii="Arial" w:hAnsi="Arial" w:cs="Arial"/>
          <w:noProof/>
          <w:sz w:val="20"/>
          <w:lang w:val="bg-BG"/>
        </w:rPr>
        <w:t>.</w:t>
      </w:r>
    </w:p>
    <w:p w:rsidR="006F5B6C" w:rsidRDefault="00284F4D">
      <w:pPr>
        <w:rPr>
          <w:rFonts w:ascii="Arial" w:hAnsi="Arial" w:cs="Arial"/>
          <w:i/>
          <w:noProof/>
          <w:sz w:val="20"/>
          <w:lang w:val="bg-BG"/>
        </w:rPr>
      </w:pPr>
      <w:r>
        <w:rPr>
          <w:rFonts w:ascii="Arial" w:hAnsi="Arial" w:cs="Arial"/>
          <w:i/>
          <w:noProof/>
          <w:sz w:val="20"/>
          <w:lang w:val="bg-BG"/>
        </w:rPr>
        <w:lastRenderedPageBreak/>
        <w:t>Прилагане на достиженията на правото на ЕС в областта на образованието</w:t>
      </w:r>
    </w:p>
    <w:p w:rsidR="006F5B6C" w:rsidRDefault="00284F4D">
      <w:pPr>
        <w:rPr>
          <w:rFonts w:ascii="Arial" w:hAnsi="Arial" w:cs="Arial"/>
          <w:noProof/>
          <w:sz w:val="20"/>
          <w:lang w:val="bg-BG"/>
        </w:rPr>
      </w:pPr>
      <w:r>
        <w:rPr>
          <w:rFonts w:ascii="Arial" w:hAnsi="Arial" w:cs="Arial"/>
          <w:noProof/>
          <w:sz w:val="20"/>
          <w:lang w:val="bg-BG"/>
        </w:rPr>
        <w:t>Правилното прилагане на разпоредбите на правото на ЕС в областта на образованието оказва значително въздействие върху правата на гражданите на ЕС, включително студентите по програмите за мобилност. Получените от Комисията жалби в тази област се отнасят до достъпа до образование и по-специално до въпроси, свързани с равното третиране във връзка със стипендии, помощи и заеми, такси за обучение, езикови изисквания, намалени такси за транспорт за студенти или, наред с другото, административни практики. Основната цел на Комисията е да улесни мобилността с учебна цел на гражданите посредством правилното прилагане на правото на ЕС, което подобрява образованието им и по този начин допринася за работни места и растеж.</w:t>
      </w:r>
    </w:p>
    <w:p w:rsidR="006F5B6C" w:rsidRDefault="00284F4D">
      <w:pPr>
        <w:rPr>
          <w:rFonts w:ascii="Arial" w:hAnsi="Arial" w:cs="Arial"/>
          <w:i/>
          <w:noProof/>
          <w:sz w:val="20"/>
          <w:lang w:val="bg-BG"/>
        </w:rPr>
      </w:pPr>
      <w:r>
        <w:rPr>
          <w:rFonts w:ascii="Arial" w:hAnsi="Arial" w:cs="Arial"/>
          <w:i/>
          <w:noProof/>
          <w:sz w:val="20"/>
          <w:lang w:val="bg-BG"/>
        </w:rPr>
        <w:t>Прилагане на достиженията на правото на ЕС в областта на околната среда</w:t>
      </w:r>
    </w:p>
    <w:p w:rsidR="006F5B6C" w:rsidRDefault="00284F4D">
      <w:pPr>
        <w:rPr>
          <w:rFonts w:ascii="Arial" w:hAnsi="Arial" w:cs="Arial"/>
          <w:noProof/>
          <w:sz w:val="20"/>
          <w:lang w:val="bg-BG"/>
        </w:rPr>
      </w:pPr>
      <w:r>
        <w:rPr>
          <w:rFonts w:ascii="Arial" w:hAnsi="Arial" w:cs="Arial"/>
          <w:noProof/>
          <w:sz w:val="20"/>
          <w:lang w:val="bg-BG"/>
        </w:rPr>
        <w:t>Комисията насочи прилагането от нейна страна на правилата на ЕС за околната среда към постигане на целите на „Европа 2020“ и допринасяне за една по-стабилна и „по-кръгова“ икономика, която използва ресурсите по по-устойчив начин. Ефективното прилагане на законодателството в областта на околната среда е не само част от поддържането на върховенството на закона и предпоставка за създаването на по-здравословна околна среда в целия ЕС. То спомага и за гарантирането на равни условия за всички държави членки и икономически оператори, които трябва да отговарят на изискванията по отношение на опазването на околната среда. Стриктното прилагане също така стимулира пазара да намира иновативни начини за увеличаване на ефективността на ресурсите и намаляване на зависимостта от вноса. Такива иновации могат да предоставят на дружествата от ЕС конкурентно предимство и да доведат до създаването на работни места.</w:t>
      </w:r>
    </w:p>
    <w:p w:rsidR="006F5B6C" w:rsidRDefault="00284F4D">
      <w:pPr>
        <w:rPr>
          <w:rFonts w:ascii="Arial" w:hAnsi="Arial" w:cs="Arial"/>
          <w:noProof/>
          <w:sz w:val="20"/>
          <w:lang w:val="bg-BG"/>
        </w:rPr>
      </w:pPr>
      <w:r>
        <w:rPr>
          <w:rFonts w:ascii="Arial" w:hAnsi="Arial" w:cs="Arial"/>
          <w:noProof/>
          <w:sz w:val="20"/>
          <w:lang w:val="bg-BG"/>
        </w:rPr>
        <w:t>Все още в някои държави членки съществуват значителни недостатъци в изпълнението и прилагането на законодателството на ЕС в областта на околната среда. Това се отнася по-специално за управлението на отпадъци, инфраструктурата за пречистване на отпадъчни води и спазването на пределно допустимите стойности за качеството на въздуха.</w:t>
      </w:r>
    </w:p>
    <w:p w:rsidR="006F5B6C" w:rsidRDefault="00284F4D">
      <w:pPr>
        <w:rPr>
          <w:rFonts w:ascii="Arial" w:hAnsi="Arial" w:cs="Arial"/>
          <w:noProof/>
          <w:sz w:val="20"/>
          <w:lang w:val="bg-BG"/>
        </w:rPr>
      </w:pPr>
      <w:r>
        <w:rPr>
          <w:rFonts w:ascii="Arial" w:hAnsi="Arial" w:cs="Arial"/>
          <w:noProof/>
          <w:sz w:val="20"/>
          <w:lang w:val="bg-BG"/>
        </w:rPr>
        <w:t>Комисията продължи да преодолява тези недостатъци чрез законови средства, по-специално чрез производства за установяване на неизпълнение на задължения, но и чрез насърчаване на спазването. Например Комисията подкрепя подобряване на управлението на битови отпадъци в общините в региони със слаби или средни резултати Въз основа на оценката на ситуацията с управлението на отпадъците във всяка държава членка са съставени „пътни карти“ с препоръки за подобряване на управлението на битовите отпадъци във всяка една държава. Подобни инициативи спомагат за прилагане на инициативата „кръгова икономика“, публикувана от Комисията през декември 2015 г.</w:t>
      </w:r>
      <w:r>
        <w:rPr>
          <w:rStyle w:val="FootnoteReference"/>
          <w:noProof/>
        </w:rPr>
        <w:footnoteReference w:id="10"/>
      </w:r>
      <w:r>
        <w:rPr>
          <w:rFonts w:ascii="Arial" w:hAnsi="Arial" w:cs="Arial"/>
          <w:noProof/>
          <w:sz w:val="20"/>
          <w:lang w:val="bg-BG"/>
        </w:rPr>
        <w:t>.</w:t>
      </w:r>
    </w:p>
    <w:p w:rsidR="006F5B6C" w:rsidRDefault="00284F4D">
      <w:pPr>
        <w:rPr>
          <w:rFonts w:ascii="Arial" w:hAnsi="Arial" w:cs="Arial"/>
          <w:i/>
          <w:noProof/>
          <w:sz w:val="20"/>
          <w:lang w:val="bg-BG"/>
        </w:rPr>
      </w:pPr>
      <w:r>
        <w:rPr>
          <w:rFonts w:ascii="Arial" w:hAnsi="Arial" w:cs="Arial"/>
          <w:i/>
          <w:noProof/>
          <w:sz w:val="20"/>
          <w:lang w:val="bg-BG"/>
        </w:rPr>
        <w:t>Прилагане на достиженията на правото на ЕС в областта на селското стопанство</w:t>
      </w:r>
    </w:p>
    <w:p w:rsidR="006F5B6C" w:rsidRDefault="00284F4D">
      <w:pPr>
        <w:rPr>
          <w:noProof/>
          <w:lang w:val="bg-BG"/>
        </w:rPr>
      </w:pPr>
      <w:r>
        <w:rPr>
          <w:rFonts w:ascii="Arial" w:hAnsi="Arial" w:cs="Arial"/>
          <w:noProof/>
          <w:sz w:val="20"/>
          <w:lang w:val="bg-BG"/>
        </w:rPr>
        <w:t>Стратегията на Комисията за прилагане на законодателството беше съсредоточена върху гарантиране на прилагането на селскостопанските мерки с най-голям потенциал за подпомагане на растежа и създаването на работни места. Приоритет бе правилното прилагане от държавите членки на разпоредбите, регулиращи схемата за директни плащания съгласно реформата на общата селскостопанска политика за периода 2014</w:t>
      </w:r>
      <w:r>
        <w:rPr>
          <w:noProof/>
          <w:lang w:val="bg-BG"/>
        </w:rPr>
        <w:t>—</w:t>
      </w:r>
      <w:r>
        <w:rPr>
          <w:rFonts w:ascii="Arial" w:hAnsi="Arial" w:cs="Arial"/>
          <w:noProof/>
          <w:sz w:val="20"/>
          <w:lang w:val="bg-BG"/>
        </w:rPr>
        <w:t>2020 г. Годишните директни плащания осигуряват основна защита за доходите на земеделските стопани срещу сътресенията, на които е изложено селското стопанство, като например ценовите промени и метеорологичните условия. Това спомага да се предотврати прекомерната загуба на работни места и продукция както в сектора на земеделието, така и в редица други сектори, които са зависими от него.</w:t>
      </w:r>
    </w:p>
    <w:p w:rsidR="006F5B6C" w:rsidRDefault="00284F4D">
      <w:pPr>
        <w:rPr>
          <w:rFonts w:ascii="Arial" w:hAnsi="Arial" w:cs="Arial"/>
          <w:noProof/>
          <w:sz w:val="20"/>
          <w:lang w:val="bg-BG"/>
        </w:rPr>
      </w:pPr>
      <w:r>
        <w:rPr>
          <w:rFonts w:ascii="Arial" w:hAnsi="Arial" w:cs="Arial"/>
          <w:noProof/>
          <w:sz w:val="20"/>
          <w:lang w:val="bg-BG"/>
        </w:rPr>
        <w:t xml:space="preserve">Комисията също така следеше отблизо прилагането на схемите на ЕС за етикетиране за качество, които позволяват на земеделските стопани и на производителите на хранителни </w:t>
      </w:r>
      <w:r>
        <w:rPr>
          <w:rFonts w:ascii="Arial" w:hAnsi="Arial" w:cs="Arial"/>
          <w:noProof/>
          <w:sz w:val="20"/>
          <w:lang w:val="bg-BG"/>
        </w:rPr>
        <w:lastRenderedPageBreak/>
        <w:t>продукти да развиват сред потребителите осведоменост по отношение на продукти с конкретни качества, свързани с техния произход (в този случай така наречените географски указания). Освен това в сектора на биологичното производство бяха извършени проверки за съответствие с цел предотвратяване, откриване и справяне с измами и повишаване на доверието на потребителите.</w:t>
      </w:r>
    </w:p>
    <w:p w:rsidR="006F5B6C" w:rsidRDefault="00284F4D">
      <w:pPr>
        <w:rPr>
          <w:rFonts w:ascii="Arial" w:hAnsi="Arial" w:cs="Arial"/>
          <w:noProof/>
          <w:sz w:val="20"/>
          <w:lang w:val="bg-BG"/>
        </w:rPr>
      </w:pPr>
      <w:r>
        <w:rPr>
          <w:rFonts w:ascii="Arial" w:hAnsi="Arial" w:cs="Arial"/>
          <w:noProof/>
          <w:sz w:val="20"/>
          <w:lang w:val="bg-BG"/>
        </w:rPr>
        <w:t>Значителни усилия бяха положени също така да се гарантира, че предоставената от държавите членки помощ за развитие на селските райони посредством програми за развитие на селските райони е в съответствие с разпоредбите на ЕС и критериите от одобрените програми.</w:t>
      </w:r>
    </w:p>
    <w:p w:rsidR="006F5B6C" w:rsidRDefault="00284F4D">
      <w:pPr>
        <w:rPr>
          <w:rFonts w:ascii="Arial" w:hAnsi="Arial" w:cs="Arial"/>
          <w:i/>
          <w:noProof/>
          <w:sz w:val="20"/>
          <w:lang w:val="bg-BG"/>
        </w:rPr>
      </w:pPr>
      <w:r>
        <w:rPr>
          <w:rFonts w:ascii="Arial" w:hAnsi="Arial" w:cs="Arial"/>
          <w:i/>
          <w:noProof/>
          <w:sz w:val="20"/>
          <w:lang w:val="bg-BG"/>
        </w:rPr>
        <w:t>Прилагане на достиженията на правото на ЕС в областта на морското дело и рибарството</w:t>
      </w:r>
    </w:p>
    <w:p w:rsidR="006F5B6C" w:rsidRDefault="00284F4D">
      <w:pPr>
        <w:rPr>
          <w:rFonts w:ascii="Arial" w:hAnsi="Arial" w:cs="Arial"/>
          <w:noProof/>
          <w:sz w:val="20"/>
          <w:lang w:val="bg-BG"/>
        </w:rPr>
      </w:pPr>
      <w:r>
        <w:rPr>
          <w:rFonts w:ascii="Arial" w:hAnsi="Arial" w:cs="Arial"/>
          <w:noProof/>
          <w:sz w:val="20"/>
          <w:lang w:val="bg-BG"/>
        </w:rPr>
        <w:t>Комисията следеше отблизо области, свързани с опазването и контрола на рибните ресурси, които са от съществено значение за изграждането на „кръгова“ икономика, в рамките на която рибните ресурси се използват устойчиво. Това ще гарантира осигуряването на работни места и растеж в сектора на рибарството в дългосрочен план. Особено внимание бе отделено на системните недостатъци в националните системи за наблюдение на рибарството, които позволяват незаконни риболовни дейности да останат неразкрити, което вреди на устойчивостта на сектора. В съответствие с целта на ЕС да стане по-силен глобален участник в областта на рибарството Комисията е предприела действия в някои случаи, в които изключителната външна компетентност на ЕС не е била зачетена.</w:t>
      </w:r>
    </w:p>
    <w:p w:rsidR="006F5B6C" w:rsidRDefault="00284F4D">
      <w:pPr>
        <w:pStyle w:val="kop3"/>
        <w:rPr>
          <w:noProof/>
        </w:rPr>
      </w:pPr>
      <w:bookmarkStart w:id="6" w:name="_Toc454443110"/>
      <w:r>
        <w:rPr>
          <w:noProof/>
          <w:lang w:val="bg-BG"/>
        </w:rPr>
        <w:t>Свързан „цифров единен пазар“</w:t>
      </w:r>
      <w:bookmarkEnd w:id="6"/>
    </w:p>
    <w:p w:rsidR="006F5B6C" w:rsidRDefault="00284F4D">
      <w:pPr>
        <w:rPr>
          <w:rFonts w:ascii="Arial" w:hAnsi="Arial" w:cs="Arial"/>
          <w:b/>
          <w:noProof/>
          <w:sz w:val="20"/>
          <w:lang w:val="bg-BG"/>
        </w:rPr>
      </w:pPr>
      <w:r>
        <w:rPr>
          <w:rFonts w:ascii="Arial" w:hAnsi="Arial" w:cs="Arial"/>
          <w:noProof/>
          <w:sz w:val="20"/>
          <w:lang w:val="bg-BG"/>
        </w:rPr>
        <w:t>Стратегията на Комисията по прилагане на законодателството в областта на комуникационните мрежи</w:t>
      </w:r>
      <w:r>
        <w:rPr>
          <w:rFonts w:ascii="Arial" w:hAnsi="Arial" w:cs="Arial"/>
          <w:noProof/>
          <w:sz w:val="20"/>
          <w:lang w:val="ru-RU"/>
        </w:rPr>
        <w:t xml:space="preserve">, </w:t>
      </w:r>
      <w:r>
        <w:rPr>
          <w:rFonts w:ascii="Arial" w:hAnsi="Arial" w:cs="Arial"/>
          <w:noProof/>
          <w:sz w:val="20"/>
          <w:lang w:val="bg-BG"/>
        </w:rPr>
        <w:t>съдържанието и технологията беше насочена към определени приоритети. Те включват например структурните елементи на законодателството в областта на електронните комуникации, като</w:t>
      </w:r>
      <w:r>
        <w:rPr>
          <w:rFonts w:ascii="Arial" w:hAnsi="Arial" w:cs="Arial"/>
          <w:noProof/>
          <w:sz w:val="20"/>
          <w:lang w:val="ru-RU"/>
        </w:rPr>
        <w:t xml:space="preserve"> </w:t>
      </w:r>
      <w:r>
        <w:rPr>
          <w:rFonts w:ascii="Arial" w:hAnsi="Arial" w:cs="Arial"/>
          <w:noProof/>
          <w:sz w:val="20"/>
          <w:lang w:val="bg-BG"/>
        </w:rPr>
        <w:t>независимостта на националните регулаторни органи</w:t>
      </w:r>
      <w:r>
        <w:rPr>
          <w:rFonts w:ascii="Arial" w:hAnsi="Arial" w:cs="Arial"/>
          <w:noProof/>
          <w:sz w:val="20"/>
          <w:lang w:val="ru-RU"/>
        </w:rPr>
        <w:t xml:space="preserve">, </w:t>
      </w:r>
      <w:r>
        <w:rPr>
          <w:rFonts w:ascii="Arial" w:hAnsi="Arial" w:cs="Arial"/>
          <w:noProof/>
          <w:sz w:val="20"/>
          <w:lang w:val="bg-BG"/>
        </w:rPr>
        <w:t>зачитане на процедурите за консултации и крайните срокове в процеса на пазарните анализи</w:t>
      </w:r>
      <w:r>
        <w:rPr>
          <w:rFonts w:ascii="Arial" w:hAnsi="Arial" w:cs="Arial"/>
          <w:noProof/>
          <w:sz w:val="20"/>
          <w:lang w:val="ru-RU"/>
        </w:rPr>
        <w:t xml:space="preserve">, </w:t>
      </w:r>
      <w:r>
        <w:rPr>
          <w:rFonts w:ascii="Arial" w:hAnsi="Arial" w:cs="Arial"/>
          <w:noProof/>
          <w:sz w:val="20"/>
          <w:lang w:val="bg-BG"/>
        </w:rPr>
        <w:t>управление на радиочестотния спектър и свободата на установяване</w:t>
      </w:r>
      <w:r>
        <w:rPr>
          <w:rFonts w:ascii="Arial" w:hAnsi="Arial" w:cs="Arial"/>
          <w:noProof/>
          <w:sz w:val="20"/>
          <w:lang w:val="ru-RU"/>
        </w:rPr>
        <w:t xml:space="preserve">. </w:t>
      </w:r>
      <w:r>
        <w:rPr>
          <w:rFonts w:ascii="Arial" w:hAnsi="Arial" w:cs="Arial"/>
          <w:noProof/>
          <w:sz w:val="20"/>
          <w:lang w:val="bg-BG"/>
        </w:rPr>
        <w:t>Дейностите по прилагане на законодателството също така бяха насочени към основните разпоредби за съхраняване на вътрешния пазар в областта на аудиовизуалните услуги, като например принципа на държавата на произход и свобода на приемането</w:t>
      </w:r>
      <w:r>
        <w:rPr>
          <w:rFonts w:ascii="Arial" w:hAnsi="Arial" w:cs="Arial"/>
          <w:noProof/>
          <w:sz w:val="20"/>
          <w:lang w:val="ru-RU"/>
        </w:rPr>
        <w:t xml:space="preserve">. </w:t>
      </w:r>
      <w:r>
        <w:rPr>
          <w:rFonts w:ascii="Arial" w:hAnsi="Arial" w:cs="Arial"/>
          <w:noProof/>
          <w:sz w:val="20"/>
          <w:lang w:val="bg-BG"/>
        </w:rPr>
        <w:t xml:space="preserve">Освен това Комисията извърши проверки за съответствие относно транспонирането от държавите членки на Директивата относно повторната употреба на информация в обществения сектор </w:t>
      </w:r>
      <w:r>
        <w:rPr>
          <w:rFonts w:ascii="Arial" w:hAnsi="Arial" w:cs="Arial"/>
          <w:noProof/>
          <w:sz w:val="20"/>
          <w:lang w:val="ru-RU"/>
        </w:rPr>
        <w:t>(</w:t>
      </w:r>
      <w:r>
        <w:rPr>
          <w:rFonts w:ascii="Arial" w:hAnsi="Arial" w:cs="Arial"/>
          <w:noProof/>
          <w:sz w:val="20"/>
          <w:lang w:val="bg-BG"/>
        </w:rPr>
        <w:t>„Директивата за ИОС“</w:t>
      </w:r>
      <w:r>
        <w:rPr>
          <w:rFonts w:ascii="Arial" w:hAnsi="Arial" w:cs="Arial"/>
          <w:noProof/>
          <w:sz w:val="20"/>
          <w:lang w:val="ru-RU"/>
        </w:rPr>
        <w:t>)</w:t>
      </w:r>
      <w:r>
        <w:rPr>
          <w:rStyle w:val="FootnoteReference"/>
          <w:noProof/>
        </w:rPr>
        <w:footnoteReference w:id="11"/>
      </w:r>
      <w:r>
        <w:rPr>
          <w:rFonts w:ascii="Arial" w:hAnsi="Arial" w:cs="Arial"/>
          <w:noProof/>
          <w:sz w:val="20"/>
          <w:lang w:val="bg-BG"/>
        </w:rPr>
        <w:t>.</w:t>
      </w:r>
    </w:p>
    <w:p w:rsidR="006F5B6C" w:rsidRDefault="00284F4D">
      <w:pPr>
        <w:pStyle w:val="kop3"/>
        <w:rPr>
          <w:noProof/>
          <w:lang w:val="bg-BG"/>
        </w:rPr>
      </w:pPr>
      <w:bookmarkStart w:id="7" w:name="_Toc454443111"/>
      <w:r>
        <w:rPr>
          <w:noProof/>
          <w:lang w:val="bg-BG"/>
        </w:rPr>
        <w:t>Устойчив енергиен съюз с ориентирана към бъдещето политика по въпросите на изменението на климата</w:t>
      </w:r>
      <w:bookmarkEnd w:id="7"/>
    </w:p>
    <w:p w:rsidR="006F5B6C" w:rsidRDefault="00284F4D">
      <w:pPr>
        <w:rPr>
          <w:rFonts w:ascii="Arial" w:hAnsi="Arial" w:cs="Arial"/>
          <w:noProof/>
          <w:sz w:val="20"/>
          <w:lang w:val="bg-BG"/>
        </w:rPr>
      </w:pPr>
      <w:r>
        <w:rPr>
          <w:rFonts w:ascii="Arial" w:hAnsi="Arial" w:cs="Arial"/>
          <w:noProof/>
          <w:sz w:val="20"/>
          <w:lang w:val="bg-BG"/>
        </w:rPr>
        <w:t>В Рамковата стратегия на Комисията за устойчив енергиен съюз с ориентирана към бъдещето политика по въпросите на изменението на климата</w:t>
      </w:r>
      <w:r>
        <w:rPr>
          <w:rStyle w:val="FootnoteReference"/>
          <w:noProof/>
        </w:rPr>
        <w:footnoteReference w:id="12"/>
      </w:r>
      <w:r>
        <w:rPr>
          <w:rFonts w:ascii="Arial" w:hAnsi="Arial" w:cs="Arial"/>
          <w:noProof/>
          <w:sz w:val="20"/>
          <w:lang w:val="bg-BG"/>
        </w:rPr>
        <w:t xml:space="preserve"> се предвижда, че „пълното изпълнение и стриктното правоприлагане на съществуващото енергийно и свързано с него законодателство е първият по ред приоритет за създаването на енергийния съюз“.</w:t>
      </w:r>
    </w:p>
    <w:p w:rsidR="006F5B6C" w:rsidRDefault="00284F4D">
      <w:pPr>
        <w:rPr>
          <w:rFonts w:ascii="Arial" w:hAnsi="Arial" w:cs="Arial"/>
          <w:noProof/>
          <w:sz w:val="20"/>
          <w:lang w:val="bg-BG"/>
        </w:rPr>
      </w:pPr>
      <w:r>
        <w:rPr>
          <w:rFonts w:ascii="Arial" w:hAnsi="Arial" w:cs="Arial"/>
          <w:noProof/>
          <w:sz w:val="20"/>
          <w:lang w:val="bg-BG"/>
        </w:rPr>
        <w:t xml:space="preserve">Комисията следеше отблизо прилагането на </w:t>
      </w:r>
      <w:r>
        <w:rPr>
          <w:rFonts w:ascii="Arial" w:hAnsi="Arial" w:cs="Arial"/>
          <w:i/>
          <w:noProof/>
          <w:sz w:val="20"/>
          <w:lang w:val="bg-BG"/>
        </w:rPr>
        <w:t>достиженията на правото на ЕС</w:t>
      </w:r>
      <w:r>
        <w:rPr>
          <w:rFonts w:ascii="Arial" w:hAnsi="Arial" w:cs="Arial"/>
          <w:noProof/>
          <w:sz w:val="20"/>
          <w:lang w:val="bg-BG"/>
        </w:rPr>
        <w:t xml:space="preserve"> в</w:t>
      </w:r>
      <w:r>
        <w:rPr>
          <w:rFonts w:ascii="Arial" w:hAnsi="Arial"/>
          <w:noProof/>
          <w:sz w:val="20"/>
          <w:lang w:val="bg-BG"/>
        </w:rPr>
        <w:t xml:space="preserve"> областта на климата и енергийната политика</w:t>
      </w:r>
      <w:r>
        <w:rPr>
          <w:rFonts w:ascii="Arial" w:hAnsi="Arial" w:cs="Arial"/>
          <w:noProof/>
          <w:sz w:val="20"/>
          <w:lang w:val="bg-BG"/>
        </w:rPr>
        <w:t>. Тя предприе системни проверки на транспонирането от страна на държавите членки и съответствието с:</w:t>
      </w:r>
    </w:p>
    <w:p w:rsidR="006F5B6C" w:rsidRDefault="00284F4D">
      <w:pPr>
        <w:pStyle w:val="ListParagraph"/>
        <w:numPr>
          <w:ilvl w:val="0"/>
          <w:numId w:val="37"/>
        </w:numPr>
        <w:rPr>
          <w:rFonts w:ascii="Arial" w:hAnsi="Arial" w:cs="Arial"/>
          <w:noProof/>
          <w:sz w:val="20"/>
          <w:lang w:val="bg-BG"/>
        </w:rPr>
      </w:pPr>
      <w:r>
        <w:rPr>
          <w:rFonts w:ascii="Arial" w:hAnsi="Arial" w:cs="Arial"/>
          <w:noProof/>
          <w:sz w:val="20"/>
          <w:lang w:val="bg-BG"/>
        </w:rPr>
        <w:t>директивите от Третия енергиен пакт</w:t>
      </w:r>
      <w:r>
        <w:rPr>
          <w:rStyle w:val="FootnoteReference"/>
          <w:rFonts w:ascii="Arial" w:hAnsi="Arial" w:cs="Arial"/>
          <w:noProof/>
          <w:sz w:val="20"/>
        </w:rPr>
        <w:footnoteReference w:id="13"/>
      </w:r>
      <w:r>
        <w:rPr>
          <w:rFonts w:ascii="Arial" w:hAnsi="Arial" w:cs="Arial"/>
          <w:noProof/>
          <w:sz w:val="20"/>
          <w:lang w:val="bg-BG"/>
        </w:rPr>
        <w:t>;</w:t>
      </w:r>
    </w:p>
    <w:p w:rsidR="006F5B6C" w:rsidRDefault="00284F4D">
      <w:pPr>
        <w:pStyle w:val="ListParagraph"/>
        <w:numPr>
          <w:ilvl w:val="0"/>
          <w:numId w:val="37"/>
        </w:numPr>
        <w:rPr>
          <w:rFonts w:ascii="Arial" w:hAnsi="Arial" w:cs="Arial"/>
          <w:noProof/>
          <w:sz w:val="20"/>
          <w:lang w:val="bg-BG"/>
        </w:rPr>
      </w:pPr>
      <w:r>
        <w:rPr>
          <w:rFonts w:ascii="Arial" w:hAnsi="Arial" w:cs="Arial"/>
          <w:noProof/>
          <w:sz w:val="20"/>
          <w:lang w:val="bg-BG"/>
        </w:rPr>
        <w:t>Директивата за безопасността в крайбрежни води</w:t>
      </w:r>
      <w:r>
        <w:rPr>
          <w:rStyle w:val="FootnoteReference"/>
          <w:rFonts w:ascii="Arial" w:hAnsi="Arial" w:cs="Arial"/>
          <w:noProof/>
          <w:sz w:val="20"/>
        </w:rPr>
        <w:footnoteReference w:id="14"/>
      </w:r>
      <w:r>
        <w:rPr>
          <w:rFonts w:ascii="Arial" w:hAnsi="Arial" w:cs="Arial"/>
          <w:noProof/>
          <w:sz w:val="20"/>
          <w:lang w:val="bg-BG"/>
        </w:rPr>
        <w:t>;</w:t>
      </w:r>
    </w:p>
    <w:p w:rsidR="006F5B6C" w:rsidRDefault="00284F4D">
      <w:pPr>
        <w:pStyle w:val="ListParagraph"/>
        <w:numPr>
          <w:ilvl w:val="0"/>
          <w:numId w:val="37"/>
        </w:numPr>
        <w:rPr>
          <w:rFonts w:ascii="Arial" w:hAnsi="Arial" w:cs="Arial"/>
          <w:noProof/>
          <w:sz w:val="20"/>
        </w:rPr>
      </w:pPr>
      <w:r>
        <w:rPr>
          <w:rFonts w:ascii="Arial" w:hAnsi="Arial" w:cs="Arial"/>
          <w:noProof/>
          <w:sz w:val="20"/>
          <w:lang w:val="bg-BG"/>
        </w:rPr>
        <w:t>Директивата за енергийната ефективност</w:t>
      </w:r>
      <w:r>
        <w:rPr>
          <w:rStyle w:val="FootnoteReference"/>
          <w:rFonts w:ascii="Arial" w:hAnsi="Arial" w:cs="Arial"/>
          <w:noProof/>
          <w:sz w:val="20"/>
        </w:rPr>
        <w:footnoteReference w:id="15"/>
      </w:r>
      <w:r>
        <w:rPr>
          <w:rFonts w:ascii="Arial" w:hAnsi="Arial" w:cs="Arial"/>
          <w:noProof/>
          <w:sz w:val="20"/>
          <w:lang w:val="bg-BG"/>
        </w:rPr>
        <w:t>;</w:t>
      </w:r>
    </w:p>
    <w:p w:rsidR="006F5B6C" w:rsidRDefault="00284F4D">
      <w:pPr>
        <w:pStyle w:val="ListParagraph"/>
        <w:numPr>
          <w:ilvl w:val="0"/>
          <w:numId w:val="37"/>
        </w:numPr>
        <w:rPr>
          <w:rFonts w:ascii="Arial" w:hAnsi="Arial" w:cs="Arial"/>
          <w:noProof/>
          <w:sz w:val="20"/>
          <w:lang w:val="ru-RU"/>
        </w:rPr>
      </w:pPr>
      <w:r>
        <w:rPr>
          <w:rFonts w:ascii="Arial" w:hAnsi="Arial" w:cs="Arial"/>
          <w:noProof/>
          <w:sz w:val="20"/>
          <w:lang w:val="bg-BG"/>
        </w:rPr>
        <w:lastRenderedPageBreak/>
        <w:t>Директивата за енергийните характеристики на сградите</w:t>
      </w:r>
      <w:r>
        <w:rPr>
          <w:rStyle w:val="FootnoteReference"/>
          <w:rFonts w:ascii="Arial" w:hAnsi="Arial" w:cs="Arial"/>
          <w:noProof/>
          <w:sz w:val="20"/>
        </w:rPr>
        <w:footnoteReference w:id="16"/>
      </w:r>
      <w:r>
        <w:rPr>
          <w:rFonts w:ascii="Arial" w:hAnsi="Arial" w:cs="Arial"/>
          <w:noProof/>
          <w:sz w:val="20"/>
          <w:lang w:val="bg-BG"/>
        </w:rPr>
        <w:t>;</w:t>
      </w:r>
    </w:p>
    <w:p w:rsidR="006F5B6C" w:rsidRDefault="00284F4D">
      <w:pPr>
        <w:pStyle w:val="ListParagraph"/>
        <w:numPr>
          <w:ilvl w:val="0"/>
          <w:numId w:val="37"/>
        </w:numPr>
        <w:rPr>
          <w:rFonts w:ascii="Arial" w:hAnsi="Arial" w:cs="Arial"/>
          <w:noProof/>
          <w:sz w:val="20"/>
        </w:rPr>
      </w:pPr>
      <w:r>
        <w:rPr>
          <w:rFonts w:ascii="Arial" w:hAnsi="Arial" w:cs="Arial"/>
          <w:noProof/>
          <w:sz w:val="20"/>
          <w:lang w:val="bg-BG"/>
        </w:rPr>
        <w:t>Директивата за възобновяемата енергия</w:t>
      </w:r>
      <w:r>
        <w:rPr>
          <w:rStyle w:val="FootnoteReference"/>
          <w:rFonts w:ascii="Arial" w:hAnsi="Arial" w:cs="Arial"/>
          <w:noProof/>
          <w:sz w:val="20"/>
        </w:rPr>
        <w:footnoteReference w:id="17"/>
      </w:r>
      <w:r>
        <w:rPr>
          <w:rFonts w:ascii="Arial" w:hAnsi="Arial" w:cs="Arial"/>
          <w:noProof/>
          <w:sz w:val="20"/>
          <w:lang w:val="bg-BG"/>
        </w:rPr>
        <w:t>;</w:t>
      </w:r>
    </w:p>
    <w:p w:rsidR="006F5B6C" w:rsidRDefault="00284F4D">
      <w:pPr>
        <w:pStyle w:val="ListParagraph"/>
        <w:numPr>
          <w:ilvl w:val="0"/>
          <w:numId w:val="37"/>
        </w:numPr>
        <w:rPr>
          <w:rFonts w:ascii="Arial" w:hAnsi="Arial" w:cs="Arial"/>
          <w:noProof/>
          <w:sz w:val="20"/>
          <w:lang w:val="ru-RU"/>
        </w:rPr>
      </w:pPr>
      <w:r>
        <w:rPr>
          <w:rFonts w:ascii="Arial" w:hAnsi="Arial" w:cs="Arial"/>
          <w:noProof/>
          <w:sz w:val="20"/>
          <w:lang w:val="bg-BG"/>
        </w:rPr>
        <w:t>Директивата за запасите от нефт и нефтопродукти</w:t>
      </w:r>
      <w:r>
        <w:rPr>
          <w:rStyle w:val="FootnoteReference"/>
          <w:rFonts w:ascii="Arial" w:hAnsi="Arial" w:cs="Arial"/>
          <w:noProof/>
          <w:sz w:val="20"/>
        </w:rPr>
        <w:footnoteReference w:id="18"/>
      </w:r>
      <w:r>
        <w:rPr>
          <w:rFonts w:ascii="Arial" w:hAnsi="Arial" w:cs="Arial"/>
          <w:noProof/>
          <w:sz w:val="20"/>
          <w:lang w:val="bg-BG"/>
        </w:rPr>
        <w:t>; и</w:t>
      </w:r>
    </w:p>
    <w:p w:rsidR="006F5B6C" w:rsidRDefault="00284F4D">
      <w:pPr>
        <w:pStyle w:val="ListParagraph"/>
        <w:numPr>
          <w:ilvl w:val="0"/>
          <w:numId w:val="37"/>
        </w:numPr>
        <w:rPr>
          <w:rFonts w:ascii="Arial" w:hAnsi="Arial" w:cs="Arial"/>
          <w:noProof/>
          <w:sz w:val="20"/>
        </w:rPr>
      </w:pPr>
      <w:r>
        <w:rPr>
          <w:rFonts w:ascii="Arial" w:hAnsi="Arial" w:cs="Arial"/>
          <w:noProof/>
          <w:sz w:val="20"/>
          <w:lang w:val="bg-BG"/>
        </w:rPr>
        <w:t>Директивата за радиоактивните отпадъци</w:t>
      </w:r>
      <w:r>
        <w:rPr>
          <w:rStyle w:val="FootnoteReference"/>
          <w:noProof/>
        </w:rPr>
        <w:footnoteReference w:id="19"/>
      </w:r>
      <w:r>
        <w:rPr>
          <w:rFonts w:ascii="Arial" w:hAnsi="Arial" w:cs="Arial"/>
          <w:noProof/>
          <w:sz w:val="20"/>
          <w:lang w:val="bg-BG"/>
        </w:rPr>
        <w:t>;</w:t>
      </w:r>
    </w:p>
    <w:p w:rsidR="006F5B6C" w:rsidRDefault="00284F4D">
      <w:pPr>
        <w:pStyle w:val="ListParagraph"/>
        <w:numPr>
          <w:ilvl w:val="0"/>
          <w:numId w:val="37"/>
        </w:numPr>
        <w:spacing w:line="276" w:lineRule="auto"/>
        <w:rPr>
          <w:rFonts w:ascii="Arial" w:hAnsi="Arial" w:cs="Arial"/>
          <w:noProof/>
          <w:sz w:val="20"/>
          <w:lang w:val="ru-RU"/>
        </w:rPr>
      </w:pPr>
      <w:r>
        <w:rPr>
          <w:rFonts w:ascii="Arial" w:hAnsi="Arial" w:cs="Arial"/>
          <w:noProof/>
          <w:sz w:val="20"/>
          <w:lang w:val="bg-BG"/>
        </w:rPr>
        <w:t>Директивите на ЕС за търговията с емисии</w:t>
      </w:r>
      <w:r>
        <w:rPr>
          <w:rStyle w:val="FootnoteReference"/>
          <w:rFonts w:ascii="Arial" w:hAnsi="Arial" w:cs="Arial"/>
          <w:noProof/>
          <w:sz w:val="20"/>
        </w:rPr>
        <w:footnoteReference w:id="20"/>
      </w:r>
      <w:r>
        <w:rPr>
          <w:rFonts w:ascii="Arial" w:hAnsi="Arial" w:cs="Arial"/>
          <w:noProof/>
          <w:sz w:val="20"/>
          <w:lang w:val="bg-BG"/>
        </w:rPr>
        <w:t>;</w:t>
      </w:r>
      <w:r>
        <w:rPr>
          <w:rFonts w:ascii="Arial" w:hAnsi="Arial" w:cs="Arial"/>
          <w:noProof/>
          <w:sz w:val="20"/>
          <w:lang w:val="ru-RU"/>
        </w:rPr>
        <w:t xml:space="preserve"> </w:t>
      </w:r>
    </w:p>
    <w:p w:rsidR="006F5B6C" w:rsidRDefault="00284F4D">
      <w:pPr>
        <w:pStyle w:val="ListParagraph"/>
        <w:numPr>
          <w:ilvl w:val="0"/>
          <w:numId w:val="37"/>
        </w:numPr>
        <w:spacing w:line="276" w:lineRule="auto"/>
        <w:rPr>
          <w:rFonts w:ascii="Arial" w:hAnsi="Arial" w:cs="Arial"/>
          <w:noProof/>
          <w:sz w:val="20"/>
          <w:lang w:val="ru-RU"/>
        </w:rPr>
      </w:pPr>
      <w:r>
        <w:rPr>
          <w:rFonts w:ascii="Arial" w:hAnsi="Arial" w:cs="Arial"/>
          <w:noProof/>
          <w:sz w:val="20"/>
          <w:lang w:val="bg-BG"/>
        </w:rPr>
        <w:t>Директивата относно качествата на горивата</w:t>
      </w:r>
      <w:r>
        <w:rPr>
          <w:rStyle w:val="FootnoteReference"/>
          <w:rFonts w:ascii="Arial" w:hAnsi="Arial" w:cs="Arial"/>
          <w:noProof/>
          <w:sz w:val="20"/>
        </w:rPr>
        <w:footnoteReference w:id="21"/>
      </w:r>
      <w:r>
        <w:rPr>
          <w:rFonts w:ascii="Arial" w:eastAsia="MS Gothic" w:hAnsi="Arial" w:cs="Arial"/>
          <w:noProof/>
          <w:sz w:val="20"/>
          <w:lang w:val="bg-BG"/>
        </w:rPr>
        <w:t>;</w:t>
      </w:r>
      <w:r>
        <w:rPr>
          <w:rFonts w:ascii="Arial" w:eastAsia="MS Gothic" w:hAnsi="Arial" w:cs="Arial"/>
          <w:noProof/>
          <w:sz w:val="20"/>
          <w:lang w:val="ru-RU"/>
        </w:rPr>
        <w:t xml:space="preserve"> </w:t>
      </w:r>
      <w:r>
        <w:rPr>
          <w:rFonts w:ascii="Arial" w:hAnsi="Arial" w:cs="Arial"/>
          <w:noProof/>
          <w:sz w:val="20"/>
          <w:lang w:val="bg-BG"/>
        </w:rPr>
        <w:t>и</w:t>
      </w:r>
    </w:p>
    <w:p w:rsidR="006F5B6C" w:rsidRDefault="00284F4D">
      <w:pPr>
        <w:pStyle w:val="ListParagraph"/>
        <w:numPr>
          <w:ilvl w:val="0"/>
          <w:numId w:val="37"/>
        </w:numPr>
        <w:spacing w:line="276" w:lineRule="auto"/>
        <w:rPr>
          <w:rFonts w:ascii="Arial" w:hAnsi="Arial" w:cs="Arial"/>
          <w:noProof/>
          <w:sz w:val="20"/>
          <w:lang w:val="ru-RU"/>
        </w:rPr>
      </w:pPr>
      <w:r>
        <w:rPr>
          <w:rFonts w:ascii="Arial" w:hAnsi="Arial" w:cs="Arial"/>
          <w:noProof/>
          <w:sz w:val="20"/>
          <w:lang w:val="bg-BG"/>
        </w:rPr>
        <w:t>Директивата относно съхранението на въглероден диоксид в геоложки формации</w:t>
      </w:r>
      <w:r>
        <w:rPr>
          <w:rStyle w:val="FootnoteReference"/>
          <w:rFonts w:ascii="Arial" w:hAnsi="Arial" w:cs="Arial"/>
          <w:noProof/>
          <w:sz w:val="20"/>
        </w:rPr>
        <w:footnoteReference w:id="22"/>
      </w:r>
      <w:r>
        <w:rPr>
          <w:rFonts w:ascii="Arial" w:hAnsi="Arial" w:cs="Arial"/>
          <w:noProof/>
          <w:sz w:val="20"/>
          <w:lang w:val="ru-RU"/>
        </w:rPr>
        <w:t>.</w:t>
      </w:r>
    </w:p>
    <w:p w:rsidR="006F5B6C" w:rsidRDefault="00284F4D">
      <w:pPr>
        <w:rPr>
          <w:rFonts w:ascii="Arial" w:hAnsi="Arial" w:cs="Arial"/>
          <w:noProof/>
          <w:sz w:val="20"/>
          <w:lang w:val="bg-BG"/>
        </w:rPr>
      </w:pPr>
      <w:r>
        <w:rPr>
          <w:rFonts w:ascii="Arial" w:hAnsi="Arial" w:cs="Arial"/>
          <w:noProof/>
          <w:sz w:val="20"/>
          <w:lang w:val="bg-BG"/>
        </w:rPr>
        <w:t xml:space="preserve">Комисията започна </w:t>
      </w:r>
      <w:r>
        <w:rPr>
          <w:rFonts w:ascii="Arial" w:hAnsi="Arial" w:cs="Arial"/>
          <w:noProof/>
          <w:sz w:val="20"/>
          <w:lang w:val="ru-RU"/>
        </w:rPr>
        <w:t>15</w:t>
      </w:r>
      <w:r>
        <w:rPr>
          <w:rFonts w:ascii="Arial" w:hAnsi="Arial" w:cs="Arial"/>
          <w:noProof/>
          <w:sz w:val="20"/>
          <w:lang w:val="bg-BG"/>
        </w:rPr>
        <w:t> производства за установяване на неизпълнение на задължение за ненавременно транспониране на Директивата за безопасността в крайбрежни води</w:t>
      </w:r>
      <w:r>
        <w:rPr>
          <w:rFonts w:ascii="Arial" w:hAnsi="Arial" w:cs="Arial"/>
          <w:noProof/>
          <w:sz w:val="20"/>
          <w:lang w:val="ru-RU"/>
        </w:rPr>
        <w:t xml:space="preserve">. </w:t>
      </w:r>
      <w:r>
        <w:rPr>
          <w:rFonts w:ascii="Arial" w:hAnsi="Arial" w:cs="Arial"/>
          <w:noProof/>
          <w:sz w:val="20"/>
          <w:lang w:val="bg-BG"/>
        </w:rPr>
        <w:t xml:space="preserve">Освен това поради неспазване на задълженията за докладване системно беше провеждан диалог в рамките на </w:t>
      </w:r>
      <w:r>
        <w:rPr>
          <w:rFonts w:ascii="Arial" w:hAnsi="Arial" w:cs="Arial"/>
          <w:noProof/>
          <w:sz w:val="20"/>
        </w:rPr>
        <w:t>EU</w:t>
      </w:r>
      <w:r>
        <w:rPr>
          <w:rFonts w:ascii="Arial" w:hAnsi="Arial" w:cs="Arial"/>
          <w:noProof/>
          <w:sz w:val="20"/>
          <w:lang w:val="ru-RU"/>
        </w:rPr>
        <w:t xml:space="preserve"> </w:t>
      </w:r>
      <w:r>
        <w:rPr>
          <w:rFonts w:ascii="Arial" w:hAnsi="Arial" w:cs="Arial"/>
          <w:noProof/>
          <w:sz w:val="20"/>
        </w:rPr>
        <w:t>Pilot</w:t>
      </w:r>
      <w:r>
        <w:rPr>
          <w:rStyle w:val="FootnoteReference"/>
          <w:rFonts w:ascii="Arial" w:hAnsi="Arial" w:cs="Arial"/>
          <w:noProof/>
          <w:sz w:val="20"/>
        </w:rPr>
        <w:footnoteReference w:id="23"/>
      </w:r>
      <w:r>
        <w:rPr>
          <w:rFonts w:ascii="Arial" w:hAnsi="Arial" w:cs="Arial"/>
          <w:noProof/>
          <w:sz w:val="20"/>
          <w:lang w:val="bg-BG"/>
        </w:rPr>
        <w:t xml:space="preserve"> и бяха образувани производства за установяване на неизпълнение на задължения главно съгласно Директивата за енергийната ефективност и Директивата за енергийните характеристики на сградите, както и Регламента за сигурността на доставките на газ</w:t>
      </w:r>
      <w:r>
        <w:rPr>
          <w:rStyle w:val="FootnoteReference"/>
          <w:noProof/>
        </w:rPr>
        <w:footnoteReference w:id="24"/>
      </w:r>
      <w:r>
        <w:rPr>
          <w:rFonts w:ascii="Arial" w:hAnsi="Arial" w:cs="Arial"/>
          <w:noProof/>
          <w:sz w:val="20"/>
          <w:lang w:val="bg-BG"/>
        </w:rPr>
        <w:t>. Това доведе до почти пълно спазване на въпросните задължения за докладване.</w:t>
      </w:r>
    </w:p>
    <w:p w:rsidR="006F5B6C" w:rsidRDefault="00284F4D">
      <w:pPr>
        <w:pStyle w:val="kop3"/>
        <w:rPr>
          <w:noProof/>
          <w:lang w:val="bg-BG"/>
        </w:rPr>
      </w:pPr>
      <w:bookmarkStart w:id="8" w:name="_Toc454443112"/>
      <w:r>
        <w:rPr>
          <w:noProof/>
          <w:lang w:val="bg-BG"/>
        </w:rPr>
        <w:t>По-задълбочен и по-справедлив вътрешен пазар със засилена промишлена база</w:t>
      </w:r>
      <w:bookmarkEnd w:id="8"/>
    </w:p>
    <w:p w:rsidR="006F5B6C" w:rsidRDefault="00284F4D">
      <w:pPr>
        <w:rPr>
          <w:rFonts w:ascii="Arial" w:hAnsi="Arial" w:cs="Arial"/>
          <w:i/>
          <w:noProof/>
          <w:sz w:val="20"/>
          <w:lang w:val="bg-BG"/>
        </w:rPr>
      </w:pPr>
      <w:r>
        <w:rPr>
          <w:rFonts w:ascii="Arial" w:hAnsi="Arial" w:cs="Arial"/>
          <w:noProof/>
          <w:sz w:val="20"/>
          <w:lang w:val="bg-BG"/>
        </w:rPr>
        <w:t>Единният пазар предлага огромни възможности за европейските предприятия, както и по-голям избор и по-ниски цени за потребителите. Той дава възможности на хората да пътуват, живеят, работят и учат където те пожелаят. Тези ползи обаче не се материализират, когато не се прилагат или изпълняват правилата на единния пазар или ако се подкопават от други пречки.</w:t>
      </w:r>
    </w:p>
    <w:p w:rsidR="006F5B6C" w:rsidRDefault="00284F4D">
      <w:pPr>
        <w:rPr>
          <w:rFonts w:ascii="Arial" w:hAnsi="Arial" w:cs="Arial"/>
          <w:i/>
          <w:noProof/>
          <w:sz w:val="20"/>
          <w:lang w:val="bg-BG"/>
        </w:rPr>
      </w:pPr>
      <w:r>
        <w:rPr>
          <w:rFonts w:ascii="Arial" w:hAnsi="Arial" w:cs="Arial"/>
          <w:i/>
          <w:noProof/>
          <w:sz w:val="20"/>
          <w:lang w:val="bg-BG"/>
        </w:rPr>
        <w:t>Прилагане на достиженията на правото на ЕС в областта на единния пазар, промишлеността, предприемачеството и МСП</w:t>
      </w:r>
    </w:p>
    <w:p w:rsidR="006F5B6C" w:rsidRDefault="00284F4D">
      <w:pPr>
        <w:rPr>
          <w:noProof/>
          <w:lang w:val="bg-BG"/>
        </w:rPr>
      </w:pPr>
      <w:r>
        <w:rPr>
          <w:rFonts w:ascii="Arial" w:hAnsi="Arial" w:cs="Arial"/>
          <w:noProof/>
          <w:sz w:val="20"/>
          <w:lang w:val="bg-BG"/>
        </w:rPr>
        <w:t>Новата стратегия на Комисията за единния пазар</w:t>
      </w:r>
      <w:r>
        <w:rPr>
          <w:rStyle w:val="FootnoteReference"/>
          <w:rFonts w:ascii="Arial" w:hAnsi="Arial" w:cs="Arial"/>
          <w:noProof/>
          <w:sz w:val="20"/>
        </w:rPr>
        <w:footnoteReference w:id="25"/>
      </w:r>
      <w:r>
        <w:rPr>
          <w:rFonts w:ascii="Arial" w:hAnsi="Arial" w:cs="Arial"/>
          <w:noProof/>
          <w:sz w:val="20"/>
          <w:lang w:val="bg-BG"/>
        </w:rPr>
        <w:t xml:space="preserve">предвижда по-цялостен подход към прилагането на правилата на вътрешния пазар, включително изпълнение на стратегия за интелигентно прилагане на разпоредбите. Той, в съответствие с подхода за по-добро регулиране, обхваща всички етапи от процеса на вземане на решения </w:t>
      </w:r>
      <w:r>
        <w:rPr>
          <w:noProof/>
          <w:lang w:val="bg-BG"/>
        </w:rPr>
        <w:t>—</w:t>
      </w:r>
      <w:r>
        <w:rPr>
          <w:rFonts w:ascii="Arial" w:hAnsi="Arial" w:cs="Arial"/>
          <w:noProof/>
          <w:sz w:val="20"/>
          <w:lang w:val="bg-BG"/>
        </w:rPr>
        <w:t xml:space="preserve"> от разработването на политиката и нейното прилагане, до информирането. Това включва по-добро интегриране на оценката и спазването при разработването на политиката и оказване на по-добро съдействие и даване на по-ясни насоки на държавите членки за начина на прилагане на правилата на вътрешния пазар. В стратегията също така се обещава по-последователна и по-ефективна политика за прилагане на законодателството, насочена към подобряване на цялостното спазване както на правилата на единния пазар, така и на законодателството на ЕС като цяло.</w:t>
      </w:r>
    </w:p>
    <w:p w:rsidR="006F5B6C" w:rsidRDefault="00284F4D">
      <w:pPr>
        <w:rPr>
          <w:rFonts w:ascii="Arial" w:hAnsi="Arial" w:cs="Arial"/>
          <w:noProof/>
          <w:sz w:val="20"/>
          <w:lang w:val="bg-BG"/>
        </w:rPr>
      </w:pPr>
      <w:r>
        <w:rPr>
          <w:rFonts w:ascii="Arial" w:hAnsi="Arial" w:cs="Arial"/>
          <w:noProof/>
          <w:sz w:val="20"/>
          <w:lang w:val="bg-BG"/>
        </w:rPr>
        <w:t>В съответствие с новия подход Комисията и няколко държави членки през 2015 г. разработиха национални стратегии относно обществените поръчки с цел справяне с първопричините за системни и повтарящи се проблеми. Комисията проведе диалог с държавите членки по конкретни въпроси, за да помогне за предотвратяване на затруднения при прилагането. Освен това Комисията се ангажира да идентифицира конкретни въпроси, свързани с прилагането и изпълнението, които произтичат от разпоредбите за обществените поръчки, в сектори като здравеопазване, информационни технологии, енергетика и управление на отпадъци.</w:t>
      </w:r>
    </w:p>
    <w:p w:rsidR="006F5B6C" w:rsidRDefault="00284F4D">
      <w:pPr>
        <w:rPr>
          <w:rFonts w:ascii="Arial" w:hAnsi="Arial" w:cs="Arial"/>
          <w:noProof/>
          <w:sz w:val="20"/>
          <w:lang w:val="bg-BG"/>
        </w:rPr>
      </w:pPr>
      <w:r>
        <w:rPr>
          <w:rFonts w:ascii="Arial" w:hAnsi="Arial" w:cs="Arial"/>
          <w:noProof/>
          <w:sz w:val="20"/>
          <w:lang w:val="bg-BG"/>
        </w:rPr>
        <w:lastRenderedPageBreak/>
        <w:t xml:space="preserve">Комисията също така предприе действия по установени нарушения на правилата на вътрешния пазар относно правната форма и дяловите участия съгласно Директивата за услугите. Това доведе до започването през 2015 г. на 10 диалога в рамките на </w:t>
      </w:r>
      <w:r>
        <w:rPr>
          <w:rFonts w:ascii="Arial" w:hAnsi="Arial" w:cs="Arial"/>
          <w:noProof/>
          <w:sz w:val="20"/>
        </w:rPr>
        <w:t>EU</w:t>
      </w:r>
      <w:r>
        <w:rPr>
          <w:rFonts w:ascii="Arial" w:hAnsi="Arial" w:cs="Arial"/>
          <w:noProof/>
          <w:sz w:val="20"/>
          <w:lang w:val="bg-BG"/>
        </w:rPr>
        <w:t xml:space="preserve"> </w:t>
      </w:r>
      <w:r>
        <w:rPr>
          <w:rFonts w:ascii="Arial" w:hAnsi="Arial" w:cs="Arial"/>
          <w:noProof/>
          <w:sz w:val="20"/>
        </w:rPr>
        <w:t>Pilot</w:t>
      </w:r>
      <w:r>
        <w:rPr>
          <w:rFonts w:ascii="Arial" w:hAnsi="Arial" w:cs="Arial"/>
          <w:noProof/>
          <w:sz w:val="20"/>
          <w:lang w:val="bg-BG"/>
        </w:rPr>
        <w:t xml:space="preserve"> и на 6 производства за установяване на неизпълнение на задължения.</w:t>
      </w:r>
    </w:p>
    <w:p w:rsidR="006F5B6C" w:rsidRDefault="00284F4D">
      <w:pPr>
        <w:rPr>
          <w:rFonts w:ascii="Arial" w:hAnsi="Arial" w:cs="Arial"/>
          <w:noProof/>
          <w:sz w:val="20"/>
          <w:lang w:val="bg-BG"/>
        </w:rPr>
      </w:pPr>
      <w:r>
        <w:rPr>
          <w:rFonts w:ascii="Arial" w:hAnsi="Arial" w:cs="Arial"/>
          <w:noProof/>
          <w:sz w:val="20"/>
          <w:lang w:val="bg-BG"/>
        </w:rPr>
        <w:t>Производствата за установяване на неизпълнение на задължения, свързани с Директивата относно борбата със забавяне на плащането</w:t>
      </w:r>
      <w:r>
        <w:rPr>
          <w:rStyle w:val="FootnoteReference"/>
          <w:noProof/>
        </w:rPr>
        <w:footnoteReference w:id="26"/>
      </w:r>
      <w:r>
        <w:rPr>
          <w:rFonts w:ascii="Arial" w:hAnsi="Arial" w:cs="Arial"/>
          <w:noProof/>
          <w:sz w:val="20"/>
          <w:lang w:val="bg-BG"/>
        </w:rPr>
        <w:t>, оказват силно влияние върху програмите за финансово приспособяване на държавите членки. Изплащането на просрочени задължения към частни доставчици съгласно Директивата попада в обхвата на меморандума за разбирателство между Европейския механизъм за стабилност и Гърция и на наблюдението след приключване на програмата от страна на Португалия. Тъй като тези програми предвиждат погасяването на всички публични просрочени задължения в определена времева рамка, това може да има последици по отношение на спазването на задълженията съгласно Директивата относно борбата със забавяне на плащането.</w:t>
      </w:r>
    </w:p>
    <w:p w:rsidR="006F5B6C" w:rsidRDefault="00284F4D">
      <w:pPr>
        <w:rPr>
          <w:rFonts w:ascii="Arial" w:hAnsi="Arial" w:cs="Arial"/>
          <w:i/>
          <w:noProof/>
          <w:sz w:val="20"/>
          <w:lang w:val="bg-BG"/>
        </w:rPr>
      </w:pPr>
      <w:r>
        <w:rPr>
          <w:rFonts w:ascii="Arial" w:hAnsi="Arial" w:cs="Arial"/>
          <w:i/>
          <w:noProof/>
          <w:sz w:val="20"/>
          <w:lang w:val="bg-BG"/>
        </w:rPr>
        <w:t>Прилагане на достиженията на правото на ЕС в областта на защитата на потребителите</w:t>
      </w:r>
    </w:p>
    <w:p w:rsidR="006F5B6C" w:rsidRDefault="00284F4D">
      <w:pPr>
        <w:rPr>
          <w:rFonts w:ascii="Arial" w:hAnsi="Arial" w:cs="Arial"/>
          <w:noProof/>
          <w:sz w:val="20"/>
          <w:lang w:val="bg-BG"/>
        </w:rPr>
      </w:pPr>
      <w:r>
        <w:rPr>
          <w:rFonts w:ascii="Arial" w:hAnsi="Arial" w:cs="Arial"/>
          <w:noProof/>
          <w:sz w:val="20"/>
          <w:lang w:val="bg-BG"/>
        </w:rPr>
        <w:t xml:space="preserve">Съдът на Европейския съюз (Съдът на ЕС) последователно укрепи принципа, че в процедурните правила на държавите членки трябва да се вземе предвид по-слабата като цяло позиция на потребителите, за да могат те ефективно да се възползват от законодателството на ЕС за защита на потребителите. През 2015 г. Съдът на ЕС доразви тази съдебна практика въз основа на принципите на служебна проверка от националните съдилища, равностойност и ефективност. Поради това Комисията постави въпроса за последиците за отделните държави членки от базираната на тези принципи съдебна практика на Съда както в диалога в рамките на </w:t>
      </w:r>
      <w:r>
        <w:rPr>
          <w:rFonts w:ascii="Arial" w:hAnsi="Arial" w:cs="Arial"/>
          <w:noProof/>
          <w:sz w:val="20"/>
          <w:lang w:val="en-US"/>
        </w:rPr>
        <w:t>EU</w:t>
      </w:r>
      <w:r>
        <w:rPr>
          <w:rFonts w:ascii="Arial" w:hAnsi="Arial" w:cs="Arial"/>
          <w:noProof/>
          <w:sz w:val="20"/>
          <w:lang w:val="bg-BG"/>
        </w:rPr>
        <w:t xml:space="preserve"> </w:t>
      </w:r>
      <w:r>
        <w:rPr>
          <w:rFonts w:ascii="Arial" w:hAnsi="Arial" w:cs="Arial"/>
          <w:noProof/>
          <w:sz w:val="20"/>
          <w:lang w:val="en-US"/>
        </w:rPr>
        <w:t>Pilot</w:t>
      </w:r>
      <w:r>
        <w:rPr>
          <w:rFonts w:ascii="Arial" w:hAnsi="Arial" w:cs="Arial"/>
          <w:noProof/>
          <w:sz w:val="20"/>
          <w:lang w:val="bg-BG"/>
        </w:rPr>
        <w:t>, така и в процедурите за установяване на неизпълнение на задължения. Комисията също така възложи проучване относно въздействието на съдебната практика на Съда на ЕС върху производствата в държавите членки.</w:t>
      </w:r>
    </w:p>
    <w:p w:rsidR="006F5B6C" w:rsidRDefault="00284F4D">
      <w:pPr>
        <w:rPr>
          <w:rFonts w:ascii="Arial" w:hAnsi="Arial" w:cs="Arial"/>
          <w:noProof/>
          <w:sz w:val="20"/>
          <w:lang w:val="bg-BG"/>
        </w:rPr>
      </w:pPr>
      <w:r>
        <w:rPr>
          <w:rFonts w:ascii="Arial" w:hAnsi="Arial" w:cs="Arial"/>
          <w:noProof/>
          <w:sz w:val="20"/>
          <w:lang w:val="bg-BG"/>
        </w:rPr>
        <w:t>Комисията образува производства за установяване на неизпълнение на задължения за ненавременно транспониране на Директивата относно алтернативното решаване на спорове</w:t>
      </w:r>
      <w:r>
        <w:rPr>
          <w:rStyle w:val="FootnoteReference"/>
          <w:noProof/>
        </w:rPr>
        <w:footnoteReference w:id="27"/>
      </w:r>
      <w:r>
        <w:rPr>
          <w:rFonts w:ascii="Arial" w:hAnsi="Arial" w:cs="Arial"/>
          <w:noProof/>
          <w:sz w:val="20"/>
          <w:lang w:val="bg-BG"/>
        </w:rPr>
        <w:t>, която е свързана с разработването на ефективна система за алтернативно решаване на спорове за потребители в съчетание с онлайн платформа. Комисията оцени също така качеството на националните мерки за транспониране на Директивата относно правата на потребителите</w:t>
      </w:r>
      <w:r>
        <w:rPr>
          <w:rStyle w:val="FootnoteReference"/>
          <w:noProof/>
        </w:rPr>
        <w:footnoteReference w:id="28"/>
      </w:r>
      <w:r>
        <w:rPr>
          <w:rFonts w:ascii="Arial" w:hAnsi="Arial" w:cs="Arial"/>
          <w:noProof/>
          <w:sz w:val="20"/>
          <w:lang w:val="bg-BG"/>
        </w:rPr>
        <w:t xml:space="preserve">, която, наред с другото, се прилага за онлайн договори. В резултат на тези проверки Комисията започна 20 диалога в рамките на </w:t>
      </w:r>
      <w:r>
        <w:rPr>
          <w:rFonts w:ascii="Arial" w:hAnsi="Arial" w:cs="Arial"/>
          <w:noProof/>
          <w:sz w:val="20"/>
        </w:rPr>
        <w:t>EU</w:t>
      </w:r>
      <w:r>
        <w:rPr>
          <w:rFonts w:ascii="Arial" w:hAnsi="Arial" w:cs="Arial"/>
          <w:noProof/>
          <w:sz w:val="20"/>
          <w:lang w:val="bg-BG"/>
        </w:rPr>
        <w:t xml:space="preserve"> </w:t>
      </w:r>
      <w:r>
        <w:rPr>
          <w:rFonts w:ascii="Arial" w:hAnsi="Arial" w:cs="Arial"/>
          <w:noProof/>
          <w:sz w:val="20"/>
        </w:rPr>
        <w:t>Pilot</w:t>
      </w:r>
      <w:r>
        <w:rPr>
          <w:rFonts w:ascii="Arial" w:hAnsi="Arial" w:cs="Arial"/>
          <w:noProof/>
          <w:sz w:val="20"/>
          <w:lang w:val="bg-BG"/>
        </w:rPr>
        <w:t xml:space="preserve"> във връзка с неспазване на Директивата.</w:t>
      </w:r>
    </w:p>
    <w:p w:rsidR="006F5B6C" w:rsidRDefault="00284F4D">
      <w:pPr>
        <w:rPr>
          <w:rFonts w:ascii="Arial" w:hAnsi="Arial" w:cs="Arial"/>
          <w:noProof/>
          <w:sz w:val="20"/>
          <w:lang w:val="bg-BG"/>
        </w:rPr>
      </w:pPr>
      <w:r>
        <w:rPr>
          <w:rFonts w:ascii="Arial" w:hAnsi="Arial" w:cs="Arial"/>
          <w:noProof/>
          <w:sz w:val="20"/>
          <w:lang w:val="bg-BG"/>
        </w:rPr>
        <w:t>През 2015 г. редица държави членки продължиха да извършват законодателни промени за привеждане на законодателството си в съответствие с Директивата относно нелоялните търговски практики</w:t>
      </w:r>
      <w:r>
        <w:rPr>
          <w:rStyle w:val="FootnoteReference"/>
          <w:rFonts w:ascii="Arial" w:hAnsi="Arial" w:cs="Arial"/>
          <w:noProof/>
          <w:sz w:val="20"/>
        </w:rPr>
        <w:footnoteReference w:id="29"/>
      </w:r>
      <w:r>
        <w:rPr>
          <w:rFonts w:ascii="Arial" w:hAnsi="Arial" w:cs="Arial"/>
          <w:noProof/>
          <w:sz w:val="20"/>
          <w:lang w:val="bg-BG"/>
        </w:rPr>
        <w:t>. Едновременно с това Комисията продължи работата си по актуализиране на документа с насоки от 2009 г. относно прилагането на Директивата</w:t>
      </w:r>
      <w:r>
        <w:rPr>
          <w:rStyle w:val="FootnoteReference"/>
          <w:rFonts w:ascii="Arial" w:hAnsi="Arial" w:cs="Arial"/>
          <w:noProof/>
          <w:sz w:val="20"/>
        </w:rPr>
        <w:footnoteReference w:id="30"/>
      </w:r>
      <w:r>
        <w:rPr>
          <w:rFonts w:ascii="Arial" w:hAnsi="Arial" w:cs="Arial"/>
          <w:noProof/>
          <w:sz w:val="20"/>
          <w:lang w:val="bg-BG"/>
        </w:rPr>
        <w:t xml:space="preserve"> с цел да се подобри спазването от страна на предприятията и прилагането на законодателството в държавите членки. По подобен начин, диалозите в рамките на </w:t>
      </w:r>
      <w:r>
        <w:rPr>
          <w:rFonts w:ascii="Arial" w:hAnsi="Arial" w:cs="Arial"/>
          <w:noProof/>
          <w:sz w:val="20"/>
        </w:rPr>
        <w:t>EU</w:t>
      </w:r>
      <w:r>
        <w:rPr>
          <w:rFonts w:ascii="Arial" w:hAnsi="Arial" w:cs="Arial"/>
          <w:noProof/>
          <w:sz w:val="20"/>
          <w:lang w:val="bg-BG"/>
        </w:rPr>
        <w:t> </w:t>
      </w:r>
      <w:r>
        <w:rPr>
          <w:rFonts w:ascii="Arial" w:hAnsi="Arial" w:cs="Arial"/>
          <w:noProof/>
          <w:sz w:val="20"/>
        </w:rPr>
        <w:t>Pilot</w:t>
      </w:r>
      <w:r>
        <w:rPr>
          <w:rFonts w:ascii="Arial" w:hAnsi="Arial" w:cs="Arial"/>
          <w:noProof/>
          <w:sz w:val="20"/>
          <w:lang w:val="bg-BG"/>
        </w:rPr>
        <w:t xml:space="preserve"> и производствата за установяване на неизпълнение на задължения във връзка с транспонирането на Директивата относно пакетните туристически пътувания</w:t>
      </w:r>
      <w:r>
        <w:rPr>
          <w:rStyle w:val="FootnoteReference"/>
          <w:rFonts w:ascii="Arial" w:hAnsi="Arial" w:cs="Arial"/>
          <w:noProof/>
          <w:sz w:val="20"/>
        </w:rPr>
        <w:footnoteReference w:id="31"/>
      </w:r>
      <w:r>
        <w:rPr>
          <w:rFonts w:ascii="Arial" w:hAnsi="Arial" w:cs="Arial"/>
          <w:noProof/>
          <w:sz w:val="20"/>
          <w:lang w:val="bg-BG"/>
        </w:rPr>
        <w:t xml:space="preserve"> в няколко държави членки инициираха законодателни промени. Тези промени са насочени към спазването на изискването за предоставяне от страна на организаторите на пакетни туристически пътувания и/или търговците на дребно, продаващи пакетни пътувания, на доказателства за обезпечение за плащанията, които те получават, и за репатрирането на туристите в случай на несъстоятелност. През декември 2015 г. Комисията </w:t>
      </w:r>
      <w:r>
        <w:rPr>
          <w:rFonts w:ascii="Arial" w:hAnsi="Arial" w:cs="Arial"/>
          <w:noProof/>
          <w:sz w:val="20"/>
          <w:lang w:val="bg-BG"/>
        </w:rPr>
        <w:lastRenderedPageBreak/>
        <w:t>представи доклад</w:t>
      </w:r>
      <w:r>
        <w:rPr>
          <w:rStyle w:val="FootnoteReference"/>
          <w:noProof/>
        </w:rPr>
        <w:footnoteReference w:id="32"/>
      </w:r>
      <w:r>
        <w:rPr>
          <w:rFonts w:ascii="Arial" w:hAnsi="Arial" w:cs="Arial"/>
          <w:noProof/>
          <w:sz w:val="20"/>
          <w:lang w:val="bg-BG"/>
        </w:rPr>
        <w:t xml:space="preserve"> за прилагането на Директивата относно разпределеното във времето ползване на собственост</w:t>
      </w:r>
      <w:r>
        <w:rPr>
          <w:rStyle w:val="FootnoteReference"/>
          <w:rFonts w:ascii="Arial" w:hAnsi="Arial" w:cs="Arial"/>
          <w:noProof/>
          <w:sz w:val="20"/>
        </w:rPr>
        <w:footnoteReference w:id="33"/>
      </w:r>
      <w:r>
        <w:rPr>
          <w:rFonts w:ascii="Arial" w:hAnsi="Arial" w:cs="Arial"/>
          <w:noProof/>
          <w:sz w:val="20"/>
          <w:lang w:val="bg-BG"/>
        </w:rPr>
        <w:t>.</w:t>
      </w:r>
    </w:p>
    <w:p w:rsidR="006F5B6C" w:rsidRDefault="00284F4D">
      <w:pPr>
        <w:rPr>
          <w:rFonts w:ascii="Arial" w:hAnsi="Arial" w:cs="Arial"/>
          <w:noProof/>
          <w:sz w:val="20"/>
          <w:lang w:val="bg-BG"/>
        </w:rPr>
      </w:pPr>
      <w:r>
        <w:rPr>
          <w:rFonts w:ascii="Arial" w:hAnsi="Arial" w:cs="Arial"/>
          <w:noProof/>
          <w:sz w:val="20"/>
          <w:lang w:val="bg-BG"/>
        </w:rPr>
        <w:t>Освен това Комисията работи в тясно сътрудничество с органите за защита на потребителите с цел по-добро прилагане на правата на потребителите. В сектора на отдаване на автомобили под наем пет големи дружества за отдаване на автомобили под наем постигнаха съгласие да преразгледат основно начините, по които обслужват потребителите. Гражданите ще се възползват от по-голяма яснота относно застрахователните полици и опциите за зареждане с гориво и от по-голяма прозрачност по отношение на цените</w:t>
      </w:r>
      <w:r>
        <w:rPr>
          <w:rStyle w:val="FootnoteReference"/>
          <w:noProof/>
        </w:rPr>
        <w:footnoteReference w:id="34"/>
      </w:r>
      <w:r>
        <w:rPr>
          <w:rFonts w:ascii="Arial" w:hAnsi="Arial" w:cs="Arial"/>
          <w:noProof/>
          <w:sz w:val="20"/>
          <w:lang w:val="bg-BG"/>
        </w:rPr>
        <w:t>.</w:t>
      </w:r>
    </w:p>
    <w:p w:rsidR="006F5B6C" w:rsidRDefault="00284F4D">
      <w:pPr>
        <w:rPr>
          <w:rFonts w:ascii="Arial" w:hAnsi="Arial" w:cs="Arial"/>
          <w:i/>
          <w:noProof/>
          <w:sz w:val="20"/>
          <w:lang w:val="bg-BG"/>
        </w:rPr>
      </w:pPr>
      <w:r>
        <w:rPr>
          <w:rFonts w:ascii="Arial" w:hAnsi="Arial" w:cs="Arial"/>
          <w:i/>
          <w:noProof/>
          <w:sz w:val="20"/>
          <w:lang w:val="bg-BG"/>
        </w:rPr>
        <w:t>Прилагане на достиженията на правото на ЕС в областта на здравеопазването и безопасността на храните</w:t>
      </w:r>
    </w:p>
    <w:p w:rsidR="006F5B6C" w:rsidRDefault="00284F4D">
      <w:pPr>
        <w:rPr>
          <w:rFonts w:ascii="Arial" w:hAnsi="Arial" w:cs="Arial"/>
          <w:noProof/>
          <w:sz w:val="20"/>
          <w:lang w:val="bg-BG"/>
        </w:rPr>
      </w:pPr>
      <w:r>
        <w:rPr>
          <w:rFonts w:ascii="Arial" w:hAnsi="Arial" w:cs="Arial"/>
          <w:noProof/>
          <w:sz w:val="20"/>
          <w:lang w:val="bg-BG"/>
        </w:rPr>
        <w:t>През 2015 г. Комисията постави акцент върху гарантирането на цялостното транспониране на Директивата за трансграничното здравно обслужване</w:t>
      </w:r>
      <w:r>
        <w:rPr>
          <w:rStyle w:val="FootnoteReference"/>
          <w:noProof/>
        </w:rPr>
        <w:footnoteReference w:id="35"/>
      </w:r>
      <w:r>
        <w:rPr>
          <w:rFonts w:ascii="Arial" w:hAnsi="Arial" w:cs="Arial"/>
          <w:noProof/>
          <w:sz w:val="20"/>
          <w:lang w:val="bg-BG"/>
        </w:rPr>
        <w:t xml:space="preserve">. Това включваше започването на редица от производства за установяване на неизпълнение на задължения. В отговор на това държавите членки активизираха усилията си да завършат транспонирането преди случаите да бъдат отнесени до Съда на Европейския съюз. В сектора на здравеопазването Комисията започна диалог в рамките на </w:t>
      </w:r>
      <w:r>
        <w:rPr>
          <w:rFonts w:ascii="Arial" w:hAnsi="Arial" w:cs="Arial"/>
          <w:noProof/>
          <w:sz w:val="20"/>
        </w:rPr>
        <w:t>EU</w:t>
      </w:r>
      <w:r>
        <w:rPr>
          <w:rFonts w:ascii="Arial" w:hAnsi="Arial" w:cs="Arial"/>
          <w:noProof/>
          <w:sz w:val="20"/>
          <w:lang w:val="bg-BG"/>
        </w:rPr>
        <w:t xml:space="preserve"> </w:t>
      </w:r>
      <w:r>
        <w:rPr>
          <w:rFonts w:ascii="Arial" w:hAnsi="Arial" w:cs="Arial"/>
          <w:noProof/>
          <w:sz w:val="20"/>
        </w:rPr>
        <w:t>Pilot</w:t>
      </w:r>
      <w:r>
        <w:rPr>
          <w:rFonts w:ascii="Arial" w:hAnsi="Arial" w:cs="Arial"/>
          <w:noProof/>
          <w:sz w:val="20"/>
          <w:lang w:val="bg-BG"/>
        </w:rPr>
        <w:t xml:space="preserve"> във връзка с правилното транспониране на Директивата относно човешките тъкани и клетки</w:t>
      </w:r>
      <w:r>
        <w:rPr>
          <w:rStyle w:val="FootnoteReference"/>
          <w:noProof/>
        </w:rPr>
        <w:footnoteReference w:id="36"/>
      </w:r>
      <w:r>
        <w:rPr>
          <w:rFonts w:ascii="Arial" w:hAnsi="Arial" w:cs="Arial"/>
          <w:noProof/>
          <w:sz w:val="20"/>
          <w:lang w:val="bg-BG"/>
        </w:rPr>
        <w:t>.Прилагането на законодателството в сектора на хуманното отношение към животните е започнало с образуване на процедури за установяване на неизпълнение на задължения срещу редица държави членки за неспазване на изискванията за кокошките носачки и настаняването в групи на свине. През 2015 г. това доведе до очакваните резултати, като по-голямата част от случаите бяха приключени поради спазване на съответните директиви</w:t>
      </w:r>
      <w:r>
        <w:rPr>
          <w:rStyle w:val="FootnoteReference"/>
          <w:noProof/>
        </w:rPr>
        <w:footnoteReference w:id="37"/>
      </w:r>
      <w:r>
        <w:rPr>
          <w:rFonts w:ascii="Arial" w:hAnsi="Arial" w:cs="Arial"/>
          <w:noProof/>
          <w:sz w:val="20"/>
          <w:lang w:val="bg-BG"/>
        </w:rPr>
        <w:t>.</w:t>
      </w:r>
    </w:p>
    <w:p w:rsidR="006F5B6C" w:rsidRDefault="00284F4D">
      <w:pPr>
        <w:rPr>
          <w:rFonts w:ascii="Arial" w:hAnsi="Arial" w:cs="Arial"/>
          <w:i/>
          <w:noProof/>
          <w:lang w:val="bg-BG"/>
        </w:rPr>
      </w:pPr>
      <w:r>
        <w:rPr>
          <w:rFonts w:ascii="Arial" w:hAnsi="Arial" w:cs="Arial"/>
          <w:i/>
          <w:noProof/>
          <w:sz w:val="20"/>
          <w:lang w:val="bg-BG"/>
        </w:rPr>
        <w:t>Прилагане на достиженията на правото на ЕС в областта на мобилността и транспорта</w:t>
      </w:r>
    </w:p>
    <w:p w:rsidR="006F5B6C" w:rsidRDefault="00284F4D">
      <w:pPr>
        <w:rPr>
          <w:rFonts w:ascii="Arial" w:hAnsi="Arial" w:cs="Arial"/>
          <w:noProof/>
          <w:sz w:val="20"/>
          <w:lang w:val="bg-BG"/>
        </w:rPr>
      </w:pPr>
      <w:r>
        <w:rPr>
          <w:rFonts w:ascii="Arial" w:hAnsi="Arial" w:cs="Arial"/>
          <w:noProof/>
          <w:sz w:val="20"/>
          <w:lang w:val="bg-BG"/>
        </w:rPr>
        <w:t>В тази област Комисията започна и продължи производства за установяване на неизпълнение на задълженията по въпроси, които оказват пряко въздействие върху завършването на вътрешния пазар, по-специално:</w:t>
      </w:r>
    </w:p>
    <w:p w:rsidR="006F5B6C" w:rsidRDefault="00284F4D">
      <w:pPr>
        <w:pStyle w:val="ListParagraph"/>
        <w:numPr>
          <w:ilvl w:val="0"/>
          <w:numId w:val="33"/>
        </w:numPr>
        <w:spacing w:after="120"/>
        <w:rPr>
          <w:rFonts w:ascii="Arial" w:hAnsi="Arial" w:cs="Arial"/>
          <w:noProof/>
          <w:sz w:val="20"/>
          <w:lang w:val="bg-BG"/>
        </w:rPr>
      </w:pPr>
      <w:r>
        <w:rPr>
          <w:rFonts w:ascii="Arial" w:hAnsi="Arial" w:cs="Arial"/>
          <w:noProof/>
          <w:sz w:val="20"/>
          <w:lang w:val="bg-BG"/>
        </w:rPr>
        <w:t>дискриминационни такси за леки автомобили;</w:t>
      </w:r>
    </w:p>
    <w:p w:rsidR="006F5B6C" w:rsidRDefault="00284F4D">
      <w:pPr>
        <w:pStyle w:val="ListParagraph"/>
        <w:numPr>
          <w:ilvl w:val="0"/>
          <w:numId w:val="33"/>
        </w:numPr>
        <w:spacing w:after="120"/>
        <w:rPr>
          <w:rFonts w:ascii="Arial" w:hAnsi="Arial" w:cs="Arial"/>
          <w:noProof/>
          <w:sz w:val="20"/>
          <w:lang w:val="bg-BG"/>
        </w:rPr>
      </w:pPr>
      <w:r>
        <w:rPr>
          <w:rFonts w:ascii="Arial" w:hAnsi="Arial" w:cs="Arial"/>
          <w:noProof/>
          <w:sz w:val="20"/>
          <w:lang w:val="bg-BG"/>
        </w:rPr>
        <w:t>ограничения върху достъпа на чуждестранни превозвачи до национални пазари за автомобилен транспорт;</w:t>
      </w:r>
    </w:p>
    <w:p w:rsidR="006F5B6C" w:rsidRDefault="00284F4D">
      <w:pPr>
        <w:pStyle w:val="ListParagraph"/>
        <w:numPr>
          <w:ilvl w:val="0"/>
          <w:numId w:val="33"/>
        </w:numPr>
        <w:spacing w:after="120"/>
        <w:rPr>
          <w:rFonts w:ascii="Arial" w:hAnsi="Arial" w:cs="Arial"/>
          <w:noProof/>
          <w:sz w:val="20"/>
          <w:lang w:val="bg-BG"/>
        </w:rPr>
      </w:pPr>
      <w:r>
        <w:rPr>
          <w:rFonts w:ascii="Arial" w:hAnsi="Arial" w:cs="Arial"/>
          <w:noProof/>
          <w:sz w:val="20"/>
          <w:lang w:val="bg-BG"/>
        </w:rPr>
        <w:t>пречки пред свободата на установяване, причинени от монополни условия за наемане на докери; и</w:t>
      </w:r>
    </w:p>
    <w:p w:rsidR="006F5B6C" w:rsidRDefault="00284F4D">
      <w:pPr>
        <w:pStyle w:val="ListParagraph"/>
        <w:numPr>
          <w:ilvl w:val="0"/>
          <w:numId w:val="33"/>
        </w:numPr>
        <w:spacing w:after="120"/>
        <w:rPr>
          <w:rFonts w:ascii="Arial" w:hAnsi="Arial" w:cs="Arial"/>
          <w:noProof/>
          <w:sz w:val="20"/>
          <w:lang w:val="bg-BG"/>
        </w:rPr>
      </w:pPr>
      <w:r>
        <w:rPr>
          <w:rFonts w:ascii="Arial" w:hAnsi="Arial" w:cs="Arial"/>
          <w:noProof/>
          <w:sz w:val="20"/>
          <w:lang w:val="bg-BG"/>
        </w:rPr>
        <w:t>ограничения върху предоставянето на транспортни услуги и свободното движение на стоки, произтичащи от националните закони за минималната работна заплата.</w:t>
      </w:r>
    </w:p>
    <w:p w:rsidR="006F5B6C" w:rsidRDefault="00284F4D">
      <w:pPr>
        <w:rPr>
          <w:rFonts w:ascii="Arial" w:hAnsi="Arial" w:cs="Arial"/>
          <w:noProof/>
          <w:spacing w:val="-4"/>
          <w:sz w:val="20"/>
          <w:lang w:val="bg-BG"/>
        </w:rPr>
      </w:pPr>
      <w:r>
        <w:rPr>
          <w:rFonts w:ascii="Arial" w:hAnsi="Arial" w:cs="Arial"/>
          <w:noProof/>
          <w:spacing w:val="-4"/>
          <w:sz w:val="20"/>
          <w:lang w:val="bg-BG"/>
        </w:rPr>
        <w:t>През 2015 г. държавите членки активизираха усилията си за спазване на решенията на Съда, изискващи цялостно прилагане на разпоредбите на пакета относно железопътния транспорт. Поради това Комисията бе в състояние да приключи свързаните производства за установяване на нарушение на задължения срещу три държави членки. Държавите членки обаче не положиха подобни усилия за навременното транспониране на Директивата за създаване на единно европейско железопътно пространство</w:t>
      </w:r>
      <w:r>
        <w:rPr>
          <w:rStyle w:val="FootnoteReference"/>
          <w:noProof/>
          <w:spacing w:val="-4"/>
        </w:rPr>
        <w:footnoteReference w:id="38"/>
      </w:r>
      <w:r>
        <w:rPr>
          <w:rFonts w:ascii="Arial" w:hAnsi="Arial" w:cs="Arial"/>
          <w:noProof/>
          <w:spacing w:val="-4"/>
          <w:sz w:val="20"/>
          <w:lang w:val="bg-BG"/>
        </w:rPr>
        <w:t>. Вследствие на това Комисията образува 20 производства за установяване на нарушения.</w:t>
      </w:r>
    </w:p>
    <w:p w:rsidR="006F5B6C" w:rsidRDefault="00284F4D">
      <w:pPr>
        <w:rPr>
          <w:rFonts w:ascii="Arial" w:hAnsi="Arial" w:cs="Arial"/>
          <w:noProof/>
          <w:sz w:val="16"/>
          <w:lang w:val="bg-BG"/>
        </w:rPr>
      </w:pPr>
      <w:r>
        <w:rPr>
          <w:rFonts w:ascii="Arial" w:hAnsi="Arial" w:cs="Arial"/>
          <w:noProof/>
          <w:sz w:val="20"/>
          <w:lang w:val="bg-BG"/>
        </w:rPr>
        <w:lastRenderedPageBreak/>
        <w:t>Комисията активно следеше усилията за подобряване на използването на цифрови технологии, по-специално в сектора на автомобилния транспорт. Мониторингът на прилагането на правото на ЕС в тази област беше засилен и през 2015 г. бяха образувани или продължени няколко производства за установяване на неизпълнение на задължения относно прилагането на Директивата за оперативната съвместимост на електронни системи за пътно таксуване</w:t>
      </w:r>
      <w:r>
        <w:rPr>
          <w:rStyle w:val="FootnoteReference"/>
          <w:noProof/>
        </w:rPr>
        <w:footnoteReference w:id="39"/>
      </w:r>
      <w:r>
        <w:rPr>
          <w:rFonts w:ascii="Arial" w:hAnsi="Arial" w:cs="Arial"/>
          <w:noProof/>
          <w:sz w:val="20"/>
          <w:lang w:val="bg-BG"/>
        </w:rPr>
        <w:t>. Проверките за съответствие във връзка с прилагането на Директивата относно свидетелствата за управление на превозни средства</w:t>
      </w:r>
      <w:r>
        <w:rPr>
          <w:rStyle w:val="FootnoteReference"/>
          <w:noProof/>
        </w:rPr>
        <w:footnoteReference w:id="40"/>
      </w:r>
      <w:r>
        <w:rPr>
          <w:rFonts w:ascii="Arial" w:hAnsi="Arial" w:cs="Arial"/>
          <w:noProof/>
          <w:sz w:val="20"/>
          <w:lang w:val="bg-BG"/>
        </w:rPr>
        <w:t xml:space="preserve"> през 2015 г. доведоха до образуване на 20 производства за установяване на неизпълнение на задължения.</w:t>
      </w:r>
    </w:p>
    <w:p w:rsidR="006F5B6C" w:rsidRDefault="00284F4D">
      <w:pPr>
        <w:rPr>
          <w:rFonts w:ascii="Arial" w:hAnsi="Arial" w:cs="Arial"/>
          <w:i/>
          <w:noProof/>
          <w:sz w:val="20"/>
          <w:lang w:val="bg-BG"/>
        </w:rPr>
      </w:pPr>
      <w:r>
        <w:rPr>
          <w:rFonts w:ascii="Arial" w:hAnsi="Arial" w:cs="Arial"/>
          <w:i/>
          <w:noProof/>
          <w:sz w:val="20"/>
          <w:lang w:val="bg-BG"/>
        </w:rPr>
        <w:t>Прилагане на достиженията на правото на ЕС в областта на прякото данъчно облагане</w:t>
      </w:r>
    </w:p>
    <w:p w:rsidR="006F5B6C" w:rsidRDefault="00284F4D">
      <w:pPr>
        <w:rPr>
          <w:rFonts w:eastAsia="Times New Roman"/>
          <w:noProof/>
          <w:szCs w:val="24"/>
          <w:lang w:val="bg-BG" w:eastAsia="ar-SA"/>
        </w:rPr>
      </w:pPr>
      <w:r>
        <w:rPr>
          <w:rFonts w:ascii="Arial" w:hAnsi="Arial" w:cs="Arial"/>
          <w:noProof/>
          <w:sz w:val="20"/>
          <w:lang w:val="bg-BG"/>
        </w:rPr>
        <w:t>Комисията продължи три инициативи относно спазването на законодателството на ЕС за прякото данъчно облагане, стартирали през 2011 г. и 2014 г. И трите са проектирани така, че да осигуряват ползи за данъкоплатците. С първата инициатива се проверява дали държавите членки предоставят еднакво данъчно третиране на хора, които наследяват имущество в друга държава членка</w:t>
      </w:r>
      <w:r>
        <w:rPr>
          <w:rStyle w:val="FootnoteReference"/>
          <w:noProof/>
        </w:rPr>
        <w:footnoteReference w:id="41"/>
      </w:r>
      <w:r>
        <w:rPr>
          <w:rFonts w:ascii="Arial" w:hAnsi="Arial" w:cs="Arial"/>
          <w:noProof/>
          <w:sz w:val="20"/>
          <w:lang w:val="bg-BG"/>
        </w:rPr>
        <w:t>. Втората инициатива представлява проверка на това дали хората, които живеят в една държава членка, но работят в друга (трансгранични работници), получават еднакво данъчно третиране</w:t>
      </w:r>
      <w:r>
        <w:rPr>
          <w:rStyle w:val="FootnoteReference"/>
          <w:noProof/>
        </w:rPr>
        <w:footnoteReference w:id="42"/>
      </w:r>
      <w:r>
        <w:rPr>
          <w:rFonts w:ascii="Arial" w:hAnsi="Arial" w:cs="Arial"/>
          <w:noProof/>
          <w:sz w:val="20"/>
          <w:lang w:val="bg-BG"/>
        </w:rPr>
        <w:t xml:space="preserve">. Третата инициатива, която беше стартирана в края на 2014 г., допълва и завършва останалите, като в нея се разглежда данъчното третиране на лица, които действително се предвижват от една държава </w:t>
      </w:r>
      <w:r>
        <w:rPr>
          <w:rFonts w:eastAsia="Times New Roman"/>
          <w:noProof/>
          <w:szCs w:val="24"/>
          <w:lang w:val="bg-BG" w:eastAsia="ar-SA"/>
        </w:rPr>
        <w:t xml:space="preserve">— </w:t>
      </w:r>
      <w:r>
        <w:rPr>
          <w:rFonts w:ascii="Arial" w:hAnsi="Arial" w:cs="Arial"/>
          <w:noProof/>
          <w:sz w:val="20"/>
          <w:lang w:val="bg-BG"/>
        </w:rPr>
        <w:t>членка на ЕС, в друга (мобилни лица)</w:t>
      </w:r>
      <w:r>
        <w:rPr>
          <w:rStyle w:val="FootnoteReference"/>
          <w:noProof/>
        </w:rPr>
        <w:footnoteReference w:id="43"/>
      </w:r>
      <w:r>
        <w:rPr>
          <w:rFonts w:ascii="Arial" w:hAnsi="Arial" w:cs="Arial"/>
          <w:noProof/>
          <w:sz w:val="20"/>
          <w:lang w:val="bg-BG"/>
        </w:rPr>
        <w:t>.</w:t>
      </w:r>
    </w:p>
    <w:p w:rsidR="006F5B6C" w:rsidRDefault="00284F4D">
      <w:pPr>
        <w:pStyle w:val="kop3"/>
        <w:rPr>
          <w:noProof/>
          <w:lang w:val="bg-BG"/>
        </w:rPr>
      </w:pPr>
      <w:bookmarkStart w:id="9" w:name="_Toc454443113"/>
      <w:r>
        <w:rPr>
          <w:noProof/>
          <w:lang w:val="bg-BG"/>
        </w:rPr>
        <w:t>По-задълбочен и по-справедлив икономически и паричен съюз</w:t>
      </w:r>
      <w:bookmarkEnd w:id="9"/>
    </w:p>
    <w:p w:rsidR="006F5B6C" w:rsidRDefault="00284F4D">
      <w:pPr>
        <w:rPr>
          <w:rFonts w:ascii="Arial" w:hAnsi="Arial" w:cs="Arial"/>
          <w:noProof/>
          <w:sz w:val="20"/>
          <w:lang w:val="bg-BG"/>
        </w:rPr>
      </w:pPr>
      <w:r>
        <w:rPr>
          <w:rFonts w:ascii="Arial" w:hAnsi="Arial" w:cs="Arial"/>
          <w:noProof/>
          <w:sz w:val="20"/>
          <w:lang w:val="bg-BG"/>
        </w:rPr>
        <w:t>Развитието на съюза на капиталовите пазари, завършването на банковия съюз и улесняването на трансграничното инвестиране са от съществено значение за финансовата стабилност. Политиката на Комисията по прилагане на законодателството в тази област е съсредоточена върху мониторинга на навременното и правилно транспониране на директивите, приети в рамките на финансовата реформа.</w:t>
      </w:r>
    </w:p>
    <w:p w:rsidR="006F5B6C" w:rsidRDefault="00284F4D">
      <w:pPr>
        <w:rPr>
          <w:rFonts w:ascii="Arial" w:hAnsi="Arial" w:cs="Arial"/>
          <w:noProof/>
          <w:spacing w:val="-4"/>
          <w:sz w:val="20"/>
          <w:lang w:val="bg-BG"/>
        </w:rPr>
      </w:pPr>
      <w:r>
        <w:rPr>
          <w:rFonts w:ascii="Arial" w:hAnsi="Arial" w:cs="Arial"/>
          <w:noProof/>
          <w:spacing w:val="-4"/>
          <w:sz w:val="20"/>
          <w:lang w:val="bg-BG"/>
        </w:rPr>
        <w:t>Специално внимание бе отделено на Директивата за възстановяване и преструктуриране на банки</w:t>
      </w:r>
      <w:r>
        <w:rPr>
          <w:rStyle w:val="FootnoteReference"/>
          <w:noProof/>
          <w:spacing w:val="-4"/>
        </w:rPr>
        <w:footnoteReference w:id="44"/>
      </w:r>
      <w:r>
        <w:rPr>
          <w:rFonts w:ascii="Arial" w:hAnsi="Arial" w:cs="Arial"/>
          <w:noProof/>
          <w:spacing w:val="-4"/>
          <w:sz w:val="20"/>
          <w:lang w:val="bg-BG"/>
        </w:rPr>
        <w:t>и на Директивата относно схемите за гарантиране на депозити</w:t>
      </w:r>
      <w:r>
        <w:rPr>
          <w:rStyle w:val="FootnoteReference"/>
          <w:noProof/>
          <w:spacing w:val="-4"/>
        </w:rPr>
        <w:footnoteReference w:id="45"/>
      </w:r>
      <w:r>
        <w:rPr>
          <w:rFonts w:ascii="Arial" w:hAnsi="Arial" w:cs="Arial"/>
          <w:noProof/>
          <w:spacing w:val="-4"/>
          <w:sz w:val="20"/>
          <w:lang w:val="bg-BG"/>
        </w:rPr>
        <w:t>. Тяхното транспониране е от съществено значение за привеждане в действие на новосъздадения Единен механизъм за преструктуриране, който допълнително ще задълбочи икономическия и паричен съюз. Комисията провери също така дали Директивата за счетоводството и Директивата за прозрачността</w:t>
      </w:r>
      <w:r>
        <w:rPr>
          <w:rStyle w:val="FootnoteReference"/>
          <w:noProof/>
          <w:spacing w:val="-4"/>
        </w:rPr>
        <w:footnoteReference w:id="46"/>
      </w:r>
      <w:r>
        <w:rPr>
          <w:rFonts w:ascii="Arial" w:hAnsi="Arial" w:cs="Arial"/>
          <w:noProof/>
          <w:spacing w:val="-4"/>
          <w:sz w:val="20"/>
          <w:lang w:val="bg-BG"/>
        </w:rPr>
        <w:t>са били транспонирани навреме в националното законодателство. Освен това тя извърши проверки за съответствие и, когато бе необходимо, започна производства за установяване на неизпълнение на задължения във връзка с неспазване на:</w:t>
      </w:r>
    </w:p>
    <w:p w:rsidR="006F5B6C" w:rsidRDefault="00284F4D">
      <w:pPr>
        <w:pStyle w:val="ListParagraph"/>
        <w:numPr>
          <w:ilvl w:val="0"/>
          <w:numId w:val="34"/>
        </w:numPr>
        <w:rPr>
          <w:rFonts w:ascii="Arial" w:hAnsi="Arial" w:cs="Arial"/>
          <w:noProof/>
          <w:sz w:val="20"/>
          <w:lang w:val="bg-BG"/>
        </w:rPr>
      </w:pPr>
      <w:r>
        <w:rPr>
          <w:rFonts w:ascii="Arial" w:hAnsi="Arial" w:cs="Arial"/>
          <w:noProof/>
          <w:sz w:val="20"/>
          <w:lang w:val="bg-BG"/>
        </w:rPr>
        <w:t>Директивата относно достъпа до осъществяването на дейност от кредитните институции и относно пруденциалния надзор върху кредитните институции и инвестиционните посредници</w:t>
      </w:r>
      <w:r>
        <w:rPr>
          <w:rStyle w:val="FootnoteReference"/>
          <w:noProof/>
        </w:rPr>
        <w:footnoteReference w:id="47"/>
      </w:r>
      <w:r>
        <w:rPr>
          <w:rFonts w:ascii="Arial" w:hAnsi="Arial" w:cs="Arial"/>
          <w:noProof/>
          <w:sz w:val="20"/>
          <w:lang w:val="bg-BG"/>
        </w:rPr>
        <w:t>;</w:t>
      </w:r>
    </w:p>
    <w:p w:rsidR="006F5B6C" w:rsidRDefault="00284F4D">
      <w:pPr>
        <w:pStyle w:val="ListParagraph"/>
        <w:numPr>
          <w:ilvl w:val="0"/>
          <w:numId w:val="34"/>
        </w:numPr>
        <w:rPr>
          <w:rFonts w:ascii="Arial" w:hAnsi="Arial" w:cs="Arial"/>
          <w:noProof/>
          <w:sz w:val="20"/>
        </w:rPr>
      </w:pPr>
      <w:r>
        <w:rPr>
          <w:rFonts w:ascii="Arial" w:hAnsi="Arial" w:cs="Arial"/>
          <w:noProof/>
          <w:sz w:val="20"/>
          <w:lang w:val="bg-BG"/>
        </w:rPr>
        <w:t>Директивата за финансовите конгломерати</w:t>
      </w:r>
      <w:r>
        <w:rPr>
          <w:rStyle w:val="FootnoteReference"/>
          <w:noProof/>
        </w:rPr>
        <w:footnoteReference w:id="48"/>
      </w:r>
      <w:r>
        <w:rPr>
          <w:rFonts w:ascii="Arial" w:hAnsi="Arial" w:cs="Arial"/>
          <w:noProof/>
          <w:sz w:val="20"/>
          <w:lang w:val="bg-BG"/>
        </w:rPr>
        <w:t>;</w:t>
      </w:r>
    </w:p>
    <w:p w:rsidR="006F5B6C" w:rsidRDefault="00284F4D">
      <w:pPr>
        <w:pStyle w:val="ListParagraph"/>
        <w:numPr>
          <w:ilvl w:val="0"/>
          <w:numId w:val="34"/>
        </w:numPr>
        <w:rPr>
          <w:rFonts w:ascii="Arial" w:hAnsi="Arial" w:cs="Arial"/>
          <w:noProof/>
          <w:sz w:val="20"/>
          <w:lang w:val="ru-RU"/>
        </w:rPr>
      </w:pPr>
      <w:r>
        <w:rPr>
          <w:rFonts w:ascii="Arial" w:hAnsi="Arial" w:cs="Arial"/>
          <w:noProof/>
          <w:sz w:val="20"/>
          <w:lang w:val="bg-BG"/>
        </w:rPr>
        <w:t>Директивата „Платежоспособност</w:t>
      </w:r>
      <w:r>
        <w:rPr>
          <w:rFonts w:ascii="Arial" w:hAnsi="Arial" w:cs="Arial"/>
          <w:noProof/>
          <w:sz w:val="20"/>
          <w:lang w:val="ru-RU"/>
        </w:rPr>
        <w:t xml:space="preserve"> </w:t>
      </w:r>
      <w:r>
        <w:rPr>
          <w:rFonts w:ascii="Arial" w:hAnsi="Arial" w:cs="Arial"/>
          <w:noProof/>
          <w:sz w:val="20"/>
        </w:rPr>
        <w:t>II</w:t>
      </w:r>
      <w:r>
        <w:rPr>
          <w:rFonts w:ascii="Arial" w:hAnsi="Arial" w:cs="Arial"/>
          <w:noProof/>
          <w:sz w:val="20"/>
          <w:lang w:val="bg-BG"/>
        </w:rPr>
        <w:t xml:space="preserve">“ и Директивата „Омнибус </w:t>
      </w:r>
      <w:r>
        <w:rPr>
          <w:rFonts w:ascii="Arial" w:hAnsi="Arial" w:cs="Arial"/>
          <w:noProof/>
          <w:sz w:val="20"/>
        </w:rPr>
        <w:t>II</w:t>
      </w:r>
      <w:r>
        <w:rPr>
          <w:rFonts w:ascii="Arial" w:hAnsi="Arial" w:cs="Arial"/>
          <w:noProof/>
          <w:sz w:val="20"/>
          <w:lang w:val="bg-BG"/>
        </w:rPr>
        <w:t>“</w:t>
      </w:r>
      <w:r>
        <w:rPr>
          <w:rStyle w:val="FootnoteReference"/>
          <w:noProof/>
        </w:rPr>
        <w:footnoteReference w:id="49"/>
      </w:r>
      <w:r>
        <w:rPr>
          <w:rFonts w:ascii="Arial" w:hAnsi="Arial" w:cs="Arial"/>
          <w:noProof/>
          <w:sz w:val="20"/>
          <w:lang w:val="bg-BG"/>
        </w:rPr>
        <w:t>;</w:t>
      </w:r>
    </w:p>
    <w:p w:rsidR="006F5B6C" w:rsidRDefault="00284F4D">
      <w:pPr>
        <w:pStyle w:val="ListParagraph"/>
        <w:numPr>
          <w:ilvl w:val="0"/>
          <w:numId w:val="34"/>
        </w:numPr>
        <w:rPr>
          <w:rFonts w:ascii="Arial" w:hAnsi="Arial" w:cs="Arial"/>
          <w:noProof/>
          <w:sz w:val="20"/>
          <w:lang w:val="ru-RU"/>
        </w:rPr>
      </w:pPr>
      <w:r>
        <w:rPr>
          <w:rFonts w:ascii="Arial" w:hAnsi="Arial" w:cs="Arial"/>
          <w:noProof/>
          <w:sz w:val="20"/>
          <w:lang w:val="bg-BG"/>
        </w:rPr>
        <w:t>Директивата относно лицата, управляващи алтернативни инвестиционни фондове</w:t>
      </w:r>
      <w:r>
        <w:rPr>
          <w:rStyle w:val="FootnoteReference"/>
          <w:noProof/>
        </w:rPr>
        <w:footnoteReference w:id="50"/>
      </w:r>
      <w:r>
        <w:rPr>
          <w:rFonts w:ascii="Arial" w:hAnsi="Arial" w:cs="Arial"/>
          <w:noProof/>
          <w:sz w:val="20"/>
          <w:lang w:val="bg-BG"/>
        </w:rPr>
        <w:t>; и</w:t>
      </w:r>
    </w:p>
    <w:p w:rsidR="006F5B6C" w:rsidRDefault="00284F4D">
      <w:pPr>
        <w:pStyle w:val="ListParagraph"/>
        <w:numPr>
          <w:ilvl w:val="0"/>
          <w:numId w:val="34"/>
        </w:numPr>
        <w:rPr>
          <w:rFonts w:ascii="Arial" w:hAnsi="Arial" w:cs="Arial"/>
          <w:noProof/>
          <w:sz w:val="20"/>
        </w:rPr>
      </w:pPr>
      <w:r>
        <w:rPr>
          <w:rFonts w:ascii="Arial" w:hAnsi="Arial" w:cs="Arial"/>
          <w:noProof/>
          <w:sz w:val="20"/>
          <w:lang w:val="bg-BG"/>
        </w:rPr>
        <w:lastRenderedPageBreak/>
        <w:t>Директивата относно кредитните рейтинги</w:t>
      </w:r>
      <w:r>
        <w:rPr>
          <w:rStyle w:val="FootnoteReference"/>
          <w:noProof/>
        </w:rPr>
        <w:footnoteReference w:id="51"/>
      </w:r>
      <w:r>
        <w:rPr>
          <w:rFonts w:ascii="Arial" w:hAnsi="Arial" w:cs="Arial"/>
          <w:noProof/>
          <w:sz w:val="20"/>
          <w:lang w:val="bg-BG"/>
        </w:rPr>
        <w:t>.</w:t>
      </w:r>
    </w:p>
    <w:p w:rsidR="006F5B6C" w:rsidRDefault="00284F4D">
      <w:pPr>
        <w:pStyle w:val="kop3"/>
        <w:rPr>
          <w:noProof/>
          <w:lang w:val="ru-RU"/>
        </w:rPr>
      </w:pPr>
      <w:bookmarkStart w:id="10" w:name="_Toc454443114"/>
      <w:r>
        <w:rPr>
          <w:noProof/>
          <w:lang w:val="bg-BG"/>
        </w:rPr>
        <w:t>Пространство на правосъдие и основни права, изградено върху взаимно доверие</w:t>
      </w:r>
      <w:bookmarkEnd w:id="10"/>
    </w:p>
    <w:p w:rsidR="006F5B6C" w:rsidRDefault="00284F4D">
      <w:pPr>
        <w:rPr>
          <w:rFonts w:ascii="Arial" w:hAnsi="Arial" w:cs="Arial"/>
          <w:noProof/>
          <w:sz w:val="20"/>
          <w:lang w:val="ru-RU"/>
        </w:rPr>
      </w:pPr>
      <w:r>
        <w:rPr>
          <w:rFonts w:ascii="Arial" w:hAnsi="Arial" w:cs="Arial"/>
          <w:noProof/>
          <w:sz w:val="20"/>
          <w:lang w:val="bg-BG"/>
        </w:rPr>
        <w:t>Европейските граждани споделят общи ценности и се възползват от права, които са формулирани в Договорите за ЕС и в Хартата на основните права</w:t>
      </w:r>
      <w:r>
        <w:rPr>
          <w:rFonts w:ascii="Arial" w:hAnsi="Arial" w:cs="Arial"/>
          <w:noProof/>
          <w:sz w:val="20"/>
          <w:lang w:val="ru-RU"/>
        </w:rPr>
        <w:t>.</w:t>
      </w:r>
    </w:p>
    <w:p w:rsidR="006F5B6C" w:rsidRDefault="00284F4D">
      <w:pPr>
        <w:rPr>
          <w:rFonts w:ascii="Arial" w:hAnsi="Arial" w:cs="Arial"/>
          <w:noProof/>
          <w:sz w:val="20"/>
          <w:lang w:val="bg-BG"/>
        </w:rPr>
      </w:pPr>
      <w:r>
        <w:rPr>
          <w:rFonts w:ascii="Arial" w:hAnsi="Arial" w:cs="Arial"/>
          <w:noProof/>
          <w:sz w:val="20"/>
          <w:lang w:val="bg-BG"/>
        </w:rPr>
        <w:t xml:space="preserve">Една от основните свободи на ЕС е </w:t>
      </w:r>
      <w:r>
        <w:rPr>
          <w:rFonts w:ascii="Arial" w:hAnsi="Arial" w:cs="Arial"/>
          <w:i/>
          <w:noProof/>
          <w:sz w:val="20"/>
          <w:lang w:val="bg-BG"/>
        </w:rPr>
        <w:t>свободното движение на хора</w:t>
      </w:r>
      <w:r>
        <w:rPr>
          <w:rFonts w:ascii="Arial" w:hAnsi="Arial" w:cs="Arial"/>
          <w:noProof/>
          <w:sz w:val="20"/>
          <w:lang w:val="ru-RU"/>
        </w:rPr>
        <w:t xml:space="preserve">. </w:t>
      </w:r>
      <w:r>
        <w:rPr>
          <w:rFonts w:ascii="Arial" w:hAnsi="Arial" w:cs="Arial"/>
          <w:noProof/>
          <w:sz w:val="20"/>
          <w:lang w:val="bg-BG"/>
        </w:rPr>
        <w:t>Прилагането на Директивата за свободното движение</w:t>
      </w:r>
      <w:r>
        <w:rPr>
          <w:rStyle w:val="FootnoteReference"/>
          <w:noProof/>
        </w:rPr>
        <w:footnoteReference w:id="52"/>
      </w:r>
      <w:r>
        <w:rPr>
          <w:rFonts w:ascii="Arial" w:hAnsi="Arial" w:cs="Arial"/>
          <w:noProof/>
          <w:sz w:val="20"/>
          <w:lang w:val="bg-BG"/>
        </w:rPr>
        <w:t xml:space="preserve"> и на свързаните с нея </w:t>
      </w:r>
      <w:r>
        <w:rPr>
          <w:rFonts w:ascii="Arial" w:hAnsi="Arial" w:cs="Arial"/>
          <w:i/>
          <w:noProof/>
          <w:sz w:val="20"/>
          <w:lang w:val="bg-BG"/>
        </w:rPr>
        <w:t xml:space="preserve">достижения на правото на ЕС </w:t>
      </w:r>
      <w:r>
        <w:rPr>
          <w:rFonts w:ascii="Arial" w:hAnsi="Arial" w:cs="Arial"/>
          <w:noProof/>
          <w:sz w:val="20"/>
          <w:lang w:val="bg-BG"/>
        </w:rPr>
        <w:t>от националните администрации на местно равнище е от основно значение, за да се гарантира, че европейците могат изцяло да се възползват от правото си на свободно движение</w:t>
      </w:r>
      <w:r>
        <w:rPr>
          <w:rFonts w:ascii="Arial" w:hAnsi="Arial" w:cs="Arial"/>
          <w:noProof/>
          <w:sz w:val="20"/>
          <w:lang w:val="ru-RU"/>
        </w:rPr>
        <w:t xml:space="preserve">. </w:t>
      </w:r>
      <w:r>
        <w:rPr>
          <w:rFonts w:ascii="Arial" w:hAnsi="Arial" w:cs="Arial"/>
          <w:noProof/>
          <w:sz w:val="20"/>
          <w:lang w:val="bg-BG"/>
        </w:rPr>
        <w:t>Липсата на яснота по отношение на правата и задълженията на гражданите на ЕС може да окаже натиск върху свободното им движение. Ето защо Комисията се ангажира да помага на националните администрации да преодолеят тези пропуски в информацията. За тази цел тя разработва инструмент за електронно обучение относно правата на свободно движение на гражданите на ЕС. Той ще предостави на националните администрации, които оказват пряко или непряко въздействие върху правото на свободно движение на гражданите на ЕС, практически инструмент за по-добро разбиране на правата и задълженията, свързани със свободното движение, и по този начин ще подобри прилагането им на практика. През 2015 г. беше постигнат значителен напредък и инструментът ще бъде на разположение на органите на държавите членки през 2016 г.</w:t>
      </w:r>
    </w:p>
    <w:p w:rsidR="006F5B6C" w:rsidRDefault="00284F4D">
      <w:pPr>
        <w:rPr>
          <w:rFonts w:ascii="Arial" w:hAnsi="Arial" w:cs="Arial"/>
          <w:noProof/>
          <w:sz w:val="20"/>
          <w:lang w:val="bg-BG"/>
        </w:rPr>
      </w:pPr>
      <w:r>
        <w:rPr>
          <w:rFonts w:ascii="Arial" w:hAnsi="Arial" w:cs="Arial"/>
          <w:noProof/>
          <w:sz w:val="20"/>
          <w:lang w:val="bg-BG"/>
        </w:rPr>
        <w:t xml:space="preserve">Що се отнася до областта на </w:t>
      </w:r>
      <w:r>
        <w:rPr>
          <w:rFonts w:ascii="Arial" w:hAnsi="Arial" w:cs="Arial"/>
          <w:i/>
          <w:noProof/>
          <w:sz w:val="20"/>
          <w:lang w:val="bg-BG"/>
        </w:rPr>
        <w:t>наказателното право</w:t>
      </w:r>
      <w:r>
        <w:rPr>
          <w:rFonts w:ascii="Arial" w:hAnsi="Arial" w:cs="Arial"/>
          <w:noProof/>
          <w:sz w:val="20"/>
          <w:lang w:val="bg-BG"/>
        </w:rPr>
        <w:t>, през 2015 г. държавите членки трябваше да транспонират в националните си законодателства две ключови директиви</w:t>
      </w:r>
      <w:r>
        <w:rPr>
          <w:rFonts w:ascii="Arial" w:hAnsi="Arial" w:cs="Arial"/>
          <w:i/>
          <w:noProof/>
          <w:sz w:val="20"/>
          <w:lang w:val="bg-BG"/>
        </w:rPr>
        <w:t xml:space="preserve"> </w:t>
      </w:r>
      <w:r>
        <w:rPr>
          <w:rFonts w:ascii="Arial" w:hAnsi="Arial" w:cs="Arial"/>
          <w:noProof/>
          <w:sz w:val="20"/>
          <w:lang w:val="bg-BG"/>
        </w:rPr>
        <w:t>относно правосъдието и основните права. Едната има за цел да гарантира подходящи мерки за защита на жертвите на престъпления (Европейска заповед за защита</w:t>
      </w:r>
      <w:r>
        <w:rPr>
          <w:rStyle w:val="FootnoteReference"/>
          <w:noProof/>
        </w:rPr>
        <w:footnoteReference w:id="53"/>
      </w:r>
      <w:r>
        <w:rPr>
          <w:rFonts w:ascii="Arial" w:hAnsi="Arial" w:cs="Arial"/>
          <w:noProof/>
          <w:sz w:val="20"/>
          <w:lang w:val="bg-BG"/>
        </w:rPr>
        <w:t>). С другата се установяват минимални стандарти относно правата, подкрепата и защитата на такива жертви</w:t>
      </w:r>
      <w:r>
        <w:rPr>
          <w:rStyle w:val="FootnoteReference"/>
          <w:noProof/>
        </w:rPr>
        <w:footnoteReference w:id="54"/>
      </w:r>
      <w:r>
        <w:rPr>
          <w:rFonts w:ascii="Arial" w:hAnsi="Arial" w:cs="Arial"/>
          <w:noProof/>
          <w:sz w:val="20"/>
          <w:lang w:val="bg-BG"/>
        </w:rPr>
        <w:t>. Комисията започна производства за установяване на неизпълнение на задължения срещу държави членки, които не са спазили задълженията си. Тя също така започна или завърши проверки относно съответствието на националното законодателство с директивите за процесуалните права</w:t>
      </w:r>
      <w:r>
        <w:rPr>
          <w:rStyle w:val="FootnoteReference"/>
          <w:noProof/>
        </w:rPr>
        <w:footnoteReference w:id="55"/>
      </w:r>
      <w:r>
        <w:rPr>
          <w:rFonts w:ascii="Arial" w:hAnsi="Arial" w:cs="Arial"/>
          <w:noProof/>
          <w:sz w:val="20"/>
          <w:lang w:val="bg-BG"/>
        </w:rPr>
        <w:t xml:space="preserve"> и при установяване на пропуски започна диалози в рамките на </w:t>
      </w:r>
      <w:r>
        <w:rPr>
          <w:rFonts w:ascii="Arial" w:hAnsi="Arial" w:cs="Arial"/>
          <w:noProof/>
          <w:sz w:val="20"/>
        </w:rPr>
        <w:t>EU</w:t>
      </w:r>
      <w:r>
        <w:rPr>
          <w:rFonts w:ascii="Arial" w:hAnsi="Arial" w:cs="Arial"/>
          <w:noProof/>
          <w:sz w:val="20"/>
          <w:lang w:val="bg-BG"/>
        </w:rPr>
        <w:t xml:space="preserve"> </w:t>
      </w:r>
      <w:r>
        <w:rPr>
          <w:rFonts w:ascii="Arial" w:hAnsi="Arial" w:cs="Arial"/>
          <w:noProof/>
          <w:sz w:val="20"/>
        </w:rPr>
        <w:t>Pilot</w:t>
      </w:r>
      <w:r>
        <w:rPr>
          <w:rFonts w:ascii="Arial" w:hAnsi="Arial" w:cs="Arial"/>
          <w:noProof/>
          <w:sz w:val="20"/>
          <w:lang w:val="bg-BG"/>
        </w:rPr>
        <w:t>.</w:t>
      </w:r>
    </w:p>
    <w:p w:rsidR="006F5B6C" w:rsidRDefault="00284F4D">
      <w:pPr>
        <w:rPr>
          <w:rFonts w:ascii="Arial" w:hAnsi="Arial" w:cs="Arial"/>
          <w:noProof/>
          <w:sz w:val="20"/>
          <w:lang w:val="bg-BG"/>
        </w:rPr>
      </w:pPr>
      <w:r>
        <w:rPr>
          <w:rFonts w:ascii="Arial" w:hAnsi="Arial" w:cs="Arial"/>
          <w:noProof/>
          <w:sz w:val="20"/>
          <w:lang w:val="bg-BG"/>
        </w:rPr>
        <w:t xml:space="preserve">По отношение на </w:t>
      </w:r>
      <w:r>
        <w:rPr>
          <w:rFonts w:ascii="Arial" w:hAnsi="Arial" w:cs="Arial"/>
          <w:i/>
          <w:noProof/>
          <w:sz w:val="20"/>
          <w:lang w:val="bg-BG"/>
        </w:rPr>
        <w:t>съдебното сътрудничество по гражданскоправни въпроси</w:t>
      </w:r>
      <w:r>
        <w:rPr>
          <w:rFonts w:ascii="Arial" w:hAnsi="Arial" w:cs="Arial"/>
          <w:noProof/>
          <w:sz w:val="20"/>
          <w:lang w:val="bg-BG"/>
        </w:rPr>
        <w:t xml:space="preserve"> Комисията изтъкна поощряването и защитата на правата на децата и по-специално предотвратяването и борбата с международното отвличане на деца. Комисията приема, че цялата материя, свързана с международното отвличане на деца (включително приемането на новоприсъединилите се страни към Хагската конвенция от 1980</w:t>
      </w:r>
      <w:r>
        <w:rPr>
          <w:rFonts w:ascii="Arial" w:hAnsi="Arial" w:cs="Arial"/>
          <w:noProof/>
          <w:sz w:val="20"/>
        </w:rPr>
        <w:t> </w:t>
      </w:r>
      <w:r>
        <w:rPr>
          <w:rFonts w:ascii="Arial" w:hAnsi="Arial" w:cs="Arial"/>
          <w:noProof/>
          <w:sz w:val="20"/>
          <w:lang w:val="bg-BG"/>
        </w:rPr>
        <w:t>г. за гражданските аспекти на международното отвличане на деца) е обхваната от изключителната външна компетентност на ЕС поради приемането на паралелно вътрешно законодателство на ЕС (Регламент „Брюксел </w:t>
      </w:r>
      <w:r>
        <w:rPr>
          <w:rFonts w:ascii="Arial" w:hAnsi="Arial" w:cs="Arial"/>
          <w:noProof/>
          <w:sz w:val="20"/>
          <w:lang w:val="en-US"/>
        </w:rPr>
        <w:t>II</w:t>
      </w:r>
      <w:r>
        <w:rPr>
          <w:rFonts w:ascii="Arial" w:hAnsi="Arial" w:cs="Arial"/>
          <w:noProof/>
          <w:sz w:val="20"/>
          <w:lang w:val="bg-BG"/>
        </w:rPr>
        <w:t>а“</w:t>
      </w:r>
      <w:r>
        <w:rPr>
          <w:rStyle w:val="FootnoteReference"/>
          <w:rFonts w:ascii="Arial" w:hAnsi="Arial" w:cs="Arial"/>
          <w:noProof/>
          <w:sz w:val="20"/>
        </w:rPr>
        <w:footnoteReference w:id="56"/>
      </w:r>
      <w:r>
        <w:rPr>
          <w:rFonts w:ascii="Arial" w:hAnsi="Arial" w:cs="Arial"/>
          <w:noProof/>
          <w:sz w:val="20"/>
          <w:lang w:val="bg-BG"/>
        </w:rPr>
        <w:t>). С оглед на противопоставянето от страна на повечето държави членки и след започване на производства за установяване на неизпълнение на задължения срещу няколко държави членки за незачитане на изключителната външна компетентност на ЕС в тази област Комисията поиска становището на Съда на Европейския съюз. Съдът потвърди</w:t>
      </w:r>
      <w:r>
        <w:rPr>
          <w:rStyle w:val="FootnoteReference"/>
          <w:noProof/>
        </w:rPr>
        <w:footnoteReference w:id="57"/>
      </w:r>
      <w:r>
        <w:rPr>
          <w:rFonts w:ascii="Arial" w:hAnsi="Arial" w:cs="Arial"/>
          <w:noProof/>
          <w:sz w:val="20"/>
          <w:lang w:val="bg-BG"/>
        </w:rPr>
        <w:t>, че изключителната компетентност на ЕС обхваща приемането на присъединяване на трета държава към Хагската конвенция. В резултат на становището на Съда Съветът поднови преговорите по висящите предложения на Комисията по този въпрос, които последната публикува през 2015 г.</w:t>
      </w:r>
    </w:p>
    <w:p w:rsidR="006F5B6C" w:rsidRDefault="00284F4D">
      <w:pPr>
        <w:rPr>
          <w:rFonts w:ascii="Arial" w:hAnsi="Arial" w:cs="Arial"/>
          <w:noProof/>
          <w:sz w:val="20"/>
          <w:lang w:val="bg-BG"/>
        </w:rPr>
      </w:pPr>
      <w:r>
        <w:rPr>
          <w:rFonts w:ascii="Arial" w:hAnsi="Arial" w:cs="Arial"/>
          <w:noProof/>
          <w:sz w:val="20"/>
          <w:lang w:val="bg-BG"/>
        </w:rPr>
        <w:lastRenderedPageBreak/>
        <w:t xml:space="preserve">Що се отнася до областта на </w:t>
      </w:r>
      <w:r>
        <w:rPr>
          <w:rFonts w:ascii="Arial" w:hAnsi="Arial" w:cs="Arial"/>
          <w:i/>
          <w:noProof/>
          <w:sz w:val="20"/>
          <w:lang w:val="bg-BG"/>
        </w:rPr>
        <w:t>защитата на данните</w:t>
      </w:r>
      <w:r>
        <w:rPr>
          <w:rFonts w:ascii="Arial" w:hAnsi="Arial" w:cs="Arial"/>
          <w:noProof/>
          <w:sz w:val="20"/>
          <w:lang w:val="bg-BG"/>
        </w:rPr>
        <w:t>, в решението си от 6 октомври 2015 г.</w:t>
      </w:r>
      <w:r>
        <w:rPr>
          <w:rStyle w:val="FootnoteReference"/>
          <w:noProof/>
        </w:rPr>
        <w:footnoteReference w:id="58"/>
      </w:r>
      <w:r>
        <w:rPr>
          <w:rFonts w:ascii="Arial" w:hAnsi="Arial" w:cs="Arial"/>
          <w:noProof/>
          <w:sz w:val="20"/>
          <w:lang w:val="bg-BG"/>
        </w:rPr>
        <w:t>. Съдът обяви за невалидно решението на Комисията за „сфера на неприкосновеност на личния живот“</w:t>
      </w:r>
      <w:r>
        <w:rPr>
          <w:rStyle w:val="FootnoteReference"/>
          <w:noProof/>
        </w:rPr>
        <w:footnoteReference w:id="59"/>
      </w:r>
      <w:r>
        <w:rPr>
          <w:rFonts w:ascii="Arial" w:hAnsi="Arial" w:cs="Arial"/>
          <w:noProof/>
          <w:sz w:val="20"/>
          <w:lang w:val="bg-BG"/>
        </w:rPr>
        <w:t>. Той постанови, че в решението не се съдържат достатъчно констатации на Комисията, че достъпът на публичните органи на САЩ до данни, предавани съгласно решението, е ограничен или че съществува ефективната правна защита срещу подобна намеса в личния живот, по–специално с оглед на членове 7, 8 и 47 от Хартата на основните права на Европейския съюз. Вследствие на решението, на 6 ноември 2015 г. Комисията публикува съобщение относно предаването на лични данни от ЕС на САЩ съгласно Директивата за защита на данните</w:t>
      </w:r>
      <w:r>
        <w:rPr>
          <w:rStyle w:val="FootnoteReference"/>
          <w:noProof/>
        </w:rPr>
        <w:footnoteReference w:id="60"/>
      </w:r>
      <w:r>
        <w:rPr>
          <w:rFonts w:ascii="Arial" w:hAnsi="Arial" w:cs="Arial"/>
          <w:noProof/>
          <w:sz w:val="20"/>
          <w:lang w:val="bg-BG"/>
        </w:rPr>
        <w:t>.В него се представя преглед на алтернативните инструменти за трансатлантическо предаване на данни съгласно Директивата при липса на решение относно адекватността на нивото на защита на данните.</w:t>
      </w:r>
    </w:p>
    <w:p w:rsidR="006F5B6C" w:rsidRDefault="00284F4D">
      <w:pPr>
        <w:rPr>
          <w:rFonts w:ascii="Arial" w:hAnsi="Arial" w:cs="Arial"/>
          <w:noProof/>
          <w:sz w:val="20"/>
          <w:lang w:val="bg-BG"/>
        </w:rPr>
      </w:pPr>
      <w:r>
        <w:rPr>
          <w:rFonts w:ascii="Arial" w:hAnsi="Arial" w:cs="Arial"/>
          <w:noProof/>
          <w:sz w:val="20"/>
          <w:lang w:val="bg-BG"/>
        </w:rPr>
        <w:t>В областта на равното третиране и антидискриминацията, Комисията продължи борбата с дискриминацията на ромското население чрез засилено прилагане на Директива за равенството между расите</w:t>
      </w:r>
      <w:r>
        <w:rPr>
          <w:rStyle w:val="FootnoteReference"/>
          <w:rFonts w:ascii="Arial" w:hAnsi="Arial" w:cs="Arial"/>
          <w:noProof/>
          <w:sz w:val="20"/>
          <w:lang w:val="bg-BG"/>
        </w:rPr>
        <w:footnoteReference w:id="61"/>
      </w:r>
      <w:r>
        <w:rPr>
          <w:rFonts w:ascii="Arial" w:hAnsi="Arial" w:cs="Arial"/>
          <w:noProof/>
          <w:sz w:val="20"/>
          <w:lang w:val="bg-BG"/>
        </w:rPr>
        <w:t xml:space="preserve">. Тя инициира производствата за установяване на нарушения срещу втора държава членка поради дискриминация на деца от ромски произход в областта на образованието и продължи диалога чрез </w:t>
      </w:r>
      <w:r>
        <w:rPr>
          <w:rFonts w:ascii="Arial" w:hAnsi="Arial" w:cs="Arial"/>
          <w:noProof/>
          <w:sz w:val="20"/>
        </w:rPr>
        <w:t>EU</w:t>
      </w:r>
      <w:r>
        <w:rPr>
          <w:rFonts w:ascii="Arial" w:hAnsi="Arial" w:cs="Arial"/>
          <w:noProof/>
          <w:sz w:val="20"/>
          <w:lang w:val="ru-RU"/>
        </w:rPr>
        <w:t xml:space="preserve"> </w:t>
      </w:r>
      <w:r>
        <w:rPr>
          <w:rFonts w:ascii="Arial" w:hAnsi="Arial" w:cs="Arial"/>
          <w:noProof/>
          <w:sz w:val="20"/>
        </w:rPr>
        <w:t>Pilot</w:t>
      </w:r>
      <w:r>
        <w:rPr>
          <w:rFonts w:ascii="Arial" w:hAnsi="Arial" w:cs="Arial"/>
          <w:noProof/>
          <w:sz w:val="20"/>
          <w:lang w:val="bg-BG"/>
        </w:rPr>
        <w:t xml:space="preserve"> с няколко други държави членки поради подозрения за дискриминация на ромското население в областта на жилищното благоустройство и/или образованието. Комисията също продължи своите усилия за засилване ролята на националните органи по въпросите на равенството, създадени съгласно директивите относно равното третиране, за борба с дискриминацията и подпомагане на жертвите на дискриминация.</w:t>
      </w:r>
    </w:p>
    <w:p w:rsidR="006F5B6C" w:rsidRDefault="00284F4D">
      <w:pPr>
        <w:rPr>
          <w:rFonts w:ascii="Arial" w:hAnsi="Arial" w:cs="Arial"/>
          <w:noProof/>
          <w:sz w:val="20"/>
          <w:lang w:val="bg-BG"/>
        </w:rPr>
      </w:pPr>
      <w:r>
        <w:rPr>
          <w:rFonts w:ascii="Arial" w:hAnsi="Arial" w:cs="Arial"/>
          <w:noProof/>
          <w:sz w:val="20"/>
          <w:lang w:val="bg-BG"/>
        </w:rPr>
        <w:t xml:space="preserve">Приетата през 2015 г. </w:t>
      </w:r>
      <w:r>
        <w:rPr>
          <w:rFonts w:ascii="Arial" w:hAnsi="Arial" w:cs="Arial"/>
          <w:i/>
          <w:noProof/>
          <w:sz w:val="20"/>
          <w:lang w:val="bg-BG"/>
        </w:rPr>
        <w:t>Европейска програма за сигурност</w:t>
      </w:r>
      <w:r>
        <w:rPr>
          <w:rStyle w:val="FootnoteReference"/>
          <w:noProof/>
        </w:rPr>
        <w:footnoteReference w:id="62"/>
      </w:r>
      <w:r>
        <w:rPr>
          <w:rFonts w:ascii="Arial" w:hAnsi="Arial" w:cs="Arial"/>
          <w:i/>
          <w:noProof/>
          <w:sz w:val="20"/>
          <w:lang w:val="bg-BG"/>
        </w:rPr>
        <w:t xml:space="preserve"> </w:t>
      </w:r>
      <w:r>
        <w:rPr>
          <w:rFonts w:ascii="Arial" w:hAnsi="Arial" w:cs="Arial"/>
          <w:noProof/>
          <w:sz w:val="20"/>
          <w:lang w:val="bg-BG"/>
        </w:rPr>
        <w:t xml:space="preserve">има за цел да предостави на държавите членки инструменти за борба с краткосрочните и дългосрочните предизвикателства в областта на сигурността. В този контекст Комисията започна диалог в рамките на </w:t>
      </w:r>
      <w:r>
        <w:rPr>
          <w:rFonts w:ascii="Arial" w:hAnsi="Arial" w:cs="Arial"/>
          <w:noProof/>
          <w:sz w:val="20"/>
        </w:rPr>
        <w:t>EU</w:t>
      </w:r>
      <w:r>
        <w:rPr>
          <w:rFonts w:ascii="Arial" w:hAnsi="Arial" w:cs="Arial"/>
          <w:noProof/>
          <w:sz w:val="20"/>
          <w:lang w:val="bg-BG"/>
        </w:rPr>
        <w:t xml:space="preserve"> </w:t>
      </w:r>
      <w:r>
        <w:rPr>
          <w:rFonts w:ascii="Arial" w:hAnsi="Arial" w:cs="Arial"/>
          <w:noProof/>
          <w:sz w:val="20"/>
        </w:rPr>
        <w:t>Pilot</w:t>
      </w:r>
      <w:r>
        <w:rPr>
          <w:rFonts w:ascii="Arial" w:hAnsi="Arial" w:cs="Arial"/>
          <w:noProof/>
          <w:sz w:val="20"/>
          <w:lang w:val="bg-BG"/>
        </w:rPr>
        <w:t xml:space="preserve"> с 12 държави членки, които не са изпълнили задълженията съгласно Регламента относно прекурсорите на взривни вещества</w:t>
      </w:r>
      <w:r>
        <w:rPr>
          <w:rStyle w:val="FootnoteReference"/>
          <w:rFonts w:ascii="Arial" w:hAnsi="Arial" w:cs="Arial"/>
          <w:noProof/>
          <w:sz w:val="20"/>
        </w:rPr>
        <w:footnoteReference w:id="63"/>
      </w:r>
      <w:r>
        <w:rPr>
          <w:rFonts w:ascii="Arial" w:hAnsi="Arial" w:cs="Arial"/>
          <w:noProof/>
          <w:sz w:val="20"/>
          <w:lang w:val="bg-BG"/>
        </w:rPr>
        <w:t>. Комисията продължи усилията си за гарантиране на цялостното транспониране и правилното прилагане на Директивата относно предотвратяването и борбата с трафика на хора и защитата на жертвите от него</w:t>
      </w:r>
      <w:r>
        <w:rPr>
          <w:rStyle w:val="FootnoteReference"/>
          <w:rFonts w:ascii="Arial" w:hAnsi="Arial" w:cs="Arial"/>
          <w:bCs/>
          <w:noProof/>
          <w:sz w:val="20"/>
        </w:rPr>
        <w:footnoteReference w:id="64"/>
      </w:r>
      <w:r>
        <w:rPr>
          <w:rFonts w:ascii="Arial" w:hAnsi="Arial" w:cs="Arial"/>
          <w:noProof/>
          <w:sz w:val="20"/>
          <w:lang w:val="bg-BG"/>
        </w:rPr>
        <w:t xml:space="preserve"> </w:t>
      </w:r>
      <w:r>
        <w:rPr>
          <w:rFonts w:ascii="Arial" w:hAnsi="Arial" w:cs="Arial"/>
          <w:bCs/>
          <w:noProof/>
          <w:sz w:val="20"/>
          <w:lang w:val="bg-BG"/>
        </w:rPr>
        <w:t>и Директивата относно борбата със сексуалното насилие и със сексуалната експлоатация на деца, както и с детската порнография</w:t>
      </w:r>
      <w:r>
        <w:rPr>
          <w:rStyle w:val="FootnoteReference"/>
          <w:rFonts w:ascii="Arial" w:hAnsi="Arial" w:cs="Arial"/>
          <w:bCs/>
          <w:noProof/>
          <w:sz w:val="20"/>
        </w:rPr>
        <w:footnoteReference w:id="65"/>
      </w:r>
      <w:r>
        <w:rPr>
          <w:rFonts w:ascii="Arial" w:hAnsi="Arial" w:cs="Arial"/>
          <w:bCs/>
          <w:noProof/>
          <w:sz w:val="20"/>
          <w:lang w:val="bg-BG"/>
        </w:rPr>
        <w:t>. Нещо повече, през 2015 г. държавите членки трябваше да транспонират Директивата относно атаките срещу информационните системи</w:t>
      </w:r>
      <w:r>
        <w:rPr>
          <w:rStyle w:val="FootnoteReference"/>
          <w:rFonts w:ascii="Arial" w:hAnsi="Arial" w:cs="Arial"/>
          <w:bCs/>
          <w:noProof/>
          <w:sz w:val="20"/>
        </w:rPr>
        <w:footnoteReference w:id="66"/>
      </w:r>
      <w:r>
        <w:rPr>
          <w:rFonts w:ascii="Arial" w:hAnsi="Arial" w:cs="Arial"/>
          <w:bCs/>
          <w:noProof/>
          <w:sz w:val="20"/>
          <w:lang w:val="bg-BG"/>
        </w:rPr>
        <w:t>. Комисията започна производства за установяване на неизпълнение на задължения срещу държавите членки, които не са спазили задълженията си</w:t>
      </w:r>
      <w:r>
        <w:rPr>
          <w:rFonts w:ascii="Arial" w:hAnsi="Arial" w:cs="Arial"/>
          <w:noProof/>
          <w:sz w:val="20"/>
          <w:lang w:val="bg-BG"/>
        </w:rPr>
        <w:t>. Освен това съгласно програмата се отдава приоритет на правилното транспониране и прилагане на инструментите от предишния „трети стълб“ в областта на полицейското сътрудничество и съдебното сътрудничество по наказателноправни въпроси.</w:t>
      </w:r>
    </w:p>
    <w:p w:rsidR="006F5B6C" w:rsidRDefault="00284F4D">
      <w:pPr>
        <w:rPr>
          <w:rFonts w:ascii="Arial" w:hAnsi="Arial" w:cs="Arial"/>
          <w:noProof/>
          <w:sz w:val="20"/>
          <w:lang w:val="bg-BG"/>
        </w:rPr>
      </w:pPr>
      <w:r>
        <w:rPr>
          <w:rFonts w:ascii="Arial" w:hAnsi="Arial" w:cs="Arial"/>
          <w:noProof/>
          <w:sz w:val="20"/>
          <w:lang w:val="bg-BG"/>
        </w:rPr>
        <w:t>Предвидения в протокол 36 от Лисабонския договор преходен период приключи на 1 декември 2014 г. С това бяха премахнати ограниченията върху съдебния контрол от страна на Съда на ЕС и правомощията на Комисията съгласно член 258 от ДФЕС за наблюдение на прилагането на законодателството на ЕС относно полицейското сътрудничество и съдебното сътрудничество по наказателноправни въпроси.</w:t>
      </w:r>
    </w:p>
    <w:p w:rsidR="006F5B6C" w:rsidRDefault="00284F4D">
      <w:pPr>
        <w:rPr>
          <w:rFonts w:ascii="Arial" w:hAnsi="Arial" w:cs="Arial"/>
          <w:noProof/>
          <w:sz w:val="20"/>
          <w:lang w:val="bg-BG"/>
        </w:rPr>
      </w:pPr>
      <w:r>
        <w:rPr>
          <w:rFonts w:ascii="Arial" w:hAnsi="Arial" w:cs="Arial"/>
          <w:noProof/>
          <w:sz w:val="20"/>
          <w:lang w:val="bg-BG"/>
        </w:rPr>
        <w:t xml:space="preserve">Правилното транспониране и прилагане на инструментите от предишния трети стълб е от съществено значение за доброто функциониране на политиките на ЕС в областта на свободата, сигурността и правосъдието. За да получи пълна и точна представа за прилагането </w:t>
      </w:r>
      <w:r>
        <w:rPr>
          <w:rFonts w:ascii="Arial" w:hAnsi="Arial" w:cs="Arial"/>
          <w:noProof/>
          <w:sz w:val="20"/>
          <w:lang w:val="bg-BG"/>
        </w:rPr>
        <w:lastRenderedPageBreak/>
        <w:t>на тези инструменти и за да има възможност да изпълнява ролята си на пазител на Договорите, Комисията прикани всички държави членки да съобщят приетите от тях национални мерки за транспониране на инструментите, приложими за тях, до 15 март 2015 г., като този срок бе удължен до 15 май 2015 г.</w:t>
      </w:r>
    </w:p>
    <w:p w:rsidR="006F5B6C" w:rsidRDefault="00284F4D">
      <w:pPr>
        <w:rPr>
          <w:rFonts w:ascii="Arial" w:hAnsi="Arial" w:cs="Arial"/>
          <w:noProof/>
          <w:sz w:val="20"/>
          <w:lang w:val="bg-BG"/>
        </w:rPr>
      </w:pPr>
      <w:r>
        <w:rPr>
          <w:rFonts w:ascii="Arial" w:hAnsi="Arial" w:cs="Arial"/>
          <w:noProof/>
          <w:sz w:val="20"/>
          <w:lang w:val="bg-BG"/>
        </w:rPr>
        <w:t>Въпреки че Комисията получи голям брой уведомления, някои държави членки не съобщиха за каквито и да е мерки за транспониране на много от тези инструменти. През декември 2015 г. Комисията установи контакт с онези държави, които не бяха съобщили пълните мерки за транспониране на следните инструменти:</w:t>
      </w:r>
    </w:p>
    <w:p w:rsidR="006F5B6C" w:rsidRDefault="00284F4D">
      <w:pPr>
        <w:pStyle w:val="ListParagraph"/>
        <w:numPr>
          <w:ilvl w:val="0"/>
          <w:numId w:val="35"/>
        </w:numPr>
        <w:rPr>
          <w:rFonts w:ascii="Arial" w:hAnsi="Arial" w:cs="Arial"/>
          <w:noProof/>
          <w:spacing w:val="-4"/>
          <w:sz w:val="20"/>
          <w:lang w:val="bg-BG"/>
        </w:rPr>
      </w:pPr>
      <w:r>
        <w:rPr>
          <w:rFonts w:ascii="Arial" w:hAnsi="Arial" w:cs="Arial"/>
          <w:noProof/>
          <w:spacing w:val="-4"/>
          <w:sz w:val="20"/>
          <w:lang w:val="bg-BG"/>
        </w:rPr>
        <w:t xml:space="preserve">Рамково решение </w:t>
      </w:r>
      <w:hyperlink r:id="rId25" w:history="1">
        <w:r>
          <w:rPr>
            <w:rStyle w:val="Hyperlink"/>
            <w:rFonts w:ascii="Arial" w:hAnsi="Arial" w:cs="Arial"/>
            <w:noProof/>
            <w:spacing w:val="-4"/>
            <w:sz w:val="20"/>
            <w:lang w:val="bg-BG"/>
          </w:rPr>
          <w:t>2006/960/ПВР</w:t>
        </w:r>
      </w:hyperlink>
      <w:r>
        <w:rPr>
          <w:noProof/>
          <w:spacing w:val="-4"/>
          <w:lang w:val="bg-BG"/>
        </w:rPr>
        <w:t xml:space="preserve"> </w:t>
      </w:r>
      <w:r>
        <w:rPr>
          <w:rFonts w:ascii="Arial" w:hAnsi="Arial" w:cs="Arial"/>
          <w:noProof/>
          <w:spacing w:val="-4"/>
          <w:sz w:val="20"/>
          <w:lang w:val="bg-BG"/>
        </w:rPr>
        <w:t>на Съвета (наричано също „шведската инициатива“);</w:t>
      </w:r>
    </w:p>
    <w:p w:rsidR="006F5B6C" w:rsidRDefault="00284F4D">
      <w:pPr>
        <w:pStyle w:val="ListParagraph"/>
        <w:numPr>
          <w:ilvl w:val="0"/>
          <w:numId w:val="35"/>
        </w:numPr>
        <w:rPr>
          <w:rFonts w:ascii="Arial" w:hAnsi="Arial" w:cs="Arial"/>
          <w:noProof/>
          <w:spacing w:val="-4"/>
          <w:sz w:val="20"/>
          <w:lang w:val="bg-BG"/>
        </w:rPr>
      </w:pPr>
      <w:r>
        <w:rPr>
          <w:rFonts w:ascii="Arial" w:hAnsi="Arial" w:cs="Arial"/>
          <w:noProof/>
          <w:spacing w:val="-4"/>
          <w:sz w:val="20"/>
          <w:lang w:val="bg-BG"/>
        </w:rPr>
        <w:t xml:space="preserve">Рамково решение </w:t>
      </w:r>
      <w:hyperlink r:id="rId26" w:history="1">
        <w:r>
          <w:rPr>
            <w:rStyle w:val="Hyperlink"/>
            <w:rFonts w:ascii="Arial" w:hAnsi="Arial" w:cs="Arial"/>
            <w:noProof/>
            <w:spacing w:val="-4"/>
            <w:sz w:val="20"/>
            <w:lang w:val="bg-BG"/>
          </w:rPr>
          <w:t>2003/568/ПВР</w:t>
        </w:r>
      </w:hyperlink>
      <w:r>
        <w:rPr>
          <w:noProof/>
          <w:spacing w:val="-4"/>
          <w:lang w:val="bg-BG"/>
        </w:rPr>
        <w:t xml:space="preserve"> </w:t>
      </w:r>
      <w:r>
        <w:rPr>
          <w:rFonts w:ascii="Arial" w:hAnsi="Arial" w:cs="Arial"/>
          <w:noProof/>
          <w:spacing w:val="-4"/>
          <w:sz w:val="20"/>
          <w:lang w:val="bg-BG"/>
        </w:rPr>
        <w:t>на Съвета относно борбата с корупцията в частния сектор;</w:t>
      </w:r>
    </w:p>
    <w:p w:rsidR="006F5B6C" w:rsidRDefault="00284F4D">
      <w:pPr>
        <w:pStyle w:val="ListParagraph"/>
        <w:numPr>
          <w:ilvl w:val="0"/>
          <w:numId w:val="35"/>
        </w:numPr>
        <w:rPr>
          <w:rFonts w:ascii="Arial" w:hAnsi="Arial" w:cs="Arial"/>
          <w:noProof/>
          <w:spacing w:val="-4"/>
          <w:sz w:val="20"/>
          <w:lang w:val="bg-BG"/>
        </w:rPr>
      </w:pPr>
      <w:r>
        <w:rPr>
          <w:rFonts w:ascii="Arial" w:hAnsi="Arial" w:cs="Arial"/>
          <w:noProof/>
          <w:spacing w:val="-4"/>
          <w:sz w:val="20"/>
          <w:lang w:val="bg-BG"/>
        </w:rPr>
        <w:t xml:space="preserve">Рамково решение </w:t>
      </w:r>
      <w:hyperlink r:id="rId27" w:history="1">
        <w:r>
          <w:rPr>
            <w:rStyle w:val="Hyperlink"/>
            <w:rFonts w:ascii="Arial" w:hAnsi="Arial" w:cs="Arial"/>
            <w:noProof/>
            <w:spacing w:val="-4"/>
            <w:sz w:val="20"/>
            <w:lang w:val="bg-BG"/>
          </w:rPr>
          <w:t>2008/841/ПВР</w:t>
        </w:r>
      </w:hyperlink>
      <w:r>
        <w:rPr>
          <w:noProof/>
          <w:spacing w:val="-4"/>
          <w:lang w:val="bg-BG"/>
        </w:rPr>
        <w:t xml:space="preserve"> </w:t>
      </w:r>
      <w:r>
        <w:rPr>
          <w:rFonts w:ascii="Arial" w:hAnsi="Arial" w:cs="Arial"/>
          <w:noProof/>
          <w:spacing w:val="-4"/>
          <w:sz w:val="20"/>
          <w:lang w:val="bg-BG"/>
        </w:rPr>
        <w:t>на Съвета относно борбата с организираната престъпност;</w:t>
      </w:r>
    </w:p>
    <w:p w:rsidR="006F5B6C" w:rsidRDefault="00284F4D">
      <w:pPr>
        <w:pStyle w:val="ListParagraph"/>
        <w:numPr>
          <w:ilvl w:val="0"/>
          <w:numId w:val="35"/>
        </w:numPr>
        <w:rPr>
          <w:rFonts w:ascii="Arial" w:hAnsi="Arial" w:cs="Arial"/>
          <w:noProof/>
          <w:spacing w:val="-4"/>
          <w:sz w:val="20"/>
          <w:lang w:val="bg-BG"/>
        </w:rPr>
      </w:pPr>
      <w:r>
        <w:rPr>
          <w:rFonts w:ascii="Arial" w:hAnsi="Arial" w:cs="Arial"/>
          <w:noProof/>
          <w:spacing w:val="-4"/>
          <w:sz w:val="20"/>
          <w:lang w:val="bg-BG"/>
        </w:rPr>
        <w:t xml:space="preserve">Рамково решение </w:t>
      </w:r>
      <w:hyperlink r:id="rId28" w:history="1">
        <w:r>
          <w:rPr>
            <w:rStyle w:val="Hyperlink"/>
            <w:rFonts w:ascii="Arial" w:hAnsi="Arial" w:cs="Arial"/>
            <w:noProof/>
            <w:spacing w:val="-4"/>
            <w:sz w:val="20"/>
            <w:lang w:val="bg-BG"/>
          </w:rPr>
          <w:t>2009/315/ПВР</w:t>
        </w:r>
      </w:hyperlink>
      <w:r>
        <w:rPr>
          <w:noProof/>
          <w:spacing w:val="-4"/>
          <w:lang w:val="bg-BG"/>
        </w:rPr>
        <w:t xml:space="preserve"> </w:t>
      </w:r>
      <w:r>
        <w:rPr>
          <w:rFonts w:ascii="Arial" w:hAnsi="Arial" w:cs="Arial"/>
          <w:noProof/>
          <w:spacing w:val="-4"/>
          <w:sz w:val="20"/>
          <w:lang w:val="bg-BG"/>
        </w:rPr>
        <w:t>относно обмена на информация, получена от регистрите за съдимост между държавите членки (</w:t>
      </w:r>
      <w:r>
        <w:rPr>
          <w:rFonts w:ascii="Arial" w:hAnsi="Arial" w:cs="Arial"/>
          <w:noProof/>
          <w:spacing w:val="-4"/>
          <w:sz w:val="20"/>
        </w:rPr>
        <w:t>ECRIS</w:t>
      </w:r>
      <w:r>
        <w:rPr>
          <w:rFonts w:ascii="Arial" w:hAnsi="Arial" w:cs="Arial"/>
          <w:noProof/>
          <w:spacing w:val="-4"/>
          <w:sz w:val="20"/>
          <w:lang w:val="bg-BG"/>
        </w:rPr>
        <w:t>);</w:t>
      </w:r>
    </w:p>
    <w:p w:rsidR="006F5B6C" w:rsidRDefault="00284F4D">
      <w:pPr>
        <w:pStyle w:val="ListParagraph"/>
        <w:numPr>
          <w:ilvl w:val="0"/>
          <w:numId w:val="35"/>
        </w:numPr>
        <w:rPr>
          <w:rFonts w:ascii="Arial" w:hAnsi="Arial" w:cs="Arial"/>
          <w:noProof/>
          <w:spacing w:val="-4"/>
          <w:sz w:val="20"/>
          <w:lang w:val="bg-BG"/>
        </w:rPr>
      </w:pPr>
      <w:r>
        <w:rPr>
          <w:rFonts w:ascii="Arial" w:hAnsi="Arial" w:cs="Arial"/>
          <w:noProof/>
          <w:spacing w:val="-4"/>
          <w:sz w:val="20"/>
          <w:lang w:val="bg-BG"/>
        </w:rPr>
        <w:t xml:space="preserve">Рамково решение </w:t>
      </w:r>
      <w:hyperlink r:id="rId29" w:history="1">
        <w:r>
          <w:rPr>
            <w:rStyle w:val="Hyperlink"/>
            <w:rFonts w:ascii="Arial" w:hAnsi="Arial" w:cs="Arial"/>
            <w:noProof/>
            <w:spacing w:val="-4"/>
            <w:sz w:val="20"/>
            <w:lang w:val="bg-BG"/>
          </w:rPr>
          <w:t>2009/829/ПВР</w:t>
        </w:r>
      </w:hyperlink>
      <w:r>
        <w:rPr>
          <w:noProof/>
          <w:spacing w:val="-4"/>
          <w:lang w:val="bg-BG"/>
        </w:rPr>
        <w:t xml:space="preserve"> </w:t>
      </w:r>
      <w:r>
        <w:rPr>
          <w:rFonts w:ascii="Arial" w:hAnsi="Arial" w:cs="Arial"/>
          <w:noProof/>
          <w:spacing w:val="-4"/>
          <w:sz w:val="20"/>
          <w:lang w:val="bg-BG"/>
        </w:rPr>
        <w:t>относно европейската заповед за надзор;</w:t>
      </w:r>
    </w:p>
    <w:p w:rsidR="006F5B6C" w:rsidRDefault="00284F4D">
      <w:pPr>
        <w:pStyle w:val="ListParagraph"/>
        <w:numPr>
          <w:ilvl w:val="0"/>
          <w:numId w:val="35"/>
        </w:numPr>
        <w:rPr>
          <w:rFonts w:ascii="Arial" w:hAnsi="Arial" w:cs="Arial"/>
          <w:noProof/>
          <w:spacing w:val="-4"/>
          <w:sz w:val="20"/>
          <w:lang w:val="bg-BG"/>
        </w:rPr>
      </w:pPr>
      <w:r>
        <w:rPr>
          <w:rFonts w:ascii="Arial" w:hAnsi="Arial" w:cs="Arial"/>
          <w:noProof/>
          <w:spacing w:val="-4"/>
          <w:sz w:val="20"/>
          <w:lang w:val="bg-BG"/>
        </w:rPr>
        <w:t xml:space="preserve">Рамково решение </w:t>
      </w:r>
      <w:hyperlink r:id="rId30" w:history="1">
        <w:r>
          <w:rPr>
            <w:rStyle w:val="Hyperlink"/>
            <w:rFonts w:ascii="Arial" w:hAnsi="Arial" w:cs="Arial"/>
            <w:noProof/>
            <w:spacing w:val="-4"/>
            <w:sz w:val="20"/>
            <w:lang w:val="bg-BG"/>
          </w:rPr>
          <w:t>2008/947/ПВР</w:t>
        </w:r>
      </w:hyperlink>
      <w:r>
        <w:rPr>
          <w:noProof/>
          <w:spacing w:val="-4"/>
          <w:lang w:val="bg-BG"/>
        </w:rPr>
        <w:t xml:space="preserve"> </w:t>
      </w:r>
      <w:r>
        <w:rPr>
          <w:rFonts w:ascii="Arial" w:hAnsi="Arial" w:cs="Arial"/>
          <w:noProof/>
          <w:spacing w:val="-4"/>
          <w:sz w:val="20"/>
          <w:lang w:val="bg-BG"/>
        </w:rPr>
        <w:t>относно пробационните мерки и алтернативни санкции; и</w:t>
      </w:r>
    </w:p>
    <w:p w:rsidR="006F5B6C" w:rsidRDefault="00284F4D">
      <w:pPr>
        <w:pStyle w:val="ListParagraph"/>
        <w:numPr>
          <w:ilvl w:val="0"/>
          <w:numId w:val="35"/>
        </w:numPr>
        <w:rPr>
          <w:rFonts w:ascii="Arial" w:hAnsi="Arial" w:cs="Arial"/>
          <w:noProof/>
          <w:spacing w:val="-4"/>
          <w:sz w:val="20"/>
          <w:lang w:val="bg-BG"/>
        </w:rPr>
      </w:pPr>
      <w:r>
        <w:rPr>
          <w:rFonts w:ascii="Arial" w:hAnsi="Arial" w:cs="Arial"/>
          <w:noProof/>
          <w:spacing w:val="-4"/>
          <w:sz w:val="20"/>
          <w:lang w:val="bg-BG"/>
        </w:rPr>
        <w:t xml:space="preserve">Рамково решение </w:t>
      </w:r>
      <w:hyperlink r:id="rId31" w:history="1">
        <w:r>
          <w:rPr>
            <w:rStyle w:val="Hyperlink"/>
            <w:rFonts w:ascii="Arial" w:hAnsi="Arial" w:cs="Arial"/>
            <w:noProof/>
            <w:spacing w:val="-4"/>
            <w:sz w:val="20"/>
            <w:lang w:val="bg-BG"/>
          </w:rPr>
          <w:t>2008/909/ПВР</w:t>
        </w:r>
      </w:hyperlink>
      <w:r>
        <w:rPr>
          <w:noProof/>
          <w:spacing w:val="-4"/>
          <w:lang w:val="bg-BG"/>
        </w:rPr>
        <w:t xml:space="preserve"> </w:t>
      </w:r>
      <w:r>
        <w:rPr>
          <w:rFonts w:ascii="Arial" w:hAnsi="Arial" w:cs="Arial"/>
          <w:noProof/>
          <w:spacing w:val="-4"/>
          <w:sz w:val="20"/>
          <w:lang w:val="bg-BG"/>
        </w:rPr>
        <w:t>относно трансфера на затворници.</w:t>
      </w:r>
    </w:p>
    <w:p w:rsidR="006F5B6C" w:rsidRDefault="00284F4D">
      <w:pPr>
        <w:rPr>
          <w:rFonts w:ascii="Arial" w:hAnsi="Arial" w:cs="Arial"/>
          <w:noProof/>
          <w:sz w:val="20"/>
          <w:lang w:val="bg-BG"/>
        </w:rPr>
      </w:pPr>
      <w:r>
        <w:rPr>
          <w:rFonts w:ascii="Arial" w:hAnsi="Arial" w:cs="Arial"/>
          <w:noProof/>
          <w:sz w:val="20"/>
          <w:lang w:val="bg-BG"/>
        </w:rPr>
        <w:t>Комисията оцени също така съответствието на националните мерки за транспониране, за които е постъпило уведомление, с правото на ЕС.</w:t>
      </w:r>
    </w:p>
    <w:p w:rsidR="006F5B6C" w:rsidRDefault="00284F4D">
      <w:pPr>
        <w:pStyle w:val="kop3"/>
        <w:rPr>
          <w:noProof/>
          <w:lang w:val="bg-BG"/>
        </w:rPr>
      </w:pPr>
      <w:bookmarkStart w:id="11" w:name="_Toc454443115"/>
      <w:r>
        <w:rPr>
          <w:noProof/>
          <w:lang w:val="bg-BG"/>
        </w:rPr>
        <w:t>Към нова политика в областта на миграцията</w:t>
      </w:r>
      <w:bookmarkEnd w:id="11"/>
    </w:p>
    <w:p w:rsidR="006F5B6C" w:rsidRDefault="00284F4D">
      <w:pPr>
        <w:rPr>
          <w:noProof/>
          <w:lang w:val="bg-BG"/>
        </w:rPr>
      </w:pPr>
      <w:r>
        <w:rPr>
          <w:rFonts w:ascii="Arial" w:hAnsi="Arial" w:cs="Arial"/>
          <w:noProof/>
          <w:sz w:val="20"/>
          <w:lang w:val="bg-BG"/>
        </w:rPr>
        <w:t>Политическите насоки на председателя Юнкер от юли 2014 г. поставят миграцията сред най-важните политически приоритети на Комисията за периода 2014</w:t>
      </w:r>
      <w:r>
        <w:rPr>
          <w:noProof/>
          <w:lang w:val="bg-BG"/>
        </w:rPr>
        <w:t>—</w:t>
      </w:r>
      <w:r>
        <w:rPr>
          <w:rFonts w:ascii="Arial" w:hAnsi="Arial" w:cs="Arial"/>
          <w:noProof/>
          <w:sz w:val="20"/>
          <w:lang w:val="bg-BG"/>
        </w:rPr>
        <w:t>2019 г. В този контекст Комисията прие Европейска програма за миграцията</w:t>
      </w:r>
      <w:r>
        <w:rPr>
          <w:rStyle w:val="FootnoteReference"/>
          <w:noProof/>
        </w:rPr>
        <w:footnoteReference w:id="67"/>
      </w:r>
      <w:r>
        <w:rPr>
          <w:rFonts w:ascii="Arial" w:hAnsi="Arial" w:cs="Arial"/>
          <w:noProof/>
          <w:sz w:val="20"/>
          <w:lang w:val="bg-BG"/>
        </w:rPr>
        <w:t xml:space="preserve">. В програмата се предвижда нов и всеобхватен подход, който обединява вътрешните и външните политики и се основава на взаимно доверие и солидарност между държавите </w:t>
      </w:r>
      <w:r>
        <w:rPr>
          <w:noProof/>
          <w:lang w:val="bg-BG"/>
        </w:rPr>
        <w:t xml:space="preserve">— </w:t>
      </w:r>
      <w:r>
        <w:rPr>
          <w:rFonts w:ascii="Arial" w:hAnsi="Arial" w:cs="Arial"/>
          <w:noProof/>
          <w:sz w:val="20"/>
          <w:lang w:val="bg-BG"/>
        </w:rPr>
        <w:t>членки на ЕС, и институциите. В нея се поставя акцент върху ефективното прилагане на правото на ЕС. Цялостното и последователно прилагане от държавите членки на общите правила относно предоставянето на убежище и незаконната миграция следва да подлежи на системен мониторинг от страна на Комисията.</w:t>
      </w:r>
    </w:p>
    <w:p w:rsidR="006F5B6C" w:rsidRDefault="00284F4D">
      <w:pPr>
        <w:rPr>
          <w:rFonts w:ascii="Arial" w:hAnsi="Arial" w:cs="Arial"/>
          <w:noProof/>
          <w:sz w:val="20"/>
          <w:lang w:val="bg-BG"/>
        </w:rPr>
      </w:pPr>
      <w:r>
        <w:rPr>
          <w:rFonts w:ascii="Arial" w:hAnsi="Arial" w:cs="Arial"/>
          <w:noProof/>
          <w:sz w:val="20"/>
          <w:lang w:val="bg-BG"/>
        </w:rPr>
        <w:t xml:space="preserve">С оглед на програмата през 2015 г. Комисията отдаде приоритет на работата относно нарушенията на които и да било правни инструменти относно убежището, като постави специален акцент върху бързото разглеждане на всички случаи на ненавременно транспониране. Към края на годината Комисията </w:t>
      </w:r>
      <w:r>
        <w:rPr>
          <w:rFonts w:ascii="Arial" w:eastAsia="Malgun Gothic" w:hAnsi="Arial" w:cs="Arial"/>
          <w:noProof/>
          <w:sz w:val="20"/>
          <w:lang w:val="bg-BG" w:eastAsia="ko-KR"/>
        </w:rPr>
        <w:t xml:space="preserve">образува </w:t>
      </w:r>
      <w:r>
        <w:rPr>
          <w:rFonts w:ascii="Arial" w:hAnsi="Arial" w:cs="Arial"/>
          <w:noProof/>
          <w:sz w:val="20"/>
          <w:lang w:val="bg-BG"/>
        </w:rPr>
        <w:t>37 производства за установяване на неизпълнение на задължения за ненавременно транспониране на преработения текст на Директивата за процедурите за убежище</w:t>
      </w:r>
      <w:r>
        <w:rPr>
          <w:rStyle w:val="FootnoteReference"/>
          <w:noProof/>
        </w:rPr>
        <w:footnoteReference w:id="68"/>
      </w:r>
      <w:r>
        <w:rPr>
          <w:rFonts w:ascii="Arial" w:hAnsi="Arial" w:cs="Arial"/>
          <w:noProof/>
          <w:sz w:val="20"/>
          <w:lang w:val="bg-BG"/>
        </w:rPr>
        <w:t>и преработения текст на Директивата за условията за прием</w:t>
      </w:r>
      <w:r>
        <w:rPr>
          <w:rStyle w:val="FootnoteReference"/>
          <w:noProof/>
        </w:rPr>
        <w:footnoteReference w:id="69"/>
      </w:r>
      <w:r>
        <w:rPr>
          <w:rFonts w:ascii="Arial" w:hAnsi="Arial" w:cs="Arial"/>
          <w:noProof/>
          <w:sz w:val="20"/>
          <w:lang w:val="bg-BG"/>
        </w:rPr>
        <w:t>. В два от случаите на ненавременно транспониране на преработения текст на Директивата за квалификациите</w:t>
      </w:r>
      <w:r>
        <w:rPr>
          <w:rStyle w:val="FootnoteReference"/>
          <w:noProof/>
        </w:rPr>
        <w:footnoteReference w:id="70"/>
      </w:r>
      <w:r>
        <w:rPr>
          <w:rFonts w:ascii="Arial" w:hAnsi="Arial" w:cs="Arial"/>
          <w:noProof/>
          <w:sz w:val="20"/>
          <w:lang w:val="bg-BG"/>
        </w:rPr>
        <w:t xml:space="preserve"> Комисията изпрати мотивирани становища на съответните държави членки.</w:t>
      </w:r>
    </w:p>
    <w:p w:rsidR="006F5B6C" w:rsidRDefault="00284F4D">
      <w:pPr>
        <w:rPr>
          <w:rFonts w:ascii="Arial" w:hAnsi="Arial" w:cs="Arial"/>
          <w:noProof/>
          <w:sz w:val="20"/>
          <w:lang w:val="bg-BG"/>
        </w:rPr>
      </w:pPr>
      <w:r>
        <w:rPr>
          <w:rFonts w:ascii="Arial" w:hAnsi="Arial" w:cs="Arial"/>
          <w:noProof/>
          <w:sz w:val="20"/>
          <w:lang w:val="bg-BG"/>
        </w:rPr>
        <w:t>Комисията също така образува производства за установяване на неизпълнение на задължения срещу държави членки за неправилно прилагане и/или нарушения на законодателството на ЕС в областта убежището. Те по-специално включват системни пропуски (посочени във второто допълнителни писмо към официалното писмо до Гърция), а в случая с Унгария — съответствието на новоприетото законодателство с достиженията на правото на ЕС в областта на убежището и Хартата на основните права. Комисията започна също така производства за установяване на неизпълнение на задължения срещу четири държави членки за неправилно прилагане на Регламента за системата Евродак</w:t>
      </w:r>
      <w:r>
        <w:rPr>
          <w:rStyle w:val="FootnoteReference"/>
          <w:noProof/>
        </w:rPr>
        <w:footnoteReference w:id="71"/>
      </w:r>
      <w:r>
        <w:rPr>
          <w:rFonts w:ascii="Arial" w:hAnsi="Arial" w:cs="Arial"/>
          <w:noProof/>
          <w:sz w:val="20"/>
          <w:lang w:val="bg-BG"/>
        </w:rPr>
        <w:t xml:space="preserve">. Те са свързани със задължението за </w:t>
      </w:r>
      <w:r>
        <w:rPr>
          <w:rFonts w:ascii="Arial" w:hAnsi="Arial" w:cs="Arial"/>
          <w:noProof/>
          <w:sz w:val="20"/>
          <w:lang w:val="bg-BG"/>
        </w:rPr>
        <w:lastRenderedPageBreak/>
        <w:t>снемане на дактилоскопични отпечатъци от лица, които кандидатстват за убежище или преминават незаконно външните граници, и за предаването им на системата Евродак.</w:t>
      </w:r>
    </w:p>
    <w:p w:rsidR="006F5B6C" w:rsidRDefault="00284F4D">
      <w:pPr>
        <w:rPr>
          <w:rFonts w:ascii="Arial" w:hAnsi="Arial" w:cs="Arial"/>
          <w:noProof/>
          <w:sz w:val="20"/>
          <w:lang w:val="bg-BG"/>
        </w:rPr>
      </w:pPr>
      <w:r>
        <w:rPr>
          <w:rFonts w:ascii="Arial" w:hAnsi="Arial" w:cs="Arial"/>
          <w:noProof/>
          <w:sz w:val="20"/>
          <w:lang w:val="bg-BG"/>
        </w:rPr>
        <w:t>Правилното прилагане на Директивата за връщането</w:t>
      </w:r>
      <w:r>
        <w:rPr>
          <w:rStyle w:val="FootnoteReference"/>
          <w:noProof/>
        </w:rPr>
        <w:footnoteReference w:id="72"/>
      </w:r>
      <w:r>
        <w:rPr>
          <w:rFonts w:ascii="Arial" w:hAnsi="Arial" w:cs="Arial"/>
          <w:noProof/>
          <w:sz w:val="20"/>
          <w:lang w:val="bg-BG"/>
        </w:rPr>
        <w:t xml:space="preserve"> е от ключово значение за постигането на целите на програмата в борбата със и предотвратяването на незаконната миграция. В тази област Комисията изпрати административни писма до държавите членки относно издаването на решения за връщане и относно прилагането им в съответствие с Директивата за връщането. Тя също така започна производство за установяване на неизпълнение на задължения срещу една държава членка за неправилно прилагане на Директивата.</w:t>
      </w:r>
    </w:p>
    <w:p w:rsidR="006F5B6C" w:rsidRDefault="00284F4D">
      <w:pPr>
        <w:rPr>
          <w:rFonts w:ascii="Arial" w:hAnsi="Arial" w:cs="Arial"/>
          <w:noProof/>
          <w:sz w:val="20"/>
          <w:lang w:val="bg-BG"/>
        </w:rPr>
      </w:pPr>
      <w:r>
        <w:rPr>
          <w:rFonts w:ascii="Arial" w:hAnsi="Arial" w:cs="Arial"/>
          <w:noProof/>
          <w:sz w:val="20"/>
          <w:lang w:val="bg-BG"/>
        </w:rPr>
        <w:t xml:space="preserve">Комисията докладва редовно на обществеността за актуалното състояние на прилагането на </w:t>
      </w:r>
      <w:r>
        <w:rPr>
          <w:rFonts w:ascii="Arial" w:hAnsi="Arial" w:cs="Arial"/>
          <w:i/>
          <w:noProof/>
          <w:sz w:val="20"/>
          <w:lang w:val="bg-BG"/>
        </w:rPr>
        <w:t>достиженията на правото на ЕС</w:t>
      </w:r>
      <w:r>
        <w:rPr>
          <w:rFonts w:ascii="Arial" w:hAnsi="Arial" w:cs="Arial"/>
          <w:noProof/>
          <w:sz w:val="20"/>
          <w:lang w:val="bg-BG"/>
        </w:rPr>
        <w:t xml:space="preserve"> в областта на убежището</w:t>
      </w:r>
      <w:r>
        <w:rPr>
          <w:rStyle w:val="FootnoteReference"/>
          <w:noProof/>
        </w:rPr>
        <w:footnoteReference w:id="73"/>
      </w:r>
      <w:r>
        <w:rPr>
          <w:rFonts w:ascii="Arial" w:hAnsi="Arial" w:cs="Arial"/>
          <w:noProof/>
          <w:sz w:val="20"/>
          <w:lang w:val="bg-BG"/>
        </w:rPr>
        <w:t>.</w:t>
      </w:r>
    </w:p>
    <w:p w:rsidR="006F5B6C" w:rsidRDefault="00284F4D">
      <w:pPr>
        <w:pStyle w:val="kop3"/>
        <w:rPr>
          <w:noProof/>
          <w:lang w:val="bg-BG"/>
        </w:rPr>
      </w:pPr>
      <w:bookmarkStart w:id="12" w:name="_Toc454443116"/>
      <w:bookmarkStart w:id="13" w:name="_Toc416339014"/>
      <w:r>
        <w:rPr>
          <w:noProof/>
          <w:lang w:val="bg-BG"/>
        </w:rPr>
        <w:t>Работа с държавите членки за гарантиране на правилното прилагане на правото на ЕС</w:t>
      </w:r>
      <w:bookmarkEnd w:id="12"/>
    </w:p>
    <w:p w:rsidR="006F5B6C" w:rsidRDefault="00284F4D">
      <w:pPr>
        <w:rPr>
          <w:rFonts w:ascii="Arial" w:hAnsi="Arial" w:cs="Arial"/>
          <w:noProof/>
          <w:sz w:val="20"/>
          <w:lang w:val="bg-BG"/>
        </w:rPr>
      </w:pPr>
      <w:r>
        <w:rPr>
          <w:rFonts w:ascii="Arial" w:hAnsi="Arial" w:cs="Arial"/>
          <w:noProof/>
          <w:sz w:val="20"/>
          <w:lang w:val="bg-BG"/>
        </w:rPr>
        <w:t>Една от основните цели на пакета от мерки за по-добро регулиране е да се гарантират правилното прилагане и изпълнение на правото на ЕС от страна на държавите членки. Начинът на прилагане на новото законодателство трябва да бъде взет под внимание по време на неговото изготвяне и много преди приемането му. Според постоянната съдебна практика на Съда на Европейския съюз държавите членки трябва да информират Комисията по ясен и точен начин за начина на транспониране на директивите на ЕС в своите национални разпоредби</w:t>
      </w:r>
      <w:r>
        <w:rPr>
          <w:rStyle w:val="FootnoteReference"/>
          <w:rFonts w:ascii="Arial" w:hAnsi="Arial" w:cs="Arial"/>
          <w:noProof/>
          <w:sz w:val="20"/>
          <w:lang w:val="bg-BG"/>
        </w:rPr>
        <w:footnoteReference w:id="74"/>
      </w:r>
      <w:r>
        <w:rPr>
          <w:rFonts w:ascii="Arial" w:hAnsi="Arial" w:cs="Arial"/>
          <w:noProof/>
          <w:sz w:val="20"/>
          <w:lang w:val="bg-BG"/>
        </w:rPr>
        <w:t>.</w:t>
      </w:r>
    </w:p>
    <w:p w:rsidR="006F5B6C" w:rsidRDefault="00284F4D">
      <w:pPr>
        <w:rPr>
          <w:rFonts w:ascii="Arial" w:hAnsi="Arial" w:cs="Arial"/>
          <w:noProof/>
          <w:sz w:val="20"/>
          <w:lang w:val="bg-BG"/>
        </w:rPr>
      </w:pPr>
      <w:r>
        <w:rPr>
          <w:rFonts w:ascii="Arial" w:hAnsi="Arial" w:cs="Arial"/>
          <w:noProof/>
          <w:sz w:val="20"/>
          <w:lang w:val="bg-BG"/>
        </w:rPr>
        <w:t>Освен това в обосновани случаи и при предложение от страна на Комисията законодателят въвежда съображение, което се позовава на ангажираността на държавите членки да предоставят обяснителни документи на Комисията в допълнение към текста на националните мерки за транспониране (вж. подраздел 8.2.).</w:t>
      </w:r>
    </w:p>
    <w:p w:rsidR="006F5B6C" w:rsidRDefault="00284F4D">
      <w:pPr>
        <w:pStyle w:val="Kop4"/>
        <w:rPr>
          <w:rFonts w:eastAsia="MS Gothic"/>
          <w:b w:val="0"/>
          <w:noProof/>
        </w:rPr>
      </w:pPr>
      <w:bookmarkStart w:id="14" w:name="_Toc454443117"/>
      <w:bookmarkEnd w:id="13"/>
      <w:r>
        <w:rPr>
          <w:rFonts w:eastAsia="MS Gothic"/>
          <w:b w:val="0"/>
          <w:noProof/>
          <w:lang w:val="bg-BG"/>
        </w:rPr>
        <w:t>Планове за прилагане</w:t>
      </w:r>
      <w:r>
        <w:rPr>
          <w:rFonts w:eastAsia="MS Gothic"/>
          <w:b w:val="0"/>
          <w:noProof/>
        </w:rPr>
        <w:t xml:space="preserve">: </w:t>
      </w:r>
      <w:r>
        <w:rPr>
          <w:rFonts w:eastAsia="MS Gothic"/>
          <w:b w:val="0"/>
          <w:noProof/>
          <w:lang w:val="bg-BG"/>
        </w:rPr>
        <w:t>актуално състояние</w:t>
      </w:r>
      <w:bookmarkEnd w:id="14"/>
    </w:p>
    <w:p w:rsidR="006F5B6C" w:rsidRDefault="00284F4D">
      <w:pPr>
        <w:spacing w:before="120" w:after="120"/>
        <w:rPr>
          <w:rFonts w:ascii="Arial" w:hAnsi="Arial" w:cs="Arial"/>
          <w:noProof/>
          <w:sz w:val="20"/>
          <w:lang w:val="bg-BG"/>
        </w:rPr>
      </w:pPr>
      <w:r>
        <w:rPr>
          <w:rFonts w:ascii="Arial" w:hAnsi="Arial" w:cs="Arial"/>
          <w:noProof/>
          <w:sz w:val="20"/>
          <w:lang w:val="bg-BG"/>
        </w:rPr>
        <w:t>В пакета от мерки за по-добро регулиране Комисията се ангажира да помага активно на държавите членки да транспонират и прилагат законодателството чрез изготвяне на планове за прилагане на определени директиви и регламенти</w:t>
      </w:r>
      <w:r>
        <w:rPr>
          <w:rFonts w:ascii="Arial" w:hAnsi="Arial" w:cs="Arial"/>
          <w:noProof/>
          <w:sz w:val="20"/>
          <w:lang w:val="ru-RU"/>
        </w:rPr>
        <w:t xml:space="preserve">. </w:t>
      </w:r>
      <w:r>
        <w:rPr>
          <w:rFonts w:ascii="Arial" w:hAnsi="Arial" w:cs="Arial"/>
          <w:noProof/>
          <w:sz w:val="20"/>
          <w:lang w:val="bg-BG"/>
        </w:rPr>
        <w:t>Въпреки че държавите членки носят отговорност за прилагането на правото на ЕС</w:t>
      </w:r>
      <w:r>
        <w:rPr>
          <w:rFonts w:ascii="Arial" w:hAnsi="Arial" w:cs="Arial"/>
          <w:noProof/>
          <w:sz w:val="20"/>
          <w:lang w:val="ru-RU"/>
        </w:rPr>
        <w:t>,</w:t>
      </w:r>
      <w:r>
        <w:rPr>
          <w:rFonts w:ascii="Arial" w:hAnsi="Arial" w:cs="Arial"/>
          <w:noProof/>
          <w:sz w:val="20"/>
          <w:lang w:val="bg-BG"/>
        </w:rPr>
        <w:t xml:space="preserve"> плановете за прилагане имат за цел да им помогнат да прилагат правото ефективно и навременно</w:t>
      </w:r>
      <w:r>
        <w:rPr>
          <w:rFonts w:ascii="Arial" w:hAnsi="Arial" w:cs="Arial"/>
          <w:noProof/>
          <w:sz w:val="20"/>
          <w:lang w:val="ru-RU"/>
        </w:rPr>
        <w:t xml:space="preserve">. </w:t>
      </w:r>
      <w:r>
        <w:rPr>
          <w:rFonts w:ascii="Arial" w:hAnsi="Arial" w:cs="Arial"/>
          <w:noProof/>
          <w:sz w:val="20"/>
          <w:lang w:val="bg-BG"/>
        </w:rPr>
        <w:t>В плановете се набелязват предизвикателствата, с които държавите членки ще се сблъскат и които трябва да бъдат взети предвид при подготовката им за транспонирането и прилагането на правото. В тях също така се предвижда широк набор от инструменти в помощ на държавите членки при прилагането на правото на ЕС, като например документи с насоки, експертни групи и специализирани уебсайтове.</w:t>
      </w:r>
    </w:p>
    <w:p w:rsidR="006F5B6C" w:rsidRDefault="00284F4D">
      <w:pPr>
        <w:spacing w:before="120" w:after="120"/>
        <w:rPr>
          <w:rFonts w:ascii="Arial" w:hAnsi="Arial" w:cs="Arial"/>
          <w:noProof/>
          <w:sz w:val="20"/>
          <w:lang w:val="bg-BG"/>
        </w:rPr>
      </w:pPr>
      <w:r>
        <w:rPr>
          <w:rFonts w:ascii="Arial" w:hAnsi="Arial" w:cs="Arial"/>
          <w:noProof/>
          <w:sz w:val="20"/>
          <w:lang w:val="bg-BG"/>
        </w:rPr>
        <w:t>Плановете за прилагане придружават пет предложения за директиви — една относно трудовата заетост и социалното приобщаване и четири относно околната среда — публикувани от Комисията през 2015 г.</w:t>
      </w:r>
    </w:p>
    <w:p w:rsidR="006F5B6C" w:rsidRDefault="00284F4D">
      <w:pPr>
        <w:spacing w:before="120" w:after="120"/>
        <w:rPr>
          <w:rFonts w:ascii="Arial" w:hAnsi="Arial" w:cs="Arial"/>
          <w:noProof/>
          <w:sz w:val="20"/>
          <w:lang w:val="bg-BG"/>
        </w:rPr>
      </w:pPr>
      <w:r>
        <w:rPr>
          <w:rFonts w:ascii="Arial" w:hAnsi="Arial" w:cs="Arial"/>
          <w:noProof/>
          <w:sz w:val="20"/>
          <w:lang w:val="bg-BG"/>
        </w:rPr>
        <w:t>План за прилагане беше изготвен във връзка с предложението на Комисията относно директива за улесняване на достъпа на потребители с увреждания до редица продукти и услуги</w:t>
      </w:r>
      <w:r>
        <w:rPr>
          <w:rStyle w:val="FootnoteReference"/>
          <w:noProof/>
        </w:rPr>
        <w:footnoteReference w:id="75"/>
      </w:r>
      <w:r>
        <w:rPr>
          <w:rFonts w:ascii="Arial" w:hAnsi="Arial" w:cs="Arial"/>
          <w:noProof/>
          <w:sz w:val="20"/>
          <w:lang w:val="bg-BG"/>
        </w:rPr>
        <w:t>. В плана се посочва помощта, която Комисията оказва на държавите членки в следните основни рискови области:</w:t>
      </w:r>
    </w:p>
    <w:p w:rsidR="006F5B6C" w:rsidRDefault="00284F4D">
      <w:pPr>
        <w:numPr>
          <w:ilvl w:val="0"/>
          <w:numId w:val="30"/>
        </w:numPr>
        <w:spacing w:before="120" w:after="120"/>
        <w:contextualSpacing/>
        <w:rPr>
          <w:rFonts w:ascii="Arial" w:hAnsi="Arial" w:cs="Arial"/>
          <w:noProof/>
          <w:sz w:val="20"/>
          <w:lang w:val="bg-BG"/>
        </w:rPr>
      </w:pPr>
      <w:r>
        <w:rPr>
          <w:rFonts w:ascii="Arial" w:hAnsi="Arial" w:cs="Arial"/>
          <w:noProof/>
          <w:sz w:val="20"/>
          <w:lang w:val="bg-BG"/>
        </w:rPr>
        <w:t>правилно транспониране на директивата в рамките на две години и нейното точно прилагане за период от шест години след приемането ѝ;</w:t>
      </w:r>
    </w:p>
    <w:p w:rsidR="006F5B6C" w:rsidRDefault="00284F4D">
      <w:pPr>
        <w:numPr>
          <w:ilvl w:val="0"/>
          <w:numId w:val="30"/>
        </w:numPr>
        <w:spacing w:before="120" w:after="120"/>
        <w:ind w:left="714" w:hanging="357"/>
        <w:contextualSpacing/>
        <w:rPr>
          <w:rFonts w:ascii="Arial" w:hAnsi="Arial" w:cs="Arial"/>
          <w:noProof/>
          <w:sz w:val="20"/>
          <w:lang w:val="bg-BG"/>
        </w:rPr>
      </w:pPr>
      <w:r>
        <w:rPr>
          <w:rFonts w:ascii="Arial" w:hAnsi="Arial" w:cs="Arial"/>
          <w:noProof/>
          <w:sz w:val="20"/>
          <w:lang w:val="bg-BG"/>
        </w:rPr>
        <w:lastRenderedPageBreak/>
        <w:t>подходящ мониторинг и оценка на директивата, който трябва да се гарантира посредством доклади на всеки пет години; и</w:t>
      </w:r>
    </w:p>
    <w:p w:rsidR="006F5B6C" w:rsidRDefault="00284F4D">
      <w:pPr>
        <w:numPr>
          <w:ilvl w:val="0"/>
          <w:numId w:val="30"/>
        </w:numPr>
        <w:spacing w:before="120" w:after="120"/>
        <w:ind w:left="714" w:hanging="357"/>
        <w:rPr>
          <w:rFonts w:ascii="Arial" w:hAnsi="Arial" w:cs="Arial"/>
          <w:noProof/>
          <w:sz w:val="20"/>
          <w:lang w:val="bg-BG"/>
        </w:rPr>
      </w:pPr>
      <w:r>
        <w:rPr>
          <w:rFonts w:ascii="Arial" w:hAnsi="Arial" w:cs="Arial"/>
          <w:noProof/>
          <w:sz w:val="20"/>
          <w:lang w:val="bg-BG"/>
        </w:rPr>
        <w:t>усилия за гарантиране на информираността на потребителите за продуктите и услугите, посочени в директивата. Това ще изисква по-тясно сътрудничество с икономическите оператори, заинтересованите лица и националните органи.</w:t>
      </w:r>
    </w:p>
    <w:p w:rsidR="006F5B6C" w:rsidRDefault="00284F4D">
      <w:pPr>
        <w:spacing w:before="120" w:after="120"/>
        <w:rPr>
          <w:rFonts w:ascii="Arial" w:hAnsi="Arial" w:cs="Arial"/>
          <w:noProof/>
          <w:sz w:val="20"/>
          <w:lang w:val="bg-BG"/>
        </w:rPr>
      </w:pPr>
      <w:r>
        <w:rPr>
          <w:rFonts w:ascii="Arial" w:hAnsi="Arial" w:cs="Arial"/>
          <w:noProof/>
          <w:sz w:val="20"/>
          <w:lang w:val="bg-BG"/>
        </w:rPr>
        <w:t>Друг план за прилагане придружава четири предложения за директиви, които са част от пакета за „кръгова икономика“</w:t>
      </w:r>
      <w:r>
        <w:rPr>
          <w:rStyle w:val="FootnoteReference"/>
          <w:rFonts w:ascii="Arial" w:hAnsi="Arial" w:cs="Arial"/>
          <w:noProof/>
          <w:sz w:val="20"/>
        </w:rPr>
        <w:footnoteReference w:id="76"/>
      </w:r>
      <w:r>
        <w:rPr>
          <w:rFonts w:ascii="Arial" w:hAnsi="Arial" w:cs="Arial"/>
          <w:noProof/>
          <w:sz w:val="20"/>
          <w:lang w:val="bg-BG"/>
        </w:rPr>
        <w:t>. С тези предложения ще се изменят шест директиви за управление на отпадъците: Директивата относно отпадъците</w:t>
      </w:r>
      <w:r>
        <w:rPr>
          <w:rStyle w:val="FootnoteReference"/>
          <w:rFonts w:ascii="Arial" w:hAnsi="Arial" w:cs="Arial"/>
          <w:noProof/>
          <w:sz w:val="20"/>
        </w:rPr>
        <w:footnoteReference w:id="77"/>
      </w:r>
      <w:r>
        <w:rPr>
          <w:rFonts w:ascii="Arial" w:hAnsi="Arial" w:cs="Arial"/>
          <w:noProof/>
          <w:sz w:val="20"/>
          <w:lang w:val="bg-BG"/>
        </w:rPr>
        <w:t>, Директивата относно опаковките и отпадъците от опаковки</w:t>
      </w:r>
      <w:r>
        <w:rPr>
          <w:rStyle w:val="FootnoteReference"/>
          <w:rFonts w:ascii="Arial" w:hAnsi="Arial" w:cs="Arial"/>
          <w:noProof/>
          <w:sz w:val="20"/>
        </w:rPr>
        <w:footnoteReference w:id="78"/>
      </w:r>
      <w:r>
        <w:rPr>
          <w:rFonts w:ascii="Arial" w:hAnsi="Arial" w:cs="Arial"/>
          <w:noProof/>
          <w:sz w:val="20"/>
          <w:lang w:val="bg-BG"/>
        </w:rPr>
        <w:t>, Директивата относно депонирането на отпадъци</w:t>
      </w:r>
      <w:r>
        <w:rPr>
          <w:rStyle w:val="FootnoteReference"/>
          <w:rFonts w:ascii="Arial" w:hAnsi="Arial" w:cs="Arial"/>
          <w:noProof/>
          <w:sz w:val="20"/>
        </w:rPr>
        <w:footnoteReference w:id="79"/>
      </w:r>
      <w:r>
        <w:rPr>
          <w:rFonts w:ascii="Arial" w:hAnsi="Arial" w:cs="Arial"/>
          <w:noProof/>
          <w:sz w:val="20"/>
          <w:lang w:val="bg-BG"/>
        </w:rPr>
        <w:t>, Директивата относно излезлите от употреба превозни средства</w:t>
      </w:r>
      <w:r>
        <w:rPr>
          <w:rStyle w:val="FootnoteReference"/>
          <w:rFonts w:ascii="Arial" w:hAnsi="Arial" w:cs="Arial"/>
          <w:noProof/>
          <w:sz w:val="20"/>
        </w:rPr>
        <w:footnoteReference w:id="80"/>
      </w:r>
      <w:r>
        <w:rPr>
          <w:rFonts w:ascii="Arial" w:hAnsi="Arial" w:cs="Arial"/>
          <w:noProof/>
          <w:sz w:val="20"/>
          <w:lang w:val="bg-BG"/>
        </w:rPr>
        <w:t>, Директивата относно батерии и акумулатори и отпадъци от батерии и акумулатори</w:t>
      </w:r>
      <w:r>
        <w:rPr>
          <w:rStyle w:val="FootnoteReference"/>
          <w:rFonts w:ascii="Arial" w:hAnsi="Arial" w:cs="Arial"/>
          <w:noProof/>
          <w:sz w:val="20"/>
        </w:rPr>
        <w:footnoteReference w:id="81"/>
      </w:r>
      <w:r>
        <w:rPr>
          <w:rFonts w:ascii="Arial" w:hAnsi="Arial" w:cs="Arial"/>
          <w:noProof/>
          <w:sz w:val="20"/>
          <w:lang w:val="bg-BG"/>
        </w:rPr>
        <w:t>и Директивата относно отпадъци от електрическо и електронно оборудване</w:t>
      </w:r>
      <w:r>
        <w:rPr>
          <w:rStyle w:val="FootnoteReference"/>
          <w:rFonts w:ascii="Arial" w:hAnsi="Arial" w:cs="Arial"/>
          <w:noProof/>
          <w:sz w:val="20"/>
        </w:rPr>
        <w:footnoteReference w:id="82"/>
      </w:r>
      <w:r>
        <w:rPr>
          <w:rFonts w:ascii="Arial" w:hAnsi="Arial" w:cs="Arial"/>
          <w:noProof/>
          <w:sz w:val="20"/>
          <w:lang w:val="bg-BG"/>
        </w:rPr>
        <w:t>. В плана се набелязват следните предизвикателства, свързани с прилагането, заедно с възможни действия за подкрепа от страна на Комисията:</w:t>
      </w:r>
    </w:p>
    <w:p w:rsidR="006F5B6C" w:rsidRDefault="00284F4D">
      <w:pPr>
        <w:pStyle w:val="ListParagraph"/>
        <w:numPr>
          <w:ilvl w:val="0"/>
          <w:numId w:val="32"/>
        </w:numPr>
        <w:spacing w:before="120" w:after="120"/>
        <w:rPr>
          <w:rFonts w:ascii="Arial" w:hAnsi="Arial" w:cs="Arial"/>
          <w:noProof/>
          <w:sz w:val="20"/>
          <w:lang w:val="bg-BG"/>
        </w:rPr>
      </w:pPr>
      <w:r>
        <w:rPr>
          <w:rFonts w:ascii="Arial" w:hAnsi="Arial" w:cs="Arial"/>
          <w:noProof/>
          <w:sz w:val="20"/>
          <w:lang w:val="bg-BG"/>
        </w:rPr>
        <w:t>постигане на целите в рамките на крайните срокове. Това включва развитие на инфраструктура за разделно събиране и третиране на отпадъци, осъвременяване на плановете за управление на отпадъци, изпълнение и координация между органите на всички равнища, намаляване на използването на капацитета за депониране и прилагане на икономически инструменти; и</w:t>
      </w:r>
    </w:p>
    <w:p w:rsidR="006F5B6C" w:rsidRDefault="00284F4D">
      <w:pPr>
        <w:pStyle w:val="ListParagraph"/>
        <w:numPr>
          <w:ilvl w:val="0"/>
          <w:numId w:val="32"/>
        </w:numPr>
        <w:spacing w:before="120" w:after="120"/>
        <w:rPr>
          <w:rFonts w:ascii="Arial" w:hAnsi="Arial" w:cs="Arial"/>
          <w:noProof/>
          <w:sz w:val="20"/>
          <w:lang w:val="bg-BG"/>
        </w:rPr>
      </w:pPr>
      <w:r>
        <w:rPr>
          <w:rFonts w:ascii="Arial" w:hAnsi="Arial" w:cs="Arial"/>
          <w:noProof/>
          <w:sz w:val="20"/>
          <w:lang w:val="bg-BG"/>
        </w:rPr>
        <w:t>мониторинг и докладване относно качеството. Това включва подобряване на събирането на данни и разработването на по-надеждни системи за проверка на данните и схеми за докладване.</w:t>
      </w:r>
    </w:p>
    <w:p w:rsidR="006F5B6C" w:rsidRDefault="00284F4D">
      <w:pPr>
        <w:spacing w:before="120" w:after="120"/>
        <w:rPr>
          <w:rFonts w:ascii="Arial" w:hAnsi="Arial" w:cs="Arial"/>
          <w:noProof/>
          <w:sz w:val="20"/>
          <w:lang w:val="bg-BG"/>
        </w:rPr>
      </w:pPr>
      <w:r>
        <w:rPr>
          <w:rFonts w:ascii="Arial" w:hAnsi="Arial" w:cs="Arial"/>
          <w:noProof/>
          <w:sz w:val="20"/>
          <w:lang w:val="bg-BG"/>
        </w:rPr>
        <w:t>Комисията счита, че тези планове ще помогнат на държавите членки да транспонират и прилагат ефективно предложените директиви. Комисията ще наблюдава начина, по който държавите членки използват плановете за прилагане.</w:t>
      </w:r>
    </w:p>
    <w:p w:rsidR="006F5B6C" w:rsidRDefault="00284F4D">
      <w:pPr>
        <w:pStyle w:val="Kop4"/>
        <w:rPr>
          <w:rFonts w:eastAsia="MS Gothic"/>
          <w:b w:val="0"/>
          <w:noProof/>
        </w:rPr>
      </w:pPr>
      <w:bookmarkStart w:id="15" w:name="_Toc454443118"/>
      <w:r>
        <w:rPr>
          <w:rFonts w:eastAsia="MS Gothic"/>
          <w:b w:val="0"/>
          <w:noProof/>
          <w:lang w:val="bg-BG"/>
        </w:rPr>
        <w:t>Обяснителни документи</w:t>
      </w:r>
      <w:r>
        <w:rPr>
          <w:rFonts w:eastAsia="MS Gothic"/>
          <w:b w:val="0"/>
          <w:noProof/>
        </w:rPr>
        <w:t xml:space="preserve">: </w:t>
      </w:r>
      <w:r>
        <w:rPr>
          <w:rFonts w:eastAsia="MS Gothic"/>
          <w:b w:val="0"/>
          <w:noProof/>
          <w:lang w:val="bg-BG"/>
        </w:rPr>
        <w:t>актуално състояние</w:t>
      </w:r>
      <w:bookmarkEnd w:id="15"/>
    </w:p>
    <w:p w:rsidR="006F5B6C" w:rsidRDefault="00284F4D">
      <w:pPr>
        <w:spacing w:before="120"/>
        <w:rPr>
          <w:rFonts w:ascii="Arial" w:hAnsi="Arial" w:cs="Arial"/>
          <w:noProof/>
          <w:spacing w:val="-4"/>
          <w:sz w:val="20"/>
          <w:lang w:val="bg-BG"/>
        </w:rPr>
      </w:pPr>
      <w:r>
        <w:rPr>
          <w:rFonts w:ascii="Arial" w:hAnsi="Arial" w:cs="Arial"/>
          <w:noProof/>
          <w:spacing w:val="-4"/>
          <w:sz w:val="20"/>
          <w:lang w:val="bg-BG"/>
        </w:rPr>
        <w:t>През 2011 г. институциите на ЕС и държавите членки се споразумяха, че когато държавите членки уведомяват Комисията за новите мерки за транспониране, те също така трябва да предоставят информация за начина, по който са транспонирали директивите в своето законодателство</w:t>
      </w:r>
      <w:r>
        <w:rPr>
          <w:rStyle w:val="FootnoteReference"/>
          <w:noProof/>
          <w:spacing w:val="-4"/>
        </w:rPr>
        <w:footnoteReference w:id="83"/>
      </w:r>
      <w:r>
        <w:rPr>
          <w:rFonts w:ascii="Arial" w:hAnsi="Arial" w:cs="Arial"/>
          <w:noProof/>
          <w:spacing w:val="-4"/>
          <w:sz w:val="20"/>
          <w:lang w:val="bg-BG"/>
        </w:rPr>
        <w:t>. Комисията може да поиска от държавите членки тази подкрепяща информация („обяснителни документи“) да бъде предоставяна в обосновани случаи</w:t>
      </w:r>
      <w:r>
        <w:rPr>
          <w:rStyle w:val="FootnoteReference"/>
          <w:noProof/>
          <w:spacing w:val="-4"/>
        </w:rPr>
        <w:footnoteReference w:id="84"/>
      </w:r>
      <w:r>
        <w:rPr>
          <w:rFonts w:ascii="Arial" w:hAnsi="Arial" w:cs="Arial"/>
          <w:noProof/>
          <w:spacing w:val="-4"/>
          <w:sz w:val="20"/>
          <w:lang w:val="bg-BG"/>
        </w:rPr>
        <w:t>.</w:t>
      </w:r>
    </w:p>
    <w:p w:rsidR="006F5B6C" w:rsidRDefault="00284F4D">
      <w:pPr>
        <w:spacing w:before="120"/>
        <w:rPr>
          <w:rFonts w:ascii="Arial" w:hAnsi="Arial" w:cs="Arial"/>
          <w:noProof/>
          <w:spacing w:val="-4"/>
          <w:sz w:val="20"/>
          <w:lang w:val="bg-BG"/>
        </w:rPr>
      </w:pPr>
      <w:r>
        <w:rPr>
          <w:rFonts w:ascii="Arial" w:hAnsi="Arial" w:cs="Arial"/>
          <w:noProof/>
          <w:spacing w:val="-4"/>
          <w:sz w:val="20"/>
          <w:lang w:val="bg-BG"/>
        </w:rPr>
        <w:t>Обяснителните документи играят основна роля в насърчаването на доброто разбиране на националните мерки за транспониране. Те помагат да се разбере мониторингът на изпълнението: без тези документи ще бъдат необходими значителни ресурси и многобройни контакти с националните органи, за да се проследят методите на транспониране във всички държави членки. Тъй като мерките за транспониране трябва да се обединят със сложната действаща правна рамка, произтичащото транспониране води до разглеждането на стотици мерки.</w:t>
      </w:r>
    </w:p>
    <w:p w:rsidR="006F5B6C" w:rsidRDefault="00284F4D">
      <w:pPr>
        <w:spacing w:before="120"/>
        <w:rPr>
          <w:rFonts w:ascii="Arial" w:hAnsi="Arial" w:cs="Arial"/>
          <w:noProof/>
          <w:sz w:val="20"/>
          <w:lang w:val="bg-BG"/>
        </w:rPr>
      </w:pPr>
      <w:r>
        <w:rPr>
          <w:rFonts w:ascii="Arial" w:hAnsi="Arial" w:cs="Arial"/>
          <w:noProof/>
          <w:sz w:val="20"/>
          <w:lang w:val="bg-BG"/>
        </w:rPr>
        <w:lastRenderedPageBreak/>
        <w:t>През 2015 г. Комисията е поискала обяснителни документи за 12 от общо 14 предложения за директиви, представени на Европейския парламент и на Съвета. През годината Парламентът и Съветът са приели 38 директиви, включително 7 директиви, за които Комисията е поискала обяснителни документи. В заключителния текст на всичките седем е запазено договореното съображение относно необходимостта от такива документи.</w:t>
      </w:r>
    </w:p>
    <w:p w:rsidR="006F5B6C" w:rsidRDefault="00284F4D">
      <w:pPr>
        <w:spacing w:before="120"/>
        <w:rPr>
          <w:rFonts w:ascii="Arial" w:hAnsi="Arial" w:cs="Arial"/>
          <w:noProof/>
          <w:sz w:val="20"/>
          <w:lang w:val="bg-BG"/>
        </w:rPr>
      </w:pPr>
      <w:r>
        <w:rPr>
          <w:rFonts w:ascii="Arial" w:hAnsi="Arial" w:cs="Arial"/>
          <w:noProof/>
          <w:sz w:val="20"/>
          <w:lang w:val="bg-BG"/>
        </w:rPr>
        <w:t>В рамките на годината държавите членки трябваше да транспонират 56 директиви</w:t>
      </w:r>
      <w:r>
        <w:rPr>
          <w:rStyle w:val="FootnoteReference"/>
          <w:noProof/>
        </w:rPr>
        <w:footnoteReference w:id="85"/>
      </w:r>
      <w:r>
        <w:rPr>
          <w:rFonts w:ascii="Arial" w:hAnsi="Arial" w:cs="Arial"/>
          <w:noProof/>
          <w:sz w:val="20"/>
          <w:lang w:val="bg-BG"/>
        </w:rPr>
        <w:t>. Те са се ангажирали да предоставят обяснителни документи за 11 от тях</w:t>
      </w:r>
      <w:r>
        <w:rPr>
          <w:rStyle w:val="FootnoteReference"/>
          <w:noProof/>
        </w:rPr>
        <w:footnoteReference w:id="86"/>
      </w:r>
      <w:r>
        <w:rPr>
          <w:rFonts w:ascii="Arial" w:hAnsi="Arial" w:cs="Arial"/>
          <w:noProof/>
          <w:sz w:val="20"/>
          <w:lang w:val="bg-BG"/>
        </w:rPr>
        <w:t>. Процесът на оценяване на националните мерки за тези директиви е в ход, поради което Комисията все още не може да изготви заключения относно качеството на получените обяснителни документи.</w:t>
      </w:r>
    </w:p>
    <w:p w:rsidR="006F5B6C" w:rsidRDefault="00284F4D">
      <w:pPr>
        <w:spacing w:before="120"/>
        <w:rPr>
          <w:rFonts w:ascii="Arial" w:hAnsi="Arial" w:cs="Arial"/>
          <w:noProof/>
          <w:sz w:val="20"/>
          <w:lang w:val="bg-BG"/>
        </w:rPr>
      </w:pPr>
      <w:r>
        <w:rPr>
          <w:rFonts w:ascii="Arial" w:hAnsi="Arial" w:cs="Arial"/>
          <w:noProof/>
          <w:sz w:val="20"/>
          <w:lang w:val="bg-BG"/>
        </w:rPr>
        <w:t xml:space="preserve">Две от единайсетте директиви, за които държавите членки са поели ангажимент да предоставят обяснителни документи, се отнасят за </w:t>
      </w:r>
      <w:r>
        <w:rPr>
          <w:rFonts w:ascii="Arial" w:hAnsi="Arial" w:cs="Arial"/>
          <w:b/>
          <w:noProof/>
          <w:sz w:val="20"/>
          <w:lang w:val="bg-BG"/>
        </w:rPr>
        <w:t>околната среда</w:t>
      </w:r>
      <w:r>
        <w:rPr>
          <w:rFonts w:ascii="Arial" w:hAnsi="Arial" w:cs="Arial"/>
          <w:noProof/>
          <w:sz w:val="20"/>
          <w:lang w:val="bg-BG"/>
        </w:rPr>
        <w:t>. Комисията получи 12 обяснителни документа за Директивата относно контрола на опасностите от големи аварии, които включват опасни вещества</w:t>
      </w:r>
      <w:r>
        <w:rPr>
          <w:rStyle w:val="FootnoteReference"/>
          <w:rFonts w:ascii="Arial" w:hAnsi="Arial" w:cs="Arial"/>
          <w:noProof/>
          <w:sz w:val="20"/>
        </w:rPr>
        <w:footnoteReference w:id="87"/>
      </w:r>
      <w:r>
        <w:rPr>
          <w:rFonts w:ascii="Arial" w:hAnsi="Arial" w:cs="Arial"/>
          <w:noProof/>
          <w:sz w:val="20"/>
          <w:lang w:val="bg-BG"/>
        </w:rPr>
        <w:t>и 13 за Директивата относно приоритетните вещества в областта на политиката за водите</w:t>
      </w:r>
      <w:r>
        <w:rPr>
          <w:rStyle w:val="FootnoteReference"/>
          <w:noProof/>
        </w:rPr>
        <w:footnoteReference w:id="88"/>
      </w:r>
      <w:r>
        <w:rPr>
          <w:rFonts w:ascii="Arial" w:hAnsi="Arial" w:cs="Arial"/>
          <w:noProof/>
          <w:sz w:val="20"/>
          <w:lang w:val="bg-BG"/>
        </w:rPr>
        <w:t>. Тези документи помогнаха на Комисията да оцени транспонирането на директивите в съответните държави членки. Пример за добра практика са таблиците за съответствие, представени от Унгария за Директивата относно опасностите от големи аварии. Те са с добро качество и съдържат необходимите подробни данни, които позволяват на Комисията да оцени пълнотата на транспонирането от страна на Унгария на тази важна директива в националното право.</w:t>
      </w:r>
    </w:p>
    <w:p w:rsidR="006F5B6C" w:rsidRDefault="00284F4D">
      <w:pPr>
        <w:spacing w:before="120"/>
        <w:rPr>
          <w:rFonts w:ascii="Arial" w:hAnsi="Arial" w:cs="Arial"/>
          <w:noProof/>
          <w:sz w:val="20"/>
          <w:lang w:val="bg-BG"/>
        </w:rPr>
      </w:pPr>
      <w:r>
        <w:rPr>
          <w:rFonts w:ascii="Arial" w:hAnsi="Arial" w:cs="Arial"/>
          <w:noProof/>
          <w:sz w:val="20"/>
          <w:lang w:val="bg-BG"/>
        </w:rPr>
        <w:t xml:space="preserve">Четири от единайсетте директиви са в областта на </w:t>
      </w:r>
      <w:r>
        <w:rPr>
          <w:rFonts w:ascii="Arial" w:hAnsi="Arial" w:cs="Arial"/>
          <w:b/>
          <w:noProof/>
          <w:sz w:val="20"/>
          <w:lang w:val="bg-BG"/>
        </w:rPr>
        <w:t>финансовите пазари</w:t>
      </w:r>
      <w:r>
        <w:rPr>
          <w:rFonts w:ascii="Arial" w:hAnsi="Arial" w:cs="Arial"/>
          <w:noProof/>
          <w:sz w:val="20"/>
          <w:lang w:val="bg-BG"/>
        </w:rPr>
        <w:t>. Държавите членки уведомиха Комисията за 11 обяснителни документа за Директивата за счетоводството</w:t>
      </w:r>
      <w:r>
        <w:rPr>
          <w:rStyle w:val="FootnoteReference"/>
          <w:rFonts w:ascii="Arial" w:hAnsi="Arial" w:cs="Arial"/>
          <w:noProof/>
          <w:sz w:val="20"/>
        </w:rPr>
        <w:footnoteReference w:id="89"/>
      </w:r>
      <w:r>
        <w:rPr>
          <w:rFonts w:ascii="Arial" w:hAnsi="Arial" w:cs="Arial"/>
          <w:noProof/>
          <w:sz w:val="20"/>
          <w:lang w:val="bg-BG"/>
        </w:rPr>
        <w:t>, 5 за Директивата за прозрачността,</w:t>
      </w:r>
      <w:r>
        <w:rPr>
          <w:rStyle w:val="FootnoteReference"/>
          <w:rFonts w:ascii="Arial" w:hAnsi="Arial" w:cs="Arial"/>
          <w:noProof/>
          <w:sz w:val="20"/>
        </w:rPr>
        <w:footnoteReference w:id="90"/>
      </w:r>
      <w:r>
        <w:rPr>
          <w:rFonts w:ascii="Arial" w:hAnsi="Arial" w:cs="Arial"/>
          <w:noProof/>
          <w:sz w:val="20"/>
          <w:lang w:val="bg-BG"/>
        </w:rPr>
        <w:t>, 9 за Директивата относно схемите за гарантиране на депозити</w:t>
      </w:r>
      <w:r>
        <w:rPr>
          <w:rStyle w:val="FootnoteReference"/>
          <w:rFonts w:ascii="Arial" w:hAnsi="Arial" w:cs="Arial"/>
          <w:noProof/>
          <w:sz w:val="20"/>
        </w:rPr>
        <w:footnoteReference w:id="91"/>
      </w:r>
      <w:r>
        <w:rPr>
          <w:rFonts w:ascii="Arial" w:hAnsi="Arial" w:cs="Arial"/>
          <w:noProof/>
          <w:sz w:val="20"/>
          <w:lang w:val="bg-BG"/>
        </w:rPr>
        <w:t>и 13 за Директивата „Омнибус </w:t>
      </w:r>
      <w:r>
        <w:rPr>
          <w:rFonts w:ascii="Arial" w:hAnsi="Arial" w:cs="Arial"/>
          <w:noProof/>
          <w:sz w:val="20"/>
          <w:lang w:val="en-US"/>
        </w:rPr>
        <w:t>II</w:t>
      </w:r>
      <w:r>
        <w:rPr>
          <w:rFonts w:ascii="Arial" w:hAnsi="Arial" w:cs="Arial"/>
          <w:noProof/>
          <w:sz w:val="20"/>
          <w:lang w:val="bg-BG"/>
        </w:rPr>
        <w:t>“</w:t>
      </w:r>
      <w:r>
        <w:rPr>
          <w:rStyle w:val="FootnoteReference"/>
          <w:rFonts w:ascii="Arial" w:hAnsi="Arial" w:cs="Arial"/>
          <w:noProof/>
          <w:sz w:val="20"/>
        </w:rPr>
        <w:footnoteReference w:id="92"/>
      </w:r>
      <w:r>
        <w:rPr>
          <w:rFonts w:ascii="Arial" w:hAnsi="Arial" w:cs="Arial"/>
          <w:noProof/>
          <w:sz w:val="20"/>
          <w:lang w:val="bg-BG"/>
        </w:rPr>
        <w:t xml:space="preserve">. В много от случаите предоставените обяснителни документи представляват таблици за съответствие, които като цяло включват точна информация относно транспонирането на разпоредбите на директивата и свързаните национални разпоредби. Качеството на представените документи е различно. В един от случаите, в допълнение към националните разпоредби за транспониране на всяка разпоредба на Директивата относно схемите за гарантиране на депозити, те също така показват кои разпоредби не са били транспонирани и защо, както и възможностите и правото на преценка, което е било упражнено. В други случаи обяснителните документи, представени за Директива „Омнибус </w:t>
      </w:r>
      <w:r>
        <w:rPr>
          <w:rFonts w:ascii="Arial" w:hAnsi="Arial" w:cs="Arial"/>
          <w:noProof/>
          <w:sz w:val="20"/>
          <w:lang w:val="en-US"/>
        </w:rPr>
        <w:t>II</w:t>
      </w:r>
      <w:r>
        <w:rPr>
          <w:rFonts w:ascii="Arial" w:hAnsi="Arial" w:cs="Arial"/>
          <w:noProof/>
          <w:sz w:val="20"/>
          <w:lang w:val="bg-BG"/>
        </w:rPr>
        <w:t>“, с която се изменят две предходни директиви</w:t>
      </w:r>
      <w:r>
        <w:rPr>
          <w:rStyle w:val="FootnoteReference"/>
          <w:noProof/>
        </w:rPr>
        <w:footnoteReference w:id="93"/>
      </w:r>
      <w:r>
        <w:rPr>
          <w:rFonts w:ascii="Arial" w:hAnsi="Arial" w:cs="Arial"/>
          <w:noProof/>
          <w:sz w:val="20"/>
          <w:lang w:val="bg-BG"/>
        </w:rPr>
        <w:t>, са непълни; те се отнасят само за едната от изменените директиви и не предоставят общ преглед на транспонирането на другите части от директивата за изменение.</w:t>
      </w:r>
    </w:p>
    <w:p w:rsidR="006F5B6C" w:rsidRDefault="00284F4D">
      <w:pPr>
        <w:rPr>
          <w:rFonts w:ascii="Arial" w:hAnsi="Arial" w:cs="Arial"/>
          <w:noProof/>
          <w:sz w:val="20"/>
          <w:lang w:val="bg-BG"/>
        </w:rPr>
      </w:pPr>
      <w:r>
        <w:rPr>
          <w:rFonts w:ascii="Arial" w:hAnsi="Arial" w:cs="Arial"/>
          <w:noProof/>
          <w:sz w:val="20"/>
          <w:lang w:val="bg-BG"/>
        </w:rPr>
        <w:t xml:space="preserve">Две от единайсетте директиви се отнасят за </w:t>
      </w:r>
      <w:r>
        <w:rPr>
          <w:rFonts w:ascii="Arial" w:hAnsi="Arial" w:cs="Arial"/>
          <w:b/>
          <w:noProof/>
          <w:sz w:val="20"/>
          <w:lang w:val="bg-BG"/>
        </w:rPr>
        <w:t>транспорта</w:t>
      </w:r>
      <w:r>
        <w:rPr>
          <w:rFonts w:ascii="Arial" w:hAnsi="Arial" w:cs="Arial"/>
          <w:noProof/>
          <w:sz w:val="20"/>
          <w:lang w:val="bg-BG"/>
        </w:rPr>
        <w:t>. Комисията получи шест обяснителни документа за Директивата за създаване на единно европейско железопътно пространство</w:t>
      </w:r>
      <w:r>
        <w:rPr>
          <w:rStyle w:val="FootnoteReference"/>
          <w:noProof/>
        </w:rPr>
        <w:footnoteReference w:id="94"/>
      </w:r>
      <w:r>
        <w:rPr>
          <w:rFonts w:ascii="Arial" w:hAnsi="Arial" w:cs="Arial"/>
          <w:noProof/>
          <w:sz w:val="20"/>
          <w:lang w:val="bg-BG"/>
        </w:rPr>
        <w:t xml:space="preserve"> и единадесет за Директивата относно свидетелствата за управление на превозни средства</w:t>
      </w:r>
      <w:r>
        <w:rPr>
          <w:rStyle w:val="FootnoteReference"/>
          <w:noProof/>
        </w:rPr>
        <w:footnoteReference w:id="95"/>
      </w:r>
      <w:r>
        <w:rPr>
          <w:rFonts w:ascii="Arial" w:hAnsi="Arial" w:cs="Arial"/>
          <w:noProof/>
          <w:sz w:val="20"/>
          <w:lang w:val="bg-BG"/>
        </w:rPr>
        <w:t xml:space="preserve">. Качеството на документите относно първата директива изглежда задоволително и документите предоставят необходимата за Комисията информация. Оценката на документите относно </w:t>
      </w:r>
      <w:r>
        <w:rPr>
          <w:rFonts w:ascii="Arial" w:hAnsi="Arial" w:cs="Arial"/>
          <w:noProof/>
          <w:sz w:val="20"/>
          <w:lang w:val="bg-BG"/>
        </w:rPr>
        <w:lastRenderedPageBreak/>
        <w:t>Директивата относно свидетелствата за управление на превозни средства едва сега започва, тъй като крайният срок за транспониране беше 31 декември 2015 г.</w:t>
      </w:r>
    </w:p>
    <w:p w:rsidR="006F5B6C" w:rsidRDefault="00284F4D">
      <w:pPr>
        <w:spacing w:before="120"/>
        <w:rPr>
          <w:rFonts w:ascii="Arial" w:hAnsi="Arial" w:cs="Arial"/>
          <w:noProof/>
          <w:sz w:val="20"/>
          <w:lang w:val="bg-BG"/>
        </w:rPr>
      </w:pPr>
      <w:r>
        <w:rPr>
          <w:rFonts w:ascii="Arial" w:hAnsi="Arial" w:cs="Arial"/>
          <w:noProof/>
          <w:sz w:val="20"/>
          <w:lang w:val="bg-BG"/>
        </w:rPr>
        <w:t xml:space="preserve">Две от единайсетте директиви са в областта на </w:t>
      </w:r>
      <w:r>
        <w:rPr>
          <w:rFonts w:ascii="Arial" w:hAnsi="Arial" w:cs="Arial"/>
          <w:b/>
          <w:noProof/>
          <w:sz w:val="20"/>
          <w:lang w:val="bg-BG"/>
        </w:rPr>
        <w:t>миграцията и вътрешните работи</w:t>
      </w:r>
      <w:r>
        <w:rPr>
          <w:rFonts w:ascii="Arial" w:hAnsi="Arial" w:cs="Arial"/>
          <w:noProof/>
          <w:sz w:val="20"/>
          <w:lang w:val="bg-BG"/>
        </w:rPr>
        <w:t>. Петнайсет държави членки представиха документи под формата на таблици за съответствие относно транспонирането от тяхна страна на Директивата за процедурите за убежище</w:t>
      </w:r>
      <w:r>
        <w:rPr>
          <w:rStyle w:val="FootnoteReference"/>
          <w:noProof/>
        </w:rPr>
        <w:footnoteReference w:id="96"/>
      </w:r>
      <w:r>
        <w:rPr>
          <w:rFonts w:ascii="Arial" w:hAnsi="Arial" w:cs="Arial"/>
          <w:noProof/>
          <w:sz w:val="20"/>
          <w:lang w:val="bg-BG"/>
        </w:rPr>
        <w:t>. 13 държави членки представиха обяснителни документи по отношение на Директивата относно условията за приемане</w:t>
      </w:r>
      <w:r>
        <w:rPr>
          <w:rStyle w:val="FootnoteReference"/>
          <w:noProof/>
        </w:rPr>
        <w:footnoteReference w:id="97"/>
      </w:r>
      <w:r>
        <w:rPr>
          <w:rFonts w:ascii="Arial" w:hAnsi="Arial" w:cs="Arial"/>
          <w:noProof/>
          <w:sz w:val="20"/>
          <w:lang w:val="bg-BG"/>
        </w:rPr>
        <w:t>. В почти всички случаи са представени подробни таблици за съответствие.</w:t>
      </w:r>
    </w:p>
    <w:p w:rsidR="006F5B6C" w:rsidRDefault="00284F4D">
      <w:pPr>
        <w:spacing w:before="120"/>
        <w:rPr>
          <w:rFonts w:ascii="Arial" w:hAnsi="Arial" w:cs="Arial"/>
          <w:noProof/>
          <w:sz w:val="20"/>
          <w:lang w:val="bg-BG"/>
        </w:rPr>
      </w:pPr>
      <w:r>
        <w:rPr>
          <w:rFonts w:ascii="Arial" w:hAnsi="Arial" w:cs="Arial"/>
          <w:noProof/>
          <w:sz w:val="20"/>
          <w:lang w:val="bg-BG"/>
        </w:rPr>
        <w:t xml:space="preserve">Последната от единайсетте директиви е относно </w:t>
      </w:r>
      <w:r>
        <w:rPr>
          <w:rFonts w:ascii="Arial" w:hAnsi="Arial" w:cs="Arial"/>
          <w:b/>
          <w:noProof/>
          <w:sz w:val="20"/>
          <w:lang w:val="bg-BG"/>
        </w:rPr>
        <w:t>алтернативното решаване на потребителски спорове</w:t>
      </w:r>
      <w:r>
        <w:rPr>
          <w:rStyle w:val="FootnoteReference"/>
          <w:noProof/>
        </w:rPr>
        <w:footnoteReference w:id="98"/>
      </w:r>
      <w:r>
        <w:rPr>
          <w:rFonts w:ascii="Arial" w:hAnsi="Arial" w:cs="Arial"/>
          <w:noProof/>
          <w:sz w:val="20"/>
          <w:lang w:val="bg-BG"/>
        </w:rPr>
        <w:t>. За тази директива Комисията получи 11 обяснителни документа. Тяхното качество изглежда задоволително. По-специално една държава членка е включила забележки относно националната съдебна практика и административните мерки, които изясняват националната система. Друга държава членка е предоставила показатели за начина на транспонирането и за това защо не е било необходимо да се транспонират определени мерки, тъй като вече съществуват национални разпоредби (които винаги са възпроизведени в документа). Една държава членка посочва ясно транспонираните разпоредби на децентрализирано равнище.</w:t>
      </w:r>
    </w:p>
    <w:p w:rsidR="006F5B6C" w:rsidRDefault="00284F4D">
      <w:pPr>
        <w:spacing w:before="120"/>
        <w:rPr>
          <w:rFonts w:ascii="Arial" w:hAnsi="Arial" w:cs="Arial"/>
          <w:b/>
          <w:noProof/>
          <w:sz w:val="20"/>
          <w:lang w:val="bg-BG"/>
        </w:rPr>
      </w:pPr>
      <w:r>
        <w:rPr>
          <w:rFonts w:ascii="Arial" w:hAnsi="Arial" w:cs="Arial"/>
          <w:noProof/>
          <w:sz w:val="20"/>
          <w:lang w:val="bg-BG"/>
        </w:rPr>
        <w:t>През 2015 г. държавите членки не са изпълнили във всички случаи поетия от тях ангажимент да предоставят обяснителни документи заедно с националните мерки за транспониране на директивите в правният им ред. В случаите, когато са представени обяснителни документи, първоначалната оценка показва, че качеството им не е еднакво.</w:t>
      </w:r>
    </w:p>
    <w:p w:rsidR="006F5B6C" w:rsidRPr="00284F4D" w:rsidRDefault="00284F4D">
      <w:pPr>
        <w:rPr>
          <w:rFonts w:ascii="Arial" w:hAnsi="Arial" w:cs="Arial"/>
          <w:noProof/>
          <w:sz w:val="20"/>
          <w:lang w:val="bg-BG"/>
        </w:rPr>
      </w:pPr>
      <w:r>
        <w:rPr>
          <w:rFonts w:ascii="Arial" w:hAnsi="Arial" w:cs="Arial"/>
          <w:noProof/>
          <w:sz w:val="20"/>
          <w:lang w:val="bg-BG"/>
        </w:rPr>
        <w:t>Комисията ще продължи да докладва на Парламента и на Съвета за обяснителните документи в годишните си доклади относно прилагането на правото на ЕС.</w:t>
      </w:r>
      <w:bookmarkStart w:id="16" w:name="_Toc437944189"/>
      <w:bookmarkEnd w:id="4"/>
    </w:p>
    <w:p w:rsidR="006F5B6C" w:rsidRPr="00284F4D" w:rsidRDefault="00284F4D">
      <w:pPr>
        <w:rPr>
          <w:rFonts w:ascii="Arial" w:hAnsi="Arial" w:cs="Arial"/>
          <w:noProof/>
          <w:sz w:val="20"/>
          <w:lang w:val="bg-BG"/>
        </w:rPr>
      </w:pPr>
      <w:r w:rsidRPr="00284F4D">
        <w:rPr>
          <w:rFonts w:ascii="Arial" w:hAnsi="Arial" w:cs="Arial"/>
          <w:noProof/>
          <w:sz w:val="20"/>
          <w:lang w:val="bg-BG"/>
        </w:rPr>
        <w:br w:type="page"/>
      </w:r>
    </w:p>
    <w:p w:rsidR="006F5B6C" w:rsidRDefault="00284F4D">
      <w:pPr>
        <w:pStyle w:val="kop2"/>
        <w:spacing w:before="120"/>
        <w:ind w:left="714" w:hanging="357"/>
        <w:rPr>
          <w:caps w:val="0"/>
          <w:noProof/>
          <w:lang w:val="bg-BG"/>
        </w:rPr>
      </w:pPr>
      <w:bookmarkStart w:id="17" w:name="_Toc454443119"/>
      <w:r>
        <w:rPr>
          <w:caps w:val="0"/>
          <w:noProof/>
          <w:lang w:val="bg-BG"/>
        </w:rPr>
        <w:lastRenderedPageBreak/>
        <w:t>Производство за установяване на неизпълнение на задължения</w:t>
      </w:r>
      <w:bookmarkEnd w:id="16"/>
      <w:bookmarkEnd w:id="17"/>
    </w:p>
    <w:p w:rsidR="006F5B6C" w:rsidRDefault="00284F4D">
      <w:pPr>
        <w:ind w:left="360"/>
        <w:rPr>
          <w:rFonts w:ascii="Arial" w:hAnsi="Arial" w:cs="Arial"/>
          <w:noProof/>
          <w:sz w:val="20"/>
          <w:lang w:val="bg-BG"/>
        </w:rPr>
      </w:pPr>
      <w:r>
        <w:rPr>
          <w:rFonts w:ascii="Arial" w:hAnsi="Arial" w:cs="Arial"/>
          <w:noProof/>
          <w:sz w:val="20"/>
          <w:lang w:val="bg-BG"/>
        </w:rPr>
        <w:t>Съществуват три основни вида нарушения на правото на ЕС:</w:t>
      </w:r>
    </w:p>
    <w:p w:rsidR="006F5B6C" w:rsidRDefault="00284F4D">
      <w:pPr>
        <w:spacing w:after="200"/>
        <w:ind w:left="1797" w:hanging="379"/>
        <w:contextualSpacing/>
        <w:rPr>
          <w:rFonts w:ascii="Arial" w:eastAsia="Calibri" w:hAnsi="Arial" w:cs="Arial"/>
          <w:noProof/>
          <w:kern w:val="20"/>
          <w:sz w:val="20"/>
          <w:lang w:val="bg-BG"/>
        </w:rPr>
      </w:pPr>
      <w:r>
        <w:rPr>
          <w:rFonts w:ascii="Arial" w:eastAsia="Calibri" w:hAnsi="Arial" w:cs="Arial"/>
          <w:noProof/>
          <w:kern w:val="20"/>
          <w:sz w:val="20"/>
          <w:lang w:val="bg-BG"/>
        </w:rPr>
        <w:t>а)</w:t>
      </w:r>
      <w:r>
        <w:rPr>
          <w:rFonts w:ascii="Arial" w:eastAsia="Calibri" w:hAnsi="Arial" w:cs="Arial"/>
          <w:b/>
          <w:noProof/>
          <w:kern w:val="20"/>
          <w:sz w:val="20"/>
          <w:lang w:val="bg-BG"/>
        </w:rPr>
        <w:tab/>
        <w:t xml:space="preserve">неуведомяване: </w:t>
      </w:r>
      <w:r>
        <w:rPr>
          <w:rFonts w:ascii="Arial" w:eastAsia="Calibri" w:hAnsi="Arial" w:cs="Arial"/>
          <w:noProof/>
          <w:kern w:val="20"/>
          <w:sz w:val="20"/>
          <w:lang w:val="bg-BG"/>
        </w:rPr>
        <w:t>държава членка не е съобщила на Комисията навреме за своите мерки за транспониране на дадена директива;</w:t>
      </w:r>
    </w:p>
    <w:p w:rsidR="006F5B6C" w:rsidRDefault="00284F4D">
      <w:pPr>
        <w:spacing w:after="200"/>
        <w:ind w:left="1797" w:hanging="379"/>
        <w:contextualSpacing/>
        <w:rPr>
          <w:rFonts w:ascii="Arial" w:eastAsia="Calibri" w:hAnsi="Arial" w:cs="Arial"/>
          <w:noProof/>
          <w:kern w:val="20"/>
          <w:sz w:val="20"/>
          <w:lang w:val="bg-BG"/>
        </w:rPr>
      </w:pPr>
      <w:r>
        <w:rPr>
          <w:rFonts w:ascii="Arial" w:eastAsia="Calibri" w:hAnsi="Arial" w:cs="Arial"/>
          <w:noProof/>
          <w:kern w:val="20"/>
          <w:sz w:val="20"/>
          <w:lang w:val="bg-BG"/>
        </w:rPr>
        <w:t>б)</w:t>
      </w:r>
      <w:r>
        <w:rPr>
          <w:rFonts w:ascii="Arial" w:eastAsia="Calibri" w:hAnsi="Arial" w:cs="Arial"/>
          <w:b/>
          <w:noProof/>
          <w:kern w:val="20"/>
          <w:sz w:val="20"/>
          <w:lang w:val="bg-BG"/>
        </w:rPr>
        <w:tab/>
        <w:t>несъответствие/неспазване</w:t>
      </w:r>
      <w:r>
        <w:rPr>
          <w:rFonts w:ascii="Arial" w:eastAsia="Calibri" w:hAnsi="Arial" w:cs="Arial"/>
          <w:noProof/>
          <w:kern w:val="20"/>
          <w:sz w:val="20"/>
          <w:lang w:val="bg-BG"/>
        </w:rPr>
        <w:t>: Комисията счита, че законодателството на държава членка не е в съответствие с изискванията на законодателството на ЕС;</w:t>
      </w:r>
    </w:p>
    <w:p w:rsidR="006F5B6C" w:rsidRDefault="00284F4D">
      <w:pPr>
        <w:spacing w:after="200"/>
        <w:ind w:left="1797" w:hanging="379"/>
        <w:contextualSpacing/>
        <w:rPr>
          <w:rFonts w:ascii="Arial" w:eastAsia="Calibri" w:hAnsi="Arial" w:cs="Arial"/>
          <w:noProof/>
          <w:kern w:val="20"/>
          <w:sz w:val="20"/>
          <w:lang w:val="bg-BG"/>
        </w:rPr>
      </w:pPr>
      <w:r>
        <w:rPr>
          <w:rFonts w:ascii="Arial" w:eastAsia="Calibri" w:hAnsi="Arial" w:cs="Arial"/>
          <w:noProof/>
          <w:kern w:val="20"/>
          <w:sz w:val="20"/>
          <w:lang w:val="bg-BG"/>
        </w:rPr>
        <w:t>в)</w:t>
      </w:r>
      <w:r>
        <w:rPr>
          <w:rFonts w:ascii="Arial" w:eastAsia="Calibri" w:hAnsi="Arial" w:cs="Arial"/>
          <w:b/>
          <w:noProof/>
          <w:kern w:val="20"/>
          <w:sz w:val="20"/>
          <w:lang w:val="bg-BG"/>
        </w:rPr>
        <w:tab/>
        <w:t>неправилно/лошо прилагане:</w:t>
      </w:r>
      <w:r>
        <w:rPr>
          <w:rFonts w:ascii="Arial" w:eastAsia="Calibri" w:hAnsi="Arial" w:cs="Arial"/>
          <w:noProof/>
          <w:kern w:val="20"/>
          <w:sz w:val="20"/>
          <w:lang w:val="bg-BG"/>
        </w:rPr>
        <w:t>правото на ЕС не се прилага правилно или изобщо не се прилага от националните органи.</w:t>
      </w:r>
    </w:p>
    <w:p w:rsidR="006F5B6C" w:rsidRDefault="006F5B6C">
      <w:pPr>
        <w:ind w:left="357"/>
        <w:rPr>
          <w:rFonts w:ascii="Arial" w:hAnsi="Arial" w:cs="Arial"/>
          <w:noProof/>
          <w:sz w:val="20"/>
          <w:lang w:val="bg-BG"/>
        </w:rPr>
      </w:pPr>
    </w:p>
    <w:p w:rsidR="006F5B6C" w:rsidRDefault="00284F4D">
      <w:pPr>
        <w:ind w:left="357"/>
        <w:rPr>
          <w:rFonts w:ascii="Arial" w:hAnsi="Arial" w:cs="Arial"/>
          <w:noProof/>
          <w:sz w:val="20"/>
          <w:lang w:val="bg-BG"/>
        </w:rPr>
      </w:pPr>
      <w:r>
        <w:rPr>
          <w:rFonts w:ascii="Arial" w:hAnsi="Arial" w:cs="Arial"/>
          <w:noProof/>
          <w:sz w:val="20"/>
          <w:lang w:val="bg-BG"/>
        </w:rPr>
        <w:t>Комисията може да установи нарушения чрез собствени разследвания или да бъде уведомена за такива чрез жалби и петиции от граждани, предприятия, неправителствени или други организации. Комисията активно си сътрудничи с гражданите във връзка с разглеждането на техните жалби, като ги информира за решенията си през всички етапи на производството</w:t>
      </w:r>
      <w:r>
        <w:rPr>
          <w:rStyle w:val="FootnoteReference"/>
          <w:rFonts w:ascii="Arial" w:hAnsi="Arial" w:cs="Arial"/>
          <w:noProof/>
          <w:sz w:val="20"/>
        </w:rPr>
        <w:footnoteReference w:id="99"/>
      </w:r>
      <w:r>
        <w:rPr>
          <w:rFonts w:ascii="Arial" w:hAnsi="Arial" w:cs="Arial"/>
          <w:noProof/>
          <w:sz w:val="20"/>
          <w:lang w:val="bg-BG"/>
        </w:rPr>
        <w:t>.</w:t>
      </w:r>
    </w:p>
    <w:p w:rsidR="006F5B6C" w:rsidRDefault="00284F4D">
      <w:pPr>
        <w:ind w:left="360"/>
        <w:rPr>
          <w:rFonts w:ascii="Arial" w:hAnsi="Arial" w:cs="Arial"/>
          <w:noProof/>
          <w:sz w:val="20"/>
          <w:lang w:val="bg-BG"/>
        </w:rPr>
      </w:pPr>
      <w:r>
        <w:rPr>
          <w:rFonts w:ascii="Arial" w:hAnsi="Arial" w:cs="Arial"/>
          <w:noProof/>
          <w:sz w:val="20"/>
          <w:lang w:val="bg-BG"/>
        </w:rPr>
        <w:t xml:space="preserve">Ако диалог в рамките на </w:t>
      </w:r>
      <w:r>
        <w:rPr>
          <w:rFonts w:ascii="Arial" w:hAnsi="Arial" w:cs="Arial"/>
          <w:noProof/>
          <w:sz w:val="20"/>
        </w:rPr>
        <w:t>EU</w:t>
      </w:r>
      <w:r>
        <w:rPr>
          <w:rFonts w:ascii="Arial" w:hAnsi="Arial" w:cs="Arial"/>
          <w:noProof/>
          <w:sz w:val="20"/>
          <w:lang w:val="bg-BG"/>
        </w:rPr>
        <w:t xml:space="preserve"> </w:t>
      </w:r>
      <w:r>
        <w:rPr>
          <w:rFonts w:ascii="Arial" w:hAnsi="Arial" w:cs="Arial"/>
          <w:noProof/>
          <w:sz w:val="20"/>
        </w:rPr>
        <w:t>Pilot</w:t>
      </w:r>
      <w:r>
        <w:rPr>
          <w:rFonts w:ascii="Arial" w:hAnsi="Arial" w:cs="Arial"/>
          <w:noProof/>
          <w:sz w:val="20"/>
          <w:lang w:val="bg-BG"/>
        </w:rPr>
        <w:t xml:space="preserve"> с дадена държава членка относно предполагаемо нарушение е неуспешен или ако неотложността или друг наложителен интерес изискват незабавни действия, Комисията може да реши да започне официално производство за установяване на неизпълнение на задължение по член 258 от ДФЕС. Производството за установяване на неизпълнение на задължение се дели на </w:t>
      </w:r>
      <w:r>
        <w:rPr>
          <w:rFonts w:ascii="Arial" w:hAnsi="Arial" w:cs="Arial"/>
          <w:b/>
          <w:i/>
          <w:noProof/>
          <w:sz w:val="20"/>
          <w:lang w:val="bg-BG"/>
        </w:rPr>
        <w:t>досъдебна фаза</w:t>
      </w:r>
      <w:r>
        <w:rPr>
          <w:rFonts w:ascii="Arial" w:hAnsi="Arial" w:cs="Arial"/>
          <w:noProof/>
          <w:sz w:val="20"/>
          <w:lang w:val="bg-BG"/>
        </w:rPr>
        <w:t xml:space="preserve"> и </w:t>
      </w:r>
      <w:r>
        <w:rPr>
          <w:rFonts w:ascii="Arial" w:hAnsi="Arial" w:cs="Arial"/>
          <w:b/>
          <w:i/>
          <w:noProof/>
          <w:sz w:val="20"/>
          <w:lang w:val="bg-BG"/>
        </w:rPr>
        <w:t>съдебна фаза</w:t>
      </w:r>
      <w:r>
        <w:rPr>
          <w:rFonts w:ascii="Arial" w:hAnsi="Arial" w:cs="Arial"/>
          <w:noProof/>
          <w:sz w:val="20"/>
          <w:lang w:val="bg-BG"/>
        </w:rPr>
        <w:t>.</w:t>
      </w:r>
    </w:p>
    <w:p w:rsidR="006F5B6C" w:rsidRDefault="00284F4D">
      <w:pPr>
        <w:ind w:left="360"/>
        <w:rPr>
          <w:rFonts w:ascii="Arial" w:hAnsi="Arial" w:cs="Arial"/>
          <w:noProof/>
          <w:sz w:val="20"/>
          <w:lang w:val="bg-BG"/>
        </w:rPr>
      </w:pPr>
      <w:r>
        <w:rPr>
          <w:rFonts w:ascii="Arial" w:hAnsi="Arial" w:cs="Arial"/>
          <w:noProof/>
          <w:sz w:val="20"/>
          <w:lang w:val="bg-BG"/>
        </w:rPr>
        <w:t xml:space="preserve">В </w:t>
      </w:r>
      <w:r>
        <w:rPr>
          <w:rFonts w:ascii="Arial" w:hAnsi="Arial" w:cs="Arial"/>
          <w:i/>
          <w:noProof/>
          <w:sz w:val="20"/>
          <w:lang w:val="bg-BG"/>
        </w:rPr>
        <w:t>досъдебната фаза</w:t>
      </w:r>
      <w:r>
        <w:rPr>
          <w:rFonts w:ascii="Arial" w:hAnsi="Arial" w:cs="Arial"/>
          <w:noProof/>
          <w:sz w:val="20"/>
          <w:lang w:val="bg-BG"/>
        </w:rPr>
        <w:t xml:space="preserve"> Комисията най-напред изпраща </w:t>
      </w:r>
      <w:r>
        <w:rPr>
          <w:rFonts w:ascii="Arial" w:hAnsi="Arial" w:cs="Arial"/>
          <w:i/>
          <w:noProof/>
          <w:sz w:val="20"/>
          <w:lang w:val="bg-BG"/>
        </w:rPr>
        <w:t>официално уведомително писмо</w:t>
      </w:r>
      <w:r>
        <w:rPr>
          <w:rFonts w:ascii="Arial" w:hAnsi="Arial" w:cs="Arial"/>
          <w:noProof/>
          <w:sz w:val="20"/>
          <w:lang w:val="bg-BG"/>
        </w:rPr>
        <w:t xml:space="preserve"> до държавата членка, в което иска обяснение в определен срок. Ако отговорът на държавата членка е незадоволителен или ако не бъде даден такъв, Комисията изпраща </w:t>
      </w:r>
      <w:r>
        <w:rPr>
          <w:rFonts w:ascii="Arial" w:hAnsi="Arial" w:cs="Arial"/>
          <w:i/>
          <w:noProof/>
          <w:sz w:val="20"/>
          <w:lang w:val="bg-BG"/>
        </w:rPr>
        <w:t>мотивирано становище</w:t>
      </w:r>
      <w:r>
        <w:rPr>
          <w:rFonts w:ascii="Arial" w:hAnsi="Arial" w:cs="Arial"/>
          <w:noProof/>
          <w:sz w:val="20"/>
          <w:lang w:val="bg-BG"/>
        </w:rPr>
        <w:t>, с което приканва държавата членка да изпълни изискванията в определен срок.</w:t>
      </w:r>
    </w:p>
    <w:p w:rsidR="006F5B6C" w:rsidRDefault="00284F4D">
      <w:pPr>
        <w:ind w:left="360"/>
        <w:rPr>
          <w:rFonts w:ascii="Arial" w:hAnsi="Arial" w:cs="Arial"/>
          <w:noProof/>
          <w:sz w:val="20"/>
          <w:lang w:val="bg-BG"/>
        </w:rPr>
      </w:pPr>
      <w:r>
        <w:rPr>
          <w:rFonts w:ascii="Arial" w:hAnsi="Arial" w:cs="Arial"/>
          <w:noProof/>
          <w:sz w:val="20"/>
          <w:lang w:val="bg-BG"/>
        </w:rPr>
        <w:t xml:space="preserve">Ако държавата членка не се съобрази с мотивираното становище, Комисията може да започне </w:t>
      </w:r>
      <w:r>
        <w:rPr>
          <w:rFonts w:ascii="Arial" w:hAnsi="Arial" w:cs="Arial"/>
          <w:i/>
          <w:noProof/>
          <w:sz w:val="20"/>
          <w:lang w:val="bg-BG"/>
        </w:rPr>
        <w:t>съдебно производство</w:t>
      </w:r>
      <w:r>
        <w:rPr>
          <w:rFonts w:ascii="Arial" w:hAnsi="Arial" w:cs="Arial"/>
          <w:noProof/>
          <w:sz w:val="20"/>
          <w:lang w:val="bg-BG"/>
        </w:rPr>
        <w:t>, като сезира Съда на Европейския съюз съгласно член 258 от ДФЕС.</w:t>
      </w:r>
    </w:p>
    <w:p w:rsidR="006F5B6C" w:rsidRDefault="00284F4D">
      <w:pPr>
        <w:ind w:left="360"/>
        <w:rPr>
          <w:rFonts w:ascii="Arial" w:hAnsi="Arial" w:cs="Arial"/>
          <w:noProof/>
          <w:sz w:val="20"/>
          <w:lang w:val="bg-BG"/>
        </w:rPr>
      </w:pPr>
      <w:r>
        <w:rPr>
          <w:rFonts w:ascii="Arial" w:hAnsi="Arial" w:cs="Arial"/>
          <w:noProof/>
          <w:sz w:val="20"/>
          <w:lang w:val="bg-BG"/>
        </w:rPr>
        <w:t>Когато сезира Съда за това, че държава членка не е изпълнила задълженията си своевременно да съобщи мерките за транспониране на директива, приета съгласно определена законодателна процедура, Комисията може да предложи финансови санкции съгласно член 260, параграф 3 от ДФЕС.</w:t>
      </w:r>
    </w:p>
    <w:p w:rsidR="006F5B6C" w:rsidRDefault="00284F4D">
      <w:pPr>
        <w:ind w:left="360"/>
        <w:rPr>
          <w:rFonts w:ascii="Arial" w:hAnsi="Arial" w:cs="Arial"/>
          <w:noProof/>
          <w:sz w:val="20"/>
          <w:lang w:val="bg-BG"/>
        </w:rPr>
      </w:pPr>
      <w:r>
        <w:rPr>
          <w:rFonts w:ascii="Arial" w:hAnsi="Arial" w:cs="Arial"/>
          <w:noProof/>
          <w:sz w:val="20"/>
          <w:lang w:val="bg-BG"/>
        </w:rPr>
        <w:t>Съдът може да се съгласи с Комисията и да постанови, че държавата членка е нарушила задълженията си съгласно правото на ЕС. Ако Съдът определи това, но държавата членка все още не предприема необходимите действия, за да се съобрази с това, Комисията може да продължи производството по установяване на неизпълнение на задължения по член 260, параграф 2 от ДФЕС. Това включва предявяване на иск пред Съда срещу държавата членка след изпращане на официално уведомително писмо съгласно член 260, параграф 2 от ДФЕС. В такива случаи Комисията може да предложи, а Съдът може да наложи финансови санкции под формата на еднократно платима сума и/или дневни имуществени санкции или санкции с друг конкретен период.</w:t>
      </w:r>
      <w:bookmarkStart w:id="18" w:name="_Toc437944190"/>
    </w:p>
    <w:p w:rsidR="006F5B6C" w:rsidRPr="00284F4D" w:rsidRDefault="00284F4D">
      <w:pPr>
        <w:ind w:left="360"/>
        <w:rPr>
          <w:rFonts w:ascii="Arial" w:hAnsi="Arial" w:cs="Arial"/>
          <w:noProof/>
          <w:sz w:val="20"/>
          <w:lang w:val="bg-BG"/>
        </w:rPr>
      </w:pPr>
      <w:r>
        <w:rPr>
          <w:rFonts w:ascii="Arial" w:hAnsi="Arial" w:cs="Arial"/>
          <w:noProof/>
          <w:sz w:val="20"/>
          <w:lang w:val="bg-BG"/>
        </w:rPr>
        <w:t xml:space="preserve">Съдът на Европейския съюз може също така са разглежда въпроси, свързани със съответствието на националното законодателство по отношение на законодателството на ЕС в преюдициални заключения по член 267 от ДФЕС по искане на националните </w:t>
      </w:r>
      <w:r>
        <w:rPr>
          <w:rFonts w:ascii="Arial" w:hAnsi="Arial" w:cs="Arial"/>
          <w:noProof/>
          <w:sz w:val="20"/>
          <w:lang w:val="bg-BG"/>
        </w:rPr>
        <w:lastRenderedPageBreak/>
        <w:t>съдилища. Макар преюдициалните заключения да се различават от решенията в производството за установяване на неизпълнение на задължения, това дава на Комисията допълнителна възможност да гарантира отстраняването на нарушенията на правото на Съюза, произтичащи от националното законодателство или неговото прилагане. Комисията систематично проследява преюдициалните заключения в случаите, когато Съдът установи несъответствия на националните законодателства.</w:t>
      </w:r>
    </w:p>
    <w:p w:rsidR="006F5B6C" w:rsidRPr="00284F4D" w:rsidRDefault="00284F4D">
      <w:pPr>
        <w:rPr>
          <w:rFonts w:ascii="Arial" w:hAnsi="Arial" w:cs="Arial"/>
          <w:noProof/>
          <w:sz w:val="20"/>
          <w:lang w:val="bg-BG"/>
        </w:rPr>
      </w:pPr>
      <w:r w:rsidRPr="00284F4D">
        <w:rPr>
          <w:rFonts w:ascii="Arial" w:hAnsi="Arial" w:cs="Arial"/>
          <w:noProof/>
          <w:sz w:val="20"/>
          <w:lang w:val="bg-BG"/>
        </w:rPr>
        <w:br w:type="page"/>
      </w:r>
    </w:p>
    <w:p w:rsidR="006F5B6C" w:rsidRPr="00284F4D" w:rsidRDefault="006F5B6C">
      <w:pPr>
        <w:ind w:left="360"/>
        <w:rPr>
          <w:rFonts w:ascii="Arial" w:hAnsi="Arial" w:cs="Arial"/>
          <w:noProof/>
          <w:sz w:val="20"/>
          <w:lang w:val="bg-BG"/>
        </w:rPr>
      </w:pPr>
    </w:p>
    <w:p w:rsidR="006F5B6C" w:rsidRDefault="00284F4D">
      <w:pPr>
        <w:pStyle w:val="kop2"/>
        <w:ind w:left="720"/>
        <w:rPr>
          <w:caps w:val="0"/>
          <w:noProof/>
          <w:lang w:val="bg-BG"/>
        </w:rPr>
      </w:pPr>
      <w:bookmarkStart w:id="19" w:name="_Toc454443120"/>
      <w:r>
        <w:rPr>
          <w:caps w:val="0"/>
          <w:noProof/>
          <w:lang w:val="bg-BG"/>
        </w:rPr>
        <w:t>Преди започване на производство за установяване на неизпълнение на задължения</w:t>
      </w:r>
      <w:bookmarkEnd w:id="18"/>
      <w:bookmarkEnd w:id="19"/>
    </w:p>
    <w:p w:rsidR="006F5B6C" w:rsidRDefault="00284F4D">
      <w:pPr>
        <w:pStyle w:val="kop3"/>
        <w:numPr>
          <w:ilvl w:val="0"/>
          <w:numId w:val="28"/>
        </w:numPr>
        <w:rPr>
          <w:noProof/>
        </w:rPr>
      </w:pPr>
      <w:bookmarkStart w:id="20" w:name="_Toc437944191"/>
      <w:bookmarkStart w:id="21" w:name="_Toc454443121"/>
      <w:r>
        <w:rPr>
          <w:noProof/>
          <w:lang w:val="bg-BG"/>
        </w:rPr>
        <w:t>Установяване на проблеми</w:t>
      </w:r>
      <w:bookmarkEnd w:id="20"/>
      <w:bookmarkEnd w:id="21"/>
    </w:p>
    <w:p w:rsidR="006F5B6C" w:rsidRDefault="00284F4D">
      <w:pPr>
        <w:pStyle w:val="Kop4"/>
        <w:rPr>
          <w:b w:val="0"/>
          <w:noProof/>
          <w:lang w:val="ru-RU"/>
        </w:rPr>
      </w:pPr>
      <w:bookmarkStart w:id="22" w:name="_Toc437944192"/>
      <w:bookmarkStart w:id="23" w:name="_Toc454443122"/>
      <w:r>
        <w:rPr>
          <w:b w:val="0"/>
          <w:noProof/>
          <w:lang w:val="bg-BG"/>
        </w:rPr>
        <w:t>Образуване на преписки по собствена инициатива</w:t>
      </w:r>
      <w:bookmarkEnd w:id="22"/>
      <w:bookmarkEnd w:id="23"/>
    </w:p>
    <w:p w:rsidR="006F5B6C" w:rsidRDefault="00284F4D">
      <w:pPr>
        <w:ind w:left="709"/>
        <w:rPr>
          <w:rFonts w:ascii="Arial" w:hAnsi="Arial" w:cs="Arial"/>
          <w:noProof/>
          <w:sz w:val="20"/>
          <w:lang w:val="bg-BG"/>
        </w:rPr>
      </w:pPr>
      <w:r>
        <w:rPr>
          <w:rFonts w:ascii="Arial" w:hAnsi="Arial" w:cs="Arial"/>
          <w:noProof/>
          <w:sz w:val="20"/>
          <w:lang w:val="bg-BG"/>
        </w:rPr>
        <w:t xml:space="preserve">Комисията следи за прилагането на законодателството на ЕС главно по своя собствена инициатива. Освен ако поради спешност или наложителен интерес не се изисква друго действие, Комисията обикновено най-напред започва двустранни дискусии със съответната държава членка чрез </w:t>
      </w:r>
      <w:r>
        <w:rPr>
          <w:rFonts w:ascii="Arial" w:hAnsi="Arial" w:cs="Arial"/>
          <w:noProof/>
          <w:sz w:val="20"/>
        </w:rPr>
        <w:t>EU</w:t>
      </w:r>
      <w:r>
        <w:rPr>
          <w:rFonts w:ascii="Arial" w:hAnsi="Arial" w:cs="Arial"/>
          <w:noProof/>
          <w:sz w:val="20"/>
          <w:lang w:val="bg-BG"/>
        </w:rPr>
        <w:t xml:space="preserve"> </w:t>
      </w:r>
      <w:r>
        <w:rPr>
          <w:rFonts w:ascii="Arial" w:hAnsi="Arial" w:cs="Arial"/>
          <w:noProof/>
          <w:sz w:val="20"/>
        </w:rPr>
        <w:t>Pilot</w:t>
      </w:r>
      <w:r>
        <w:rPr>
          <w:rFonts w:ascii="Arial" w:hAnsi="Arial" w:cs="Arial"/>
          <w:noProof/>
          <w:sz w:val="20"/>
          <w:lang w:val="bg-BG"/>
        </w:rPr>
        <w:t xml:space="preserve"> с оглед на намирането на решение, което да е съобразено с правото на ЕС (</w:t>
      </w:r>
      <w:r>
        <w:rPr>
          <w:rFonts w:ascii="Arial" w:hAnsi="Arial" w:cs="Arial"/>
          <w:noProof/>
          <w:sz w:val="20"/>
        </w:rPr>
        <w:t>EU</w:t>
      </w:r>
      <w:r>
        <w:rPr>
          <w:rFonts w:ascii="Arial" w:hAnsi="Arial" w:cs="Arial"/>
          <w:noProof/>
          <w:sz w:val="20"/>
          <w:lang w:val="bg-BG"/>
        </w:rPr>
        <w:t xml:space="preserve"> </w:t>
      </w:r>
      <w:r>
        <w:rPr>
          <w:rFonts w:ascii="Arial" w:hAnsi="Arial" w:cs="Arial"/>
          <w:noProof/>
          <w:sz w:val="20"/>
        </w:rPr>
        <w:t>Pilot</w:t>
      </w:r>
      <w:r>
        <w:rPr>
          <w:rFonts w:ascii="Arial" w:hAnsi="Arial" w:cs="Arial"/>
          <w:noProof/>
          <w:sz w:val="20"/>
          <w:lang w:val="bg-BG"/>
        </w:rPr>
        <w:t xml:space="preserve"> е разяснен в точка 2 по-долу). През2015 г. бяха започнати 578 разследвания в </w:t>
      </w:r>
      <w:r>
        <w:rPr>
          <w:rFonts w:ascii="Arial" w:hAnsi="Arial" w:cs="Arial"/>
          <w:noProof/>
          <w:sz w:val="20"/>
        </w:rPr>
        <w:t>EU</w:t>
      </w:r>
      <w:r>
        <w:rPr>
          <w:rFonts w:ascii="Arial" w:hAnsi="Arial" w:cs="Arial"/>
          <w:noProof/>
          <w:sz w:val="20"/>
          <w:lang w:val="bg-BG"/>
        </w:rPr>
        <w:t xml:space="preserve"> </w:t>
      </w:r>
      <w:r>
        <w:rPr>
          <w:rFonts w:ascii="Arial" w:hAnsi="Arial" w:cs="Arial"/>
          <w:noProof/>
          <w:sz w:val="20"/>
        </w:rPr>
        <w:t>Pilot</w:t>
      </w:r>
      <w:r>
        <w:rPr>
          <w:rFonts w:ascii="Arial" w:hAnsi="Arial" w:cs="Arial"/>
          <w:noProof/>
          <w:sz w:val="20"/>
          <w:lang w:val="bg-BG"/>
        </w:rPr>
        <w:t xml:space="preserve"> (спрямо777 през 2014 г.).</w:t>
      </w:r>
    </w:p>
    <w:p w:rsidR="006F5B6C" w:rsidRDefault="00284F4D">
      <w:pPr>
        <w:spacing w:after="120"/>
        <w:ind w:left="709"/>
        <w:rPr>
          <w:rFonts w:ascii="Arial" w:hAnsi="Arial" w:cs="Arial"/>
          <w:noProof/>
          <w:sz w:val="20"/>
          <w:lang w:val="bg-BG"/>
        </w:rPr>
      </w:pPr>
      <w:r>
        <w:rPr>
          <w:rFonts w:ascii="Arial" w:hAnsi="Arial" w:cs="Arial"/>
          <w:noProof/>
          <w:sz w:val="20"/>
          <w:lang w:val="bg-BG"/>
        </w:rPr>
        <w:t xml:space="preserve">През 2015 г. мобилността и транспортът, енергетиката и околната среда бяха трите области на политиката, в които бяха установени най-голям брой потенциални нарушения (със съответно 96, 84 и77 нови преписки в </w:t>
      </w:r>
      <w:r>
        <w:rPr>
          <w:rFonts w:ascii="Arial" w:hAnsi="Arial" w:cs="Arial"/>
          <w:noProof/>
          <w:sz w:val="20"/>
        </w:rPr>
        <w:t>EU</w:t>
      </w:r>
      <w:r>
        <w:rPr>
          <w:rFonts w:ascii="Arial" w:hAnsi="Arial" w:cs="Arial"/>
          <w:noProof/>
          <w:sz w:val="20"/>
          <w:lang w:val="bg-BG"/>
        </w:rPr>
        <w:t xml:space="preserve"> </w:t>
      </w:r>
      <w:r>
        <w:rPr>
          <w:rFonts w:ascii="Arial" w:hAnsi="Arial" w:cs="Arial"/>
          <w:noProof/>
          <w:sz w:val="20"/>
        </w:rPr>
        <w:t>Pilot</w:t>
      </w:r>
      <w:r>
        <w:rPr>
          <w:rFonts w:ascii="Arial" w:hAnsi="Arial" w:cs="Arial"/>
          <w:noProof/>
          <w:sz w:val="20"/>
          <w:lang w:val="bg-BG"/>
        </w:rPr>
        <w:t xml:space="preserve">). Основните засегнати държави членки бяха Италия, Португалия и Германия (със съответно 37, 30 и 28 нови преписки в </w:t>
      </w:r>
      <w:r>
        <w:rPr>
          <w:rFonts w:ascii="Arial" w:hAnsi="Arial" w:cs="Arial"/>
          <w:noProof/>
          <w:sz w:val="20"/>
        </w:rPr>
        <w:t>EU</w:t>
      </w:r>
      <w:r>
        <w:rPr>
          <w:rFonts w:ascii="Arial" w:hAnsi="Arial" w:cs="Arial"/>
          <w:noProof/>
          <w:sz w:val="20"/>
          <w:lang w:val="bg-BG"/>
        </w:rPr>
        <w:t xml:space="preserve"> </w:t>
      </w:r>
      <w:r>
        <w:rPr>
          <w:rFonts w:ascii="Arial" w:hAnsi="Arial" w:cs="Arial"/>
          <w:noProof/>
          <w:sz w:val="20"/>
        </w:rPr>
        <w:t>Pilot</w:t>
      </w:r>
      <w:r>
        <w:rPr>
          <w:rFonts w:ascii="Arial" w:hAnsi="Arial" w:cs="Arial"/>
          <w:noProof/>
          <w:sz w:val="20"/>
          <w:lang w:val="bg-BG"/>
        </w:rPr>
        <w:t>).</w:t>
      </w:r>
    </w:p>
    <w:p w:rsidR="006F5B6C" w:rsidRDefault="00284F4D">
      <w:pPr>
        <w:pStyle w:val="Kop4"/>
        <w:rPr>
          <w:b w:val="0"/>
          <w:noProof/>
        </w:rPr>
      </w:pPr>
      <w:bookmarkStart w:id="24" w:name="_Toc437944193"/>
      <w:bookmarkStart w:id="25" w:name="_Toc454443123"/>
      <w:r>
        <w:rPr>
          <w:b w:val="0"/>
          <w:noProof/>
          <w:lang w:val="bg-BG"/>
        </w:rPr>
        <w:t>Жалби и петиции</w:t>
      </w:r>
      <w:bookmarkEnd w:id="24"/>
      <w:bookmarkEnd w:id="25"/>
    </w:p>
    <w:p w:rsidR="006F5B6C" w:rsidRDefault="00284F4D">
      <w:pPr>
        <w:ind w:left="709"/>
        <w:rPr>
          <w:rFonts w:ascii="Arial" w:hAnsi="Arial" w:cs="Arial"/>
          <w:noProof/>
          <w:sz w:val="20"/>
          <w:lang w:val="bg-BG"/>
        </w:rPr>
      </w:pPr>
      <w:r>
        <w:rPr>
          <w:rFonts w:ascii="Arial" w:hAnsi="Arial" w:cs="Arial"/>
          <w:noProof/>
          <w:sz w:val="20"/>
          <w:lang w:val="bg-BG"/>
        </w:rPr>
        <w:t>През</w:t>
      </w:r>
      <w:r>
        <w:rPr>
          <w:rFonts w:ascii="Arial" w:hAnsi="Arial" w:cs="Arial"/>
          <w:noProof/>
          <w:sz w:val="20"/>
          <w:lang w:val="ru-RU"/>
        </w:rPr>
        <w:t xml:space="preserve"> 2015</w:t>
      </w:r>
      <w:r>
        <w:rPr>
          <w:rFonts w:ascii="Arial" w:hAnsi="Arial" w:cs="Arial"/>
          <w:noProof/>
          <w:sz w:val="20"/>
          <w:lang w:val="bg-BG"/>
        </w:rPr>
        <w:t> г. граждани, предприятия, неправителствени и други организации продължиха активно да сигнализират за потенциални нарушения на правото на ЕС</w:t>
      </w:r>
      <w:r>
        <w:rPr>
          <w:rFonts w:ascii="Arial" w:hAnsi="Arial" w:cs="Arial"/>
          <w:noProof/>
          <w:sz w:val="20"/>
          <w:lang w:val="ru-RU"/>
        </w:rPr>
        <w:t>.</w:t>
      </w:r>
      <w:r>
        <w:rPr>
          <w:rFonts w:ascii="Arial" w:hAnsi="Arial" w:cs="Arial"/>
          <w:noProof/>
          <w:sz w:val="20"/>
          <w:lang w:val="bg-BG"/>
        </w:rPr>
        <w:t xml:space="preserve"> Броят на новите жалби обаче е намалял за първи път от 2011 г. насам (с около 9 % спрямо 2014 г.).</w:t>
      </w:r>
    </w:p>
    <w:p w:rsidR="006F5B6C" w:rsidRDefault="00284F4D">
      <w:pPr>
        <w:pStyle w:val="Body"/>
        <w:ind w:firstLine="352"/>
        <w:rPr>
          <w:noProof/>
        </w:rPr>
      </w:pPr>
      <w:r>
        <w:rPr>
          <w:noProof/>
          <w:lang w:eastAsia="en-GB"/>
        </w:rPr>
        <w:drawing>
          <wp:inline distT="0" distB="0" distL="0" distR="0">
            <wp:extent cx="4546600" cy="2419350"/>
            <wp:effectExtent l="0" t="0" r="6350" b="0"/>
            <wp:docPr id="28" name="Grafie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F5B6C" w:rsidRDefault="00284F4D">
      <w:pPr>
        <w:pStyle w:val="Body"/>
        <w:spacing w:after="120"/>
        <w:rPr>
          <w:rStyle w:val="Strong"/>
          <w:i w:val="0"/>
          <w:noProof/>
          <w:color w:val="auto"/>
          <w:spacing w:val="-4"/>
          <w:lang w:val="ru-RU"/>
        </w:rPr>
      </w:pPr>
      <w:r>
        <w:rPr>
          <w:rStyle w:val="Strong"/>
          <w:i w:val="0"/>
          <w:noProof/>
          <w:color w:val="auto"/>
          <w:spacing w:val="-4"/>
          <w:lang w:val="bg-BG"/>
        </w:rPr>
        <w:t>Представената по-долу графика показва също така ключови данни за жалбите от граждани</w:t>
      </w:r>
      <w:r>
        <w:rPr>
          <w:rStyle w:val="Strong"/>
          <w:i w:val="0"/>
          <w:noProof/>
          <w:color w:val="auto"/>
          <w:spacing w:val="-4"/>
          <w:lang w:val="ru-RU"/>
        </w:rPr>
        <w:t>:</w:t>
      </w:r>
      <w:r>
        <w:rPr>
          <w:rStyle w:val="FootnoteReference"/>
          <w:noProof/>
          <w:spacing w:val="-4"/>
        </w:rPr>
        <w:footnoteReference w:id="100"/>
      </w:r>
    </w:p>
    <w:p w:rsidR="006F5B6C" w:rsidRDefault="00284F4D">
      <w:pPr>
        <w:pStyle w:val="Body"/>
        <w:spacing w:after="120"/>
        <w:ind w:left="0"/>
        <w:jc w:val="center"/>
        <w:rPr>
          <w:rStyle w:val="Strong"/>
          <w:noProof/>
          <w:lang w:val="ru-RU"/>
        </w:rPr>
      </w:pPr>
      <w:r>
        <w:rPr>
          <w:noProof/>
          <w:color w:val="002060"/>
          <w:sz w:val="22"/>
          <w:szCs w:val="22"/>
          <w:lang w:val="bg-BG"/>
        </w:rPr>
        <w:t>Неприключени жалби от граждани към края на годината</w:t>
      </w:r>
    </w:p>
    <w:tbl>
      <w:tblPr>
        <w:tblStyle w:val="Style1"/>
        <w:tblW w:w="0" w:type="auto"/>
        <w:jc w:val="center"/>
        <w:tblInd w:w="1891" w:type="dxa"/>
        <w:tblLook w:val="04A0" w:firstRow="1" w:lastRow="0" w:firstColumn="1" w:lastColumn="0" w:noHBand="0" w:noVBand="1"/>
      </w:tblPr>
      <w:tblGrid>
        <w:gridCol w:w="1766"/>
        <w:gridCol w:w="333"/>
        <w:gridCol w:w="4617"/>
      </w:tblGrid>
      <w:tr w:rsidR="006F5B6C">
        <w:trPr>
          <w:trHeight w:val="368"/>
          <w:jc w:val="center"/>
        </w:trPr>
        <w:tc>
          <w:tcPr>
            <w:tcW w:w="1766" w:type="dxa"/>
            <w:vAlign w:val="center"/>
          </w:tcPr>
          <w:p w:rsidR="006F5B6C" w:rsidRDefault="00284F4D">
            <w:pPr>
              <w:spacing w:after="0"/>
              <w:ind w:right="-25"/>
              <w:jc w:val="right"/>
              <w:rPr>
                <w:rFonts w:ascii="Arial" w:hAnsi="Arial" w:cs="Arial"/>
                <w:noProof/>
                <w:color w:val="548DD4" w:themeColor="text2" w:themeTint="99"/>
                <w:sz w:val="20"/>
                <w:szCs w:val="28"/>
              </w:rPr>
            </w:pPr>
            <w:r>
              <w:rPr>
                <w:rFonts w:ascii="Arial" w:hAnsi="Arial" w:cs="Arial"/>
                <w:noProof/>
                <w:color w:val="548DD4" w:themeColor="text2" w:themeTint="99"/>
                <w:sz w:val="20"/>
                <w:szCs w:val="28"/>
              </w:rPr>
              <w:t>2963</w:t>
            </w:r>
          </w:p>
        </w:tc>
        <w:tc>
          <w:tcPr>
            <w:tcW w:w="282" w:type="dxa"/>
            <w:vAlign w:val="center"/>
          </w:tcPr>
          <w:p w:rsidR="006F5B6C" w:rsidRDefault="00284F4D">
            <w:pPr>
              <w:spacing w:after="0"/>
              <w:jc w:val="right"/>
              <w:rPr>
                <w:rFonts w:ascii="Arial" w:hAnsi="Arial" w:cs="Arial"/>
                <w:noProof/>
                <w:color w:val="548DD4" w:themeColor="text2" w:themeTint="99"/>
                <w:sz w:val="20"/>
                <w:szCs w:val="28"/>
              </w:rPr>
            </w:pPr>
            <w:r>
              <w:rPr>
                <w:rFonts w:ascii="Arial" w:hAnsi="Arial" w:cs="Arial"/>
                <w:noProof/>
                <w:color w:val="548DD4" w:themeColor="text2" w:themeTint="99"/>
                <w:sz w:val="20"/>
                <w:szCs w:val="28"/>
              </w:rPr>
              <w:t>&gt;</w:t>
            </w:r>
          </w:p>
        </w:tc>
        <w:tc>
          <w:tcPr>
            <w:tcW w:w="4617" w:type="dxa"/>
            <w:vAlign w:val="center"/>
          </w:tcPr>
          <w:p w:rsidR="006F5B6C" w:rsidRDefault="00284F4D">
            <w:pPr>
              <w:spacing w:after="0"/>
              <w:jc w:val="left"/>
              <w:rPr>
                <w:rFonts w:ascii="Arial" w:hAnsi="Arial" w:cs="Arial"/>
                <w:noProof/>
                <w:color w:val="548DD4" w:themeColor="text2" w:themeTint="99"/>
                <w:sz w:val="20"/>
                <w:szCs w:val="28"/>
                <w:lang w:val="bg-BG"/>
              </w:rPr>
            </w:pPr>
            <w:r>
              <w:rPr>
                <w:rFonts w:ascii="Arial" w:hAnsi="Arial" w:cs="Arial"/>
                <w:noProof/>
                <w:color w:val="548DD4" w:themeColor="text2" w:themeTint="99"/>
                <w:sz w:val="20"/>
                <w:szCs w:val="28"/>
                <w:lang w:val="bg-BG"/>
              </w:rPr>
              <w:t>Неприключени жалби към края на 2014 г.</w:t>
            </w:r>
          </w:p>
        </w:tc>
      </w:tr>
      <w:tr w:rsidR="006F5B6C">
        <w:trPr>
          <w:trHeight w:val="368"/>
          <w:jc w:val="center"/>
        </w:trPr>
        <w:tc>
          <w:tcPr>
            <w:tcW w:w="1766" w:type="dxa"/>
            <w:vAlign w:val="center"/>
          </w:tcPr>
          <w:p w:rsidR="006F5B6C" w:rsidRDefault="00284F4D">
            <w:pPr>
              <w:spacing w:after="0"/>
              <w:ind w:right="-25"/>
              <w:jc w:val="right"/>
              <w:rPr>
                <w:rFonts w:ascii="Arial" w:hAnsi="Arial" w:cs="Arial"/>
                <w:noProof/>
                <w:color w:val="548DD4" w:themeColor="text2" w:themeTint="99"/>
                <w:sz w:val="20"/>
                <w:szCs w:val="28"/>
              </w:rPr>
            </w:pPr>
            <w:r>
              <w:rPr>
                <w:rFonts w:ascii="Arial" w:hAnsi="Arial" w:cs="Arial"/>
                <w:noProof/>
                <w:color w:val="548DD4" w:themeColor="text2" w:themeTint="99"/>
                <w:sz w:val="20"/>
                <w:szCs w:val="28"/>
              </w:rPr>
              <w:t>3450</w:t>
            </w:r>
          </w:p>
        </w:tc>
        <w:tc>
          <w:tcPr>
            <w:tcW w:w="282" w:type="dxa"/>
            <w:vAlign w:val="center"/>
          </w:tcPr>
          <w:p w:rsidR="006F5B6C" w:rsidRDefault="00284F4D">
            <w:pPr>
              <w:spacing w:after="0"/>
              <w:jc w:val="right"/>
              <w:rPr>
                <w:rFonts w:ascii="Arial" w:hAnsi="Arial" w:cs="Arial"/>
                <w:noProof/>
                <w:color w:val="548DD4" w:themeColor="text2" w:themeTint="99"/>
                <w:sz w:val="20"/>
                <w:szCs w:val="28"/>
              </w:rPr>
            </w:pPr>
            <w:r>
              <w:rPr>
                <w:rFonts w:ascii="Arial" w:hAnsi="Arial" w:cs="Arial"/>
                <w:noProof/>
                <w:color w:val="548DD4" w:themeColor="text2" w:themeTint="99"/>
                <w:sz w:val="20"/>
                <w:szCs w:val="28"/>
              </w:rPr>
              <w:t>&gt;</w:t>
            </w:r>
          </w:p>
        </w:tc>
        <w:tc>
          <w:tcPr>
            <w:tcW w:w="4617" w:type="dxa"/>
            <w:vAlign w:val="center"/>
          </w:tcPr>
          <w:p w:rsidR="006F5B6C" w:rsidRDefault="00284F4D">
            <w:pPr>
              <w:spacing w:after="0"/>
              <w:jc w:val="left"/>
              <w:rPr>
                <w:rFonts w:ascii="Arial" w:hAnsi="Arial" w:cs="Arial"/>
                <w:noProof/>
                <w:color w:val="548DD4" w:themeColor="text2" w:themeTint="99"/>
                <w:sz w:val="20"/>
                <w:szCs w:val="28"/>
                <w:lang w:val="bg-BG"/>
              </w:rPr>
            </w:pPr>
            <w:r>
              <w:rPr>
                <w:rFonts w:ascii="Arial" w:hAnsi="Arial" w:cs="Arial"/>
                <w:noProof/>
                <w:color w:val="548DD4" w:themeColor="text2" w:themeTint="99"/>
                <w:sz w:val="20"/>
                <w:szCs w:val="28"/>
                <w:lang w:val="bg-BG"/>
              </w:rPr>
              <w:t xml:space="preserve">Нови жалби регистрирани през </w:t>
            </w:r>
            <w:r>
              <w:rPr>
                <w:rFonts w:ascii="Arial" w:hAnsi="Arial" w:cs="Arial"/>
                <w:noProof/>
                <w:color w:val="548DD4" w:themeColor="text2" w:themeTint="99"/>
                <w:sz w:val="20"/>
                <w:szCs w:val="28"/>
                <w:lang w:val="ru-RU"/>
              </w:rPr>
              <w:t>2015</w:t>
            </w:r>
            <w:r>
              <w:rPr>
                <w:rFonts w:ascii="Arial" w:hAnsi="Arial" w:cs="Arial"/>
                <w:noProof/>
                <w:color w:val="548DD4" w:themeColor="text2" w:themeTint="99"/>
                <w:sz w:val="20"/>
                <w:szCs w:val="28"/>
                <w:lang w:val="bg-BG"/>
              </w:rPr>
              <w:t> г.</w:t>
            </w:r>
          </w:p>
        </w:tc>
      </w:tr>
      <w:tr w:rsidR="006F5B6C">
        <w:trPr>
          <w:trHeight w:val="368"/>
          <w:jc w:val="center"/>
        </w:trPr>
        <w:tc>
          <w:tcPr>
            <w:tcW w:w="1766" w:type="dxa"/>
            <w:vAlign w:val="center"/>
          </w:tcPr>
          <w:p w:rsidR="006F5B6C" w:rsidRDefault="00284F4D">
            <w:pPr>
              <w:spacing w:after="0"/>
              <w:ind w:right="-25"/>
              <w:jc w:val="right"/>
              <w:rPr>
                <w:rFonts w:ascii="Arial" w:hAnsi="Arial" w:cs="Arial"/>
                <w:noProof/>
                <w:color w:val="548DD4" w:themeColor="text2" w:themeTint="99"/>
                <w:sz w:val="20"/>
                <w:szCs w:val="28"/>
              </w:rPr>
            </w:pPr>
            <w:r>
              <w:rPr>
                <w:rFonts w:ascii="Arial" w:hAnsi="Arial" w:cs="Arial"/>
                <w:noProof/>
                <w:color w:val="548DD4" w:themeColor="text2" w:themeTint="99"/>
                <w:sz w:val="20"/>
                <w:szCs w:val="28"/>
              </w:rPr>
              <w:t>3315</w:t>
            </w:r>
          </w:p>
        </w:tc>
        <w:tc>
          <w:tcPr>
            <w:tcW w:w="282" w:type="dxa"/>
            <w:vAlign w:val="center"/>
          </w:tcPr>
          <w:p w:rsidR="006F5B6C" w:rsidRDefault="00284F4D">
            <w:pPr>
              <w:spacing w:after="0"/>
              <w:jc w:val="right"/>
              <w:rPr>
                <w:rFonts w:ascii="Arial" w:hAnsi="Arial" w:cs="Arial"/>
                <w:noProof/>
                <w:color w:val="548DD4" w:themeColor="text2" w:themeTint="99"/>
                <w:sz w:val="20"/>
                <w:szCs w:val="28"/>
              </w:rPr>
            </w:pPr>
            <w:r>
              <w:rPr>
                <w:rFonts w:ascii="Arial" w:hAnsi="Arial" w:cs="Arial"/>
                <w:noProof/>
                <w:color w:val="548DD4" w:themeColor="text2" w:themeTint="99"/>
                <w:sz w:val="20"/>
                <w:szCs w:val="28"/>
              </w:rPr>
              <w:t>&gt;</w:t>
            </w:r>
          </w:p>
        </w:tc>
        <w:tc>
          <w:tcPr>
            <w:tcW w:w="4617" w:type="dxa"/>
            <w:vAlign w:val="center"/>
          </w:tcPr>
          <w:p w:rsidR="006F5B6C" w:rsidRDefault="00284F4D">
            <w:pPr>
              <w:spacing w:after="0"/>
              <w:jc w:val="left"/>
              <w:rPr>
                <w:rFonts w:ascii="Arial" w:hAnsi="Arial" w:cs="Arial"/>
                <w:noProof/>
                <w:color w:val="548DD4" w:themeColor="text2" w:themeTint="99"/>
                <w:sz w:val="20"/>
                <w:szCs w:val="28"/>
                <w:lang w:val="bg-BG"/>
              </w:rPr>
            </w:pPr>
            <w:r>
              <w:rPr>
                <w:rFonts w:ascii="Arial" w:hAnsi="Arial" w:cs="Arial"/>
                <w:noProof/>
                <w:color w:val="548DD4" w:themeColor="text2" w:themeTint="99"/>
                <w:sz w:val="20"/>
                <w:szCs w:val="28"/>
                <w:lang w:val="bg-BG"/>
              </w:rPr>
              <w:t>Разгледани жалби през</w:t>
            </w:r>
            <w:r>
              <w:rPr>
                <w:rFonts w:ascii="Arial" w:hAnsi="Arial" w:cs="Arial"/>
                <w:noProof/>
                <w:color w:val="548DD4" w:themeColor="text2" w:themeTint="99"/>
                <w:sz w:val="20"/>
                <w:szCs w:val="28"/>
              </w:rPr>
              <w:t xml:space="preserve"> 2015</w:t>
            </w:r>
            <w:r>
              <w:rPr>
                <w:rFonts w:ascii="Arial" w:hAnsi="Arial" w:cs="Arial"/>
                <w:noProof/>
                <w:color w:val="548DD4" w:themeColor="text2" w:themeTint="99"/>
                <w:sz w:val="20"/>
                <w:szCs w:val="28"/>
                <w:lang w:val="bg-BG"/>
              </w:rPr>
              <w:t> г.</w:t>
            </w:r>
          </w:p>
        </w:tc>
      </w:tr>
      <w:tr w:rsidR="006F5B6C">
        <w:trPr>
          <w:trHeight w:val="368"/>
          <w:jc w:val="center"/>
        </w:trPr>
        <w:tc>
          <w:tcPr>
            <w:tcW w:w="1766" w:type="dxa"/>
            <w:vAlign w:val="center"/>
          </w:tcPr>
          <w:p w:rsidR="006F5B6C" w:rsidRDefault="00284F4D">
            <w:pPr>
              <w:spacing w:after="0"/>
              <w:ind w:right="-25"/>
              <w:jc w:val="right"/>
              <w:rPr>
                <w:rFonts w:ascii="Arial" w:hAnsi="Arial" w:cs="Arial"/>
                <w:noProof/>
                <w:color w:val="C00000"/>
                <w:sz w:val="20"/>
                <w:szCs w:val="28"/>
              </w:rPr>
            </w:pPr>
            <w:r>
              <w:rPr>
                <w:rFonts w:ascii="Arial" w:hAnsi="Arial" w:cs="Arial"/>
                <w:noProof/>
                <w:color w:val="C00000"/>
                <w:sz w:val="20"/>
                <w:szCs w:val="28"/>
              </w:rPr>
              <w:t>= 3098</w:t>
            </w:r>
          </w:p>
        </w:tc>
        <w:tc>
          <w:tcPr>
            <w:tcW w:w="282" w:type="dxa"/>
            <w:vAlign w:val="center"/>
          </w:tcPr>
          <w:p w:rsidR="006F5B6C" w:rsidRDefault="00284F4D">
            <w:pPr>
              <w:spacing w:after="0"/>
              <w:jc w:val="right"/>
              <w:rPr>
                <w:rFonts w:ascii="Arial" w:hAnsi="Arial" w:cs="Arial"/>
                <w:noProof/>
                <w:color w:val="548DD4" w:themeColor="text2" w:themeTint="99"/>
                <w:sz w:val="20"/>
                <w:szCs w:val="28"/>
              </w:rPr>
            </w:pPr>
            <w:r>
              <w:rPr>
                <w:rFonts w:ascii="Arial" w:hAnsi="Arial" w:cs="Arial"/>
                <w:noProof/>
                <w:color w:val="548DD4" w:themeColor="text2" w:themeTint="99"/>
                <w:sz w:val="20"/>
                <w:szCs w:val="28"/>
              </w:rPr>
              <w:t>&gt;</w:t>
            </w:r>
          </w:p>
        </w:tc>
        <w:tc>
          <w:tcPr>
            <w:tcW w:w="4617" w:type="dxa"/>
            <w:vAlign w:val="center"/>
          </w:tcPr>
          <w:p w:rsidR="006F5B6C" w:rsidRDefault="00284F4D">
            <w:pPr>
              <w:spacing w:after="0"/>
              <w:jc w:val="left"/>
              <w:rPr>
                <w:rFonts w:ascii="Arial" w:hAnsi="Arial" w:cs="Arial"/>
                <w:noProof/>
                <w:color w:val="548DD4" w:themeColor="text2" w:themeTint="99"/>
                <w:sz w:val="20"/>
                <w:szCs w:val="28"/>
                <w:lang w:val="bg-BG"/>
              </w:rPr>
            </w:pPr>
            <w:r>
              <w:rPr>
                <w:rFonts w:ascii="Arial" w:hAnsi="Arial" w:cs="Arial"/>
                <w:noProof/>
                <w:color w:val="548DD4" w:themeColor="text2" w:themeTint="99"/>
                <w:sz w:val="20"/>
                <w:szCs w:val="28"/>
                <w:lang w:val="bg-BG"/>
              </w:rPr>
              <w:t xml:space="preserve">Неприключени жалби към края на </w:t>
            </w:r>
            <w:r>
              <w:rPr>
                <w:rFonts w:ascii="Arial" w:hAnsi="Arial" w:cs="Arial"/>
                <w:noProof/>
                <w:color w:val="548DD4" w:themeColor="text2" w:themeTint="99"/>
                <w:sz w:val="20"/>
                <w:szCs w:val="28"/>
                <w:lang w:val="ru-RU"/>
              </w:rPr>
              <w:t>2015</w:t>
            </w:r>
            <w:r>
              <w:rPr>
                <w:rFonts w:ascii="Arial" w:hAnsi="Arial" w:cs="Arial"/>
                <w:noProof/>
                <w:color w:val="548DD4" w:themeColor="text2" w:themeTint="99"/>
                <w:sz w:val="20"/>
                <w:szCs w:val="28"/>
                <w:lang w:val="bg-BG"/>
              </w:rPr>
              <w:t> г.</w:t>
            </w:r>
          </w:p>
        </w:tc>
      </w:tr>
    </w:tbl>
    <w:p w:rsidR="006F5B6C" w:rsidRDefault="00284F4D">
      <w:pPr>
        <w:spacing w:before="120"/>
        <w:ind w:left="709"/>
        <w:rPr>
          <w:rFonts w:ascii="Arial" w:hAnsi="Arial" w:cs="Arial"/>
          <w:noProof/>
          <w:sz w:val="20"/>
          <w:lang w:val="bg-BG"/>
        </w:rPr>
      </w:pPr>
      <w:r>
        <w:rPr>
          <w:rFonts w:ascii="Arial" w:hAnsi="Arial" w:cs="Arial"/>
          <w:b/>
          <w:noProof/>
          <w:sz w:val="20"/>
          <w:lang w:val="bg-BG"/>
        </w:rPr>
        <w:lastRenderedPageBreak/>
        <w:t xml:space="preserve">През 2015 г. бяха регистрирани </w:t>
      </w:r>
      <w:r>
        <w:rPr>
          <w:rFonts w:ascii="Arial" w:hAnsi="Arial" w:cs="Arial"/>
          <w:b/>
          <w:noProof/>
          <w:sz w:val="20"/>
          <w:lang w:val="ru-RU"/>
        </w:rPr>
        <w:t>3</w:t>
      </w:r>
      <w:r>
        <w:rPr>
          <w:rFonts w:ascii="Arial" w:hAnsi="Arial" w:cs="Arial"/>
          <w:b/>
          <w:noProof/>
          <w:w w:val="50"/>
          <w:sz w:val="20"/>
        </w:rPr>
        <w:t> </w:t>
      </w:r>
      <w:r>
        <w:rPr>
          <w:rFonts w:ascii="Arial" w:hAnsi="Arial" w:cs="Arial"/>
          <w:b/>
          <w:noProof/>
          <w:sz w:val="20"/>
          <w:lang w:val="ru-RU"/>
        </w:rPr>
        <w:t>450</w:t>
      </w:r>
      <w:r>
        <w:rPr>
          <w:rFonts w:ascii="Arial" w:hAnsi="Arial" w:cs="Arial"/>
          <w:b/>
          <w:noProof/>
          <w:sz w:val="20"/>
          <w:lang w:val="bg-BG"/>
        </w:rPr>
        <w:t> нови жалби</w:t>
      </w:r>
      <w:r>
        <w:rPr>
          <w:rFonts w:ascii="Arial" w:hAnsi="Arial" w:cs="Arial"/>
          <w:b/>
          <w:noProof/>
          <w:sz w:val="20"/>
          <w:lang w:val="ru-RU"/>
        </w:rPr>
        <w:t>.</w:t>
      </w:r>
      <w:r>
        <w:rPr>
          <w:rFonts w:ascii="Arial" w:hAnsi="Arial" w:cs="Arial"/>
          <w:b/>
          <w:noProof/>
          <w:sz w:val="20"/>
          <w:lang w:val="bg-BG"/>
        </w:rPr>
        <w:t xml:space="preserve"> </w:t>
      </w:r>
      <w:r>
        <w:rPr>
          <w:rFonts w:ascii="Arial" w:hAnsi="Arial" w:cs="Arial"/>
          <w:noProof/>
          <w:sz w:val="20"/>
          <w:lang w:val="bg-BG"/>
        </w:rPr>
        <w:t>Трите държави членки, срещу които бяха заведени най-много жалби, са Италия, Испания и Германия.</w:t>
      </w:r>
    </w:p>
    <w:p w:rsidR="006F5B6C" w:rsidRDefault="00284F4D">
      <w:pPr>
        <w:spacing w:after="120"/>
        <w:ind w:left="1440" w:hanging="731"/>
        <w:rPr>
          <w:rFonts w:ascii="Arial" w:hAnsi="Arial" w:cs="Arial"/>
          <w:noProof/>
          <w:sz w:val="20"/>
          <w:lang w:val="bg-BG"/>
        </w:rPr>
      </w:pPr>
      <w:r>
        <w:rPr>
          <w:rFonts w:ascii="Arial" w:hAnsi="Arial" w:cs="Arial"/>
          <w:noProof/>
          <w:sz w:val="20"/>
          <w:lang w:val="bg-BG"/>
        </w:rPr>
        <w:t>•</w:t>
      </w:r>
      <w:r>
        <w:rPr>
          <w:rFonts w:ascii="Arial" w:hAnsi="Arial" w:cs="Arial"/>
          <w:noProof/>
          <w:sz w:val="20"/>
          <w:lang w:val="bg-BG"/>
        </w:rPr>
        <w:tab/>
      </w:r>
      <w:r>
        <w:rPr>
          <w:rFonts w:ascii="Arial" w:hAnsi="Arial" w:cs="Arial"/>
          <w:b/>
          <w:noProof/>
          <w:sz w:val="20"/>
          <w:lang w:val="bg-BG"/>
        </w:rPr>
        <w:t xml:space="preserve">Италия: </w:t>
      </w:r>
      <w:r>
        <w:rPr>
          <w:rFonts w:ascii="Arial" w:hAnsi="Arial" w:cs="Arial"/>
          <w:noProof/>
          <w:sz w:val="20"/>
          <w:lang w:val="bg-BG"/>
        </w:rPr>
        <w:t>637 жалби, от които повечето са свързани с: трудовата заетост, социалните въпроси и приобщаването (286 жалби), данъчното облагане и митническия съюз (69 жалби), и вътрешния пазар, промишлеността, предприемачеството и МСП (64 жалби);</w:t>
      </w:r>
    </w:p>
    <w:p w:rsidR="006F5B6C" w:rsidRDefault="00284F4D">
      <w:pPr>
        <w:spacing w:after="120"/>
        <w:ind w:left="1440" w:hanging="731"/>
        <w:rPr>
          <w:rFonts w:ascii="Arial" w:hAnsi="Arial" w:cs="Arial"/>
          <w:noProof/>
          <w:sz w:val="20"/>
          <w:lang w:val="bg-BG"/>
        </w:rPr>
      </w:pPr>
      <w:r>
        <w:rPr>
          <w:rFonts w:ascii="Arial" w:hAnsi="Arial" w:cs="Arial"/>
          <w:noProof/>
          <w:sz w:val="20"/>
          <w:lang w:val="bg-BG"/>
        </w:rPr>
        <w:t>•</w:t>
      </w:r>
      <w:r>
        <w:rPr>
          <w:rFonts w:ascii="Arial" w:hAnsi="Arial" w:cs="Arial"/>
          <w:noProof/>
          <w:sz w:val="20"/>
          <w:lang w:val="bg-BG"/>
        </w:rPr>
        <w:tab/>
      </w:r>
      <w:r>
        <w:rPr>
          <w:rFonts w:ascii="Arial" w:hAnsi="Arial" w:cs="Arial"/>
          <w:b/>
          <w:noProof/>
          <w:sz w:val="20"/>
          <w:lang w:val="bg-BG"/>
        </w:rPr>
        <w:t xml:space="preserve">Испания: </w:t>
      </w:r>
      <w:r>
        <w:rPr>
          <w:rFonts w:ascii="Arial" w:hAnsi="Arial" w:cs="Arial"/>
          <w:noProof/>
          <w:sz w:val="20"/>
          <w:lang w:val="bg-BG"/>
        </w:rPr>
        <w:t>342 жалби, най-вече във връзка с: трудовата заетост, социалните въпроси и приобщаването (66 жалби), правосъдието и потребителите (65 жалби), и вътрешния пазар, промишлеността, предприемачеството и МСП (59 жалби), и</w:t>
      </w:r>
    </w:p>
    <w:p w:rsidR="006F5B6C" w:rsidRDefault="00284F4D">
      <w:pPr>
        <w:ind w:left="1440" w:hanging="731"/>
        <w:rPr>
          <w:rFonts w:ascii="Arial" w:hAnsi="Arial" w:cs="Arial"/>
          <w:noProof/>
          <w:sz w:val="20"/>
          <w:lang w:val="bg-BG"/>
        </w:rPr>
      </w:pPr>
      <w:r>
        <w:rPr>
          <w:rFonts w:ascii="Arial" w:hAnsi="Arial" w:cs="Arial"/>
          <w:noProof/>
          <w:sz w:val="20"/>
          <w:lang w:val="bg-BG"/>
        </w:rPr>
        <w:t>•</w:t>
      </w:r>
      <w:r>
        <w:rPr>
          <w:rFonts w:ascii="Arial" w:hAnsi="Arial" w:cs="Arial"/>
          <w:noProof/>
          <w:sz w:val="20"/>
          <w:lang w:val="bg-BG"/>
        </w:rPr>
        <w:tab/>
      </w:r>
      <w:r>
        <w:rPr>
          <w:rFonts w:ascii="Arial" w:hAnsi="Arial" w:cs="Arial"/>
          <w:b/>
          <w:noProof/>
          <w:sz w:val="20"/>
          <w:lang w:val="bg-BG"/>
        </w:rPr>
        <w:t xml:space="preserve">Германия: </w:t>
      </w:r>
      <w:r>
        <w:rPr>
          <w:rFonts w:ascii="Arial" w:hAnsi="Arial" w:cs="Arial"/>
          <w:noProof/>
          <w:sz w:val="20"/>
          <w:lang w:val="bg-BG"/>
        </w:rPr>
        <w:t>274 жалби, свързани предимно с: правосъдието и потребителите (48 жалби), данъчното облагане и митническия съюз (36 жалби), и вътрешния пазар, промишлеността, предприемачеството и МСП (32 жалби).</w:t>
      </w:r>
    </w:p>
    <w:p w:rsidR="006F5B6C" w:rsidRDefault="00284F4D">
      <w:pPr>
        <w:spacing w:after="120"/>
        <w:ind w:left="709"/>
        <w:rPr>
          <w:rFonts w:ascii="Arial" w:hAnsi="Arial" w:cs="Arial"/>
          <w:noProof/>
          <w:sz w:val="20"/>
          <w:lang w:val="bg-BG"/>
        </w:rPr>
      </w:pPr>
      <w:r>
        <w:rPr>
          <w:rFonts w:ascii="Arial" w:hAnsi="Arial" w:cs="Arial"/>
          <w:noProof/>
          <w:sz w:val="20"/>
          <w:lang w:val="bg-BG" w:bidi="bg-BG"/>
        </w:rPr>
        <w:t xml:space="preserve">В таблицата по-долу са показани петте области на политиката, във връзка с които има най-голям брой нови жалби. Заедно те представляват </w:t>
      </w:r>
      <w:r>
        <w:rPr>
          <w:rFonts w:ascii="Arial" w:hAnsi="Arial" w:cs="Arial"/>
          <w:noProof/>
          <w:sz w:val="20"/>
          <w:lang w:val="bg-BG"/>
        </w:rPr>
        <w:t>72</w:t>
      </w:r>
      <w:r>
        <w:rPr>
          <w:rFonts w:ascii="Arial" w:hAnsi="Arial" w:cs="Arial"/>
          <w:noProof/>
          <w:w w:val="50"/>
          <w:sz w:val="20"/>
          <w:lang w:val="bg-BG"/>
        </w:rPr>
        <w:t> </w:t>
      </w:r>
      <w:r>
        <w:rPr>
          <w:rFonts w:ascii="Arial" w:hAnsi="Arial" w:cs="Arial"/>
          <w:noProof/>
          <w:sz w:val="20"/>
          <w:lang w:val="bg-BG"/>
        </w:rPr>
        <w:t>% от общия брой на подадените жалби срещу всички държави членки през 2015 г.</w:t>
      </w:r>
    </w:p>
    <w:p w:rsidR="006F5B6C" w:rsidRDefault="00284F4D">
      <w:pPr>
        <w:pStyle w:val="Body"/>
        <w:ind w:left="709"/>
        <w:rPr>
          <w:noProof/>
        </w:rPr>
      </w:pPr>
      <w:r>
        <w:rPr>
          <w:noProof/>
          <w:lang w:eastAsia="en-GB"/>
        </w:rPr>
        <w:drawing>
          <wp:inline distT="0" distB="0" distL="0" distR="0">
            <wp:extent cx="5286118" cy="2875006"/>
            <wp:effectExtent l="19050" t="0" r="9782" b="1544"/>
            <wp:docPr id="22" name="Grafiek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6F5B6C" w:rsidRDefault="00284F4D">
      <w:pPr>
        <w:ind w:left="709"/>
        <w:rPr>
          <w:rFonts w:ascii="Arial" w:hAnsi="Arial" w:cs="Arial"/>
          <w:noProof/>
          <w:sz w:val="20"/>
          <w:lang w:val="bg-BG"/>
        </w:rPr>
      </w:pPr>
      <w:r>
        <w:rPr>
          <w:rFonts w:ascii="Arial" w:hAnsi="Arial" w:cs="Arial"/>
          <w:b/>
          <w:noProof/>
          <w:sz w:val="20"/>
          <w:lang w:val="bg-BG"/>
        </w:rPr>
        <w:t xml:space="preserve">През 2015 г. бяха разгледани </w:t>
      </w:r>
      <w:r>
        <w:rPr>
          <w:rFonts w:ascii="Arial" w:hAnsi="Arial" w:cs="Arial"/>
          <w:b/>
          <w:noProof/>
          <w:sz w:val="20"/>
          <w:lang w:val="ru-RU"/>
        </w:rPr>
        <w:t>3</w:t>
      </w:r>
      <w:r>
        <w:rPr>
          <w:rFonts w:ascii="Arial" w:hAnsi="Arial" w:cs="Arial"/>
          <w:b/>
          <w:noProof/>
          <w:w w:val="50"/>
          <w:sz w:val="20"/>
        </w:rPr>
        <w:t> </w:t>
      </w:r>
      <w:r>
        <w:rPr>
          <w:rFonts w:ascii="Arial" w:hAnsi="Arial" w:cs="Arial"/>
          <w:b/>
          <w:noProof/>
          <w:sz w:val="20"/>
          <w:lang w:val="ru-RU"/>
        </w:rPr>
        <w:t>315</w:t>
      </w:r>
      <w:r>
        <w:rPr>
          <w:rFonts w:ascii="Arial" w:hAnsi="Arial" w:cs="Arial"/>
          <w:b/>
          <w:noProof/>
          <w:sz w:val="20"/>
          <w:lang w:val="bg-BG"/>
        </w:rPr>
        <w:t xml:space="preserve"> жалби. </w:t>
      </w:r>
      <w:r>
        <w:rPr>
          <w:rFonts w:ascii="Arial" w:hAnsi="Arial" w:cs="Arial"/>
          <w:noProof/>
          <w:sz w:val="20"/>
          <w:lang w:val="bg-BG"/>
        </w:rPr>
        <w:t xml:space="preserve">След като оцени жалбите, Комисията започна диалог в рамките на </w:t>
      </w:r>
      <w:r>
        <w:rPr>
          <w:rFonts w:ascii="Arial" w:hAnsi="Arial" w:cs="Arial"/>
          <w:noProof/>
          <w:sz w:val="20"/>
        </w:rPr>
        <w:t>EU</w:t>
      </w:r>
      <w:r>
        <w:rPr>
          <w:rFonts w:ascii="Arial" w:hAnsi="Arial" w:cs="Arial"/>
          <w:noProof/>
          <w:sz w:val="20"/>
          <w:lang w:val="bg-BG"/>
        </w:rPr>
        <w:t xml:space="preserve"> </w:t>
      </w:r>
      <w:r>
        <w:rPr>
          <w:rFonts w:ascii="Arial" w:hAnsi="Arial" w:cs="Arial"/>
          <w:noProof/>
          <w:sz w:val="20"/>
        </w:rPr>
        <w:t>Pilot</w:t>
      </w:r>
      <w:r>
        <w:rPr>
          <w:rFonts w:ascii="Arial" w:hAnsi="Arial" w:cs="Arial"/>
          <w:noProof/>
          <w:sz w:val="20"/>
          <w:lang w:val="bg-BG"/>
        </w:rPr>
        <w:t xml:space="preserve"> с държавите членки, за да изясни дали са нарушени норми на ЕС. Не всички жалби доведоха до двустранни дискусии с държавите членки поради следните причини: не бе налице нарушение на законодателството на ЕС (2247), Комисията не разполагаше с правомощия да предприеме действия (152) или кореспонденцията не можеше да се окачестви като жалба (454). Поради това разглеждането на тези 2853 жалби бе приключено.</w:t>
      </w:r>
    </w:p>
    <w:p w:rsidR="006F5B6C" w:rsidRDefault="00284F4D">
      <w:pPr>
        <w:ind w:left="709"/>
        <w:rPr>
          <w:rFonts w:ascii="Arial" w:hAnsi="Arial" w:cs="Arial"/>
          <w:noProof/>
          <w:sz w:val="20"/>
          <w:lang w:val="bg-BG"/>
        </w:rPr>
      </w:pPr>
      <w:r>
        <w:rPr>
          <w:rFonts w:ascii="Arial" w:hAnsi="Arial" w:cs="Arial"/>
          <w:noProof/>
          <w:sz w:val="20"/>
          <w:lang w:val="bg-BG"/>
        </w:rPr>
        <w:t xml:space="preserve">Жалбите, водещи до дискусии в рамките на </w:t>
      </w:r>
      <w:r>
        <w:rPr>
          <w:rFonts w:ascii="Arial" w:hAnsi="Arial" w:cs="Arial"/>
          <w:noProof/>
          <w:sz w:val="20"/>
        </w:rPr>
        <w:t>EU</w:t>
      </w:r>
      <w:r>
        <w:rPr>
          <w:rFonts w:ascii="Arial" w:hAnsi="Arial" w:cs="Arial"/>
          <w:noProof/>
          <w:sz w:val="20"/>
          <w:lang w:val="bg-BG"/>
        </w:rPr>
        <w:t xml:space="preserve"> </w:t>
      </w:r>
      <w:r>
        <w:rPr>
          <w:rFonts w:ascii="Arial" w:hAnsi="Arial" w:cs="Arial"/>
          <w:noProof/>
          <w:sz w:val="20"/>
        </w:rPr>
        <w:t>Pilot</w:t>
      </w:r>
      <w:r>
        <w:rPr>
          <w:rFonts w:ascii="Arial" w:hAnsi="Arial" w:cs="Arial"/>
          <w:noProof/>
          <w:sz w:val="20"/>
          <w:lang w:val="bg-BG"/>
        </w:rPr>
        <w:t xml:space="preserve">, бяха свързани най-често с вътрешния пазар, промишлеността, предприемачеството и МСП, данъчното облагане и митниците, както и трудовата заетост, социалните въпроси и приобщаването (съответно 76, 55 и 28 преписки, образувани в рамките на </w:t>
      </w:r>
      <w:r>
        <w:rPr>
          <w:rFonts w:ascii="Arial" w:hAnsi="Arial" w:cs="Arial"/>
          <w:noProof/>
          <w:sz w:val="20"/>
        </w:rPr>
        <w:t>EU</w:t>
      </w:r>
      <w:r>
        <w:rPr>
          <w:rFonts w:ascii="Arial" w:hAnsi="Arial" w:cs="Arial"/>
          <w:noProof/>
          <w:sz w:val="20"/>
          <w:lang w:val="bg-BG"/>
        </w:rPr>
        <w:t xml:space="preserve"> </w:t>
      </w:r>
      <w:r>
        <w:rPr>
          <w:rFonts w:ascii="Arial" w:hAnsi="Arial" w:cs="Arial"/>
          <w:noProof/>
          <w:sz w:val="20"/>
        </w:rPr>
        <w:t>Pilot</w:t>
      </w:r>
      <w:r>
        <w:rPr>
          <w:rFonts w:ascii="Arial" w:hAnsi="Arial" w:cs="Arial"/>
          <w:noProof/>
          <w:sz w:val="20"/>
          <w:lang w:val="bg-BG"/>
        </w:rPr>
        <w:t>).</w:t>
      </w:r>
    </w:p>
    <w:p w:rsidR="006F5B6C" w:rsidRDefault="00284F4D">
      <w:pPr>
        <w:ind w:left="709"/>
        <w:rPr>
          <w:rFonts w:ascii="Arial" w:hAnsi="Arial" w:cs="Arial"/>
          <w:noProof/>
          <w:sz w:val="20"/>
          <w:lang w:val="bg-BG"/>
        </w:rPr>
      </w:pPr>
      <w:r>
        <w:rPr>
          <w:rFonts w:ascii="Arial" w:hAnsi="Arial" w:cs="Arial"/>
          <w:noProof/>
          <w:sz w:val="20"/>
          <w:lang w:val="bg-BG"/>
        </w:rPr>
        <w:t>Тези жалби също се отнасяха основно за Италия, Испания и Германия.</w:t>
      </w:r>
    </w:p>
    <w:p w:rsidR="006F5B6C" w:rsidRDefault="00284F4D">
      <w:pPr>
        <w:ind w:left="1440" w:hanging="731"/>
        <w:rPr>
          <w:rFonts w:ascii="Arial" w:hAnsi="Arial" w:cs="Arial"/>
          <w:noProof/>
          <w:sz w:val="20"/>
          <w:lang w:val="bg-BG"/>
        </w:rPr>
      </w:pPr>
      <w:r>
        <w:rPr>
          <w:rFonts w:ascii="Arial" w:hAnsi="Arial" w:cs="Arial"/>
          <w:noProof/>
          <w:sz w:val="20"/>
          <w:lang w:val="bg-BG"/>
        </w:rPr>
        <w:t>•</w:t>
      </w:r>
      <w:r>
        <w:rPr>
          <w:rFonts w:ascii="Arial" w:hAnsi="Arial" w:cs="Arial"/>
          <w:noProof/>
          <w:sz w:val="20"/>
          <w:lang w:val="bg-BG"/>
        </w:rPr>
        <w:tab/>
      </w:r>
      <w:r>
        <w:rPr>
          <w:rFonts w:ascii="Arial" w:hAnsi="Arial" w:cs="Arial"/>
          <w:b/>
          <w:noProof/>
          <w:sz w:val="20"/>
          <w:lang w:val="bg-BG"/>
        </w:rPr>
        <w:t xml:space="preserve">Италия: </w:t>
      </w:r>
      <w:r>
        <w:rPr>
          <w:rFonts w:ascii="Arial" w:hAnsi="Arial" w:cs="Arial"/>
          <w:noProof/>
          <w:sz w:val="20"/>
          <w:lang w:val="bg-BG"/>
        </w:rPr>
        <w:t xml:space="preserve">30 нови преписки в </w:t>
      </w:r>
      <w:r>
        <w:rPr>
          <w:rFonts w:ascii="Arial" w:hAnsi="Arial" w:cs="Arial"/>
          <w:noProof/>
          <w:sz w:val="20"/>
        </w:rPr>
        <w:t>EU</w:t>
      </w:r>
      <w:r>
        <w:rPr>
          <w:rFonts w:ascii="Arial" w:hAnsi="Arial" w:cs="Arial"/>
          <w:noProof/>
          <w:sz w:val="20"/>
          <w:lang w:val="bg-BG"/>
        </w:rPr>
        <w:t xml:space="preserve"> </w:t>
      </w:r>
      <w:r>
        <w:rPr>
          <w:rFonts w:ascii="Arial" w:hAnsi="Arial" w:cs="Arial"/>
          <w:noProof/>
          <w:sz w:val="20"/>
        </w:rPr>
        <w:t>Pilot</w:t>
      </w:r>
      <w:r>
        <w:rPr>
          <w:rFonts w:ascii="Arial" w:hAnsi="Arial" w:cs="Arial"/>
          <w:noProof/>
          <w:sz w:val="20"/>
          <w:lang w:val="bg-BG"/>
        </w:rPr>
        <w:t>, от които по-голямата част се отнасяха за жалби, свързани с данъчното облагане и митниците (8), вътрешния пазар, промишлеността, предприемачеството и МСП (5), и здравеопазването и безопасността на храните (4);</w:t>
      </w:r>
    </w:p>
    <w:p w:rsidR="006F5B6C" w:rsidRDefault="00284F4D">
      <w:pPr>
        <w:ind w:left="1440" w:hanging="731"/>
        <w:rPr>
          <w:rFonts w:ascii="Arial" w:hAnsi="Arial" w:cs="Arial"/>
          <w:noProof/>
          <w:sz w:val="20"/>
          <w:lang w:val="bg-BG"/>
        </w:rPr>
      </w:pPr>
      <w:r>
        <w:rPr>
          <w:rFonts w:ascii="Arial" w:hAnsi="Arial" w:cs="Arial"/>
          <w:noProof/>
          <w:sz w:val="20"/>
          <w:lang w:val="bg-BG"/>
        </w:rPr>
        <w:lastRenderedPageBreak/>
        <w:t>•</w:t>
      </w:r>
      <w:r>
        <w:rPr>
          <w:rFonts w:ascii="Arial" w:hAnsi="Arial" w:cs="Arial"/>
          <w:noProof/>
          <w:sz w:val="20"/>
          <w:lang w:val="bg-BG"/>
        </w:rPr>
        <w:tab/>
      </w:r>
      <w:r>
        <w:rPr>
          <w:rFonts w:ascii="Arial" w:hAnsi="Arial" w:cs="Arial"/>
          <w:b/>
          <w:noProof/>
          <w:sz w:val="20"/>
          <w:lang w:val="bg-BG"/>
        </w:rPr>
        <w:t xml:space="preserve">Испания: </w:t>
      </w:r>
      <w:r>
        <w:rPr>
          <w:rFonts w:ascii="Arial" w:hAnsi="Arial" w:cs="Arial"/>
          <w:noProof/>
          <w:sz w:val="20"/>
          <w:lang w:val="bg-BG"/>
        </w:rPr>
        <w:t xml:space="preserve">24 нови преписки в </w:t>
      </w:r>
      <w:r>
        <w:rPr>
          <w:rFonts w:ascii="Arial" w:hAnsi="Arial" w:cs="Arial"/>
          <w:noProof/>
          <w:sz w:val="20"/>
        </w:rPr>
        <w:t>EU</w:t>
      </w:r>
      <w:r>
        <w:rPr>
          <w:rFonts w:ascii="Arial" w:hAnsi="Arial" w:cs="Arial"/>
          <w:noProof/>
          <w:sz w:val="20"/>
          <w:lang w:val="bg-BG"/>
        </w:rPr>
        <w:t xml:space="preserve"> </w:t>
      </w:r>
      <w:r>
        <w:rPr>
          <w:rFonts w:ascii="Arial" w:hAnsi="Arial" w:cs="Arial"/>
          <w:noProof/>
          <w:sz w:val="20"/>
        </w:rPr>
        <w:t>Pilo</w:t>
      </w:r>
      <w:r>
        <w:rPr>
          <w:rFonts w:ascii="Arial" w:hAnsi="Arial" w:cs="Arial"/>
          <w:noProof/>
          <w:sz w:val="20"/>
          <w:lang w:val="en-US"/>
        </w:rPr>
        <w:t>t</w:t>
      </w:r>
      <w:r>
        <w:rPr>
          <w:rFonts w:ascii="Arial" w:hAnsi="Arial" w:cs="Arial"/>
          <w:noProof/>
          <w:sz w:val="20"/>
          <w:lang w:val="bg-BG"/>
        </w:rPr>
        <w:t>, най-вече във връзка с жалби по въпроси, свързани с трудовата заетост, социалните въпроси и приобщаването (7), както и вътрешния пазар, промишлеността, предприемачеството и МСП (4), и</w:t>
      </w:r>
    </w:p>
    <w:p w:rsidR="006F5B6C" w:rsidRDefault="00284F4D">
      <w:pPr>
        <w:ind w:left="1440" w:hanging="731"/>
        <w:rPr>
          <w:rFonts w:ascii="Arial" w:hAnsi="Arial" w:cs="Arial"/>
          <w:noProof/>
          <w:sz w:val="20"/>
          <w:lang w:val="bg-BG"/>
        </w:rPr>
      </w:pPr>
      <w:r>
        <w:rPr>
          <w:rFonts w:ascii="Arial" w:hAnsi="Arial" w:cs="Arial"/>
          <w:noProof/>
          <w:sz w:val="20"/>
          <w:lang w:val="bg-BG"/>
        </w:rPr>
        <w:t>•</w:t>
      </w:r>
      <w:r>
        <w:rPr>
          <w:rFonts w:ascii="Arial" w:hAnsi="Arial" w:cs="Arial"/>
          <w:noProof/>
          <w:sz w:val="20"/>
          <w:lang w:val="bg-BG"/>
        </w:rPr>
        <w:tab/>
      </w:r>
      <w:r>
        <w:rPr>
          <w:rFonts w:ascii="Arial" w:hAnsi="Arial" w:cs="Arial"/>
          <w:b/>
          <w:noProof/>
          <w:sz w:val="20"/>
          <w:lang w:val="bg-BG"/>
        </w:rPr>
        <w:t xml:space="preserve">Германия: </w:t>
      </w:r>
      <w:r>
        <w:rPr>
          <w:rFonts w:ascii="Arial" w:hAnsi="Arial" w:cs="Arial"/>
          <w:noProof/>
          <w:sz w:val="20"/>
          <w:lang w:val="bg-BG"/>
        </w:rPr>
        <w:t xml:space="preserve">21нови преписки в </w:t>
      </w:r>
      <w:r>
        <w:rPr>
          <w:rFonts w:ascii="Arial" w:hAnsi="Arial" w:cs="Arial"/>
          <w:noProof/>
          <w:sz w:val="20"/>
        </w:rPr>
        <w:t>EU</w:t>
      </w:r>
      <w:r>
        <w:rPr>
          <w:rFonts w:ascii="Arial" w:hAnsi="Arial" w:cs="Arial"/>
          <w:noProof/>
          <w:sz w:val="20"/>
          <w:lang w:val="bg-BG"/>
        </w:rPr>
        <w:t xml:space="preserve"> </w:t>
      </w:r>
      <w:r>
        <w:rPr>
          <w:rFonts w:ascii="Arial" w:hAnsi="Arial" w:cs="Arial"/>
          <w:noProof/>
          <w:sz w:val="20"/>
        </w:rPr>
        <w:t>Pilot</w:t>
      </w:r>
      <w:r>
        <w:rPr>
          <w:rFonts w:ascii="Arial" w:hAnsi="Arial" w:cs="Arial"/>
          <w:noProof/>
          <w:sz w:val="20"/>
          <w:lang w:val="bg-BG"/>
        </w:rPr>
        <w:t>, по-голямата част от които бяха свързани с жалби в областта на вътрешния пазар, промишлеността, предприемачеството и МСП (10), както и данъчното облагане и митниците (5).</w:t>
      </w:r>
    </w:p>
    <w:p w:rsidR="006F5B6C" w:rsidRDefault="00284F4D">
      <w:pPr>
        <w:ind w:left="720"/>
        <w:rPr>
          <w:rFonts w:ascii="Arial" w:hAnsi="Arial" w:cs="Arial"/>
          <w:noProof/>
          <w:sz w:val="20"/>
          <w:lang w:val="bg-BG"/>
        </w:rPr>
      </w:pPr>
      <w:r>
        <w:rPr>
          <w:rFonts w:ascii="Arial" w:hAnsi="Arial" w:cs="Arial"/>
          <w:noProof/>
          <w:sz w:val="20"/>
          <w:lang w:val="bg-BG"/>
        </w:rPr>
        <w:t>Посредством петиции и въпроси Европейския парламент известяваше Комисията за слабости в начина, по който някои държави членки въвеждат и прилагат определена част от законодателството на ЕС през 2015 г.Те включваха следните области:</w:t>
      </w:r>
    </w:p>
    <w:p w:rsidR="006F5B6C" w:rsidRDefault="00284F4D">
      <w:pPr>
        <w:pStyle w:val="ListParagraph"/>
        <w:numPr>
          <w:ilvl w:val="0"/>
          <w:numId w:val="31"/>
        </w:numPr>
        <w:ind w:hanging="357"/>
        <w:rPr>
          <w:rFonts w:ascii="Arial" w:hAnsi="Arial" w:cs="Arial"/>
          <w:noProof/>
          <w:sz w:val="20"/>
          <w:lang w:val="bg-BG"/>
        </w:rPr>
      </w:pPr>
      <w:r>
        <w:rPr>
          <w:rFonts w:ascii="Arial" w:hAnsi="Arial" w:cs="Arial"/>
          <w:b/>
          <w:noProof/>
          <w:sz w:val="20"/>
          <w:lang w:val="bg-BG"/>
        </w:rPr>
        <w:t>Околна среда</w:t>
      </w:r>
      <w:r>
        <w:rPr>
          <w:rFonts w:ascii="Arial" w:hAnsi="Arial" w:cs="Arial"/>
          <w:noProof/>
          <w:sz w:val="20"/>
          <w:lang w:val="bg-BG"/>
        </w:rPr>
        <w:t>: Изпратено беше официално уведомително писмо до Финландия относно транспонирането от нейна страна на Директивата относно обществения достъп до информация за околната среда</w:t>
      </w:r>
      <w:r>
        <w:rPr>
          <w:rStyle w:val="FootnoteReference"/>
          <w:rFonts w:ascii="Arial" w:hAnsi="Arial" w:cs="Arial"/>
          <w:noProof/>
          <w:sz w:val="20"/>
        </w:rPr>
        <w:footnoteReference w:id="101"/>
      </w:r>
      <w:r>
        <w:rPr>
          <w:rFonts w:ascii="Arial" w:hAnsi="Arial" w:cs="Arial"/>
          <w:noProof/>
          <w:sz w:val="20"/>
          <w:lang w:val="bg-BG"/>
        </w:rPr>
        <w:t>.</w:t>
      </w:r>
    </w:p>
    <w:p w:rsidR="006F5B6C" w:rsidRDefault="006F5B6C">
      <w:pPr>
        <w:pStyle w:val="ListParagraph"/>
        <w:ind w:left="1429"/>
        <w:rPr>
          <w:noProof/>
          <w:sz w:val="16"/>
          <w:lang w:val="bg-BG"/>
        </w:rPr>
      </w:pPr>
    </w:p>
    <w:p w:rsidR="006F5B6C" w:rsidRDefault="00284F4D">
      <w:pPr>
        <w:pStyle w:val="ListParagraph"/>
        <w:spacing w:before="240"/>
        <w:ind w:left="1429"/>
        <w:rPr>
          <w:noProof/>
          <w:lang w:val="bg-BG"/>
        </w:rPr>
      </w:pPr>
      <w:r>
        <w:rPr>
          <w:rFonts w:ascii="Arial" w:hAnsi="Arial" w:cs="Arial"/>
          <w:noProof/>
          <w:sz w:val="20"/>
          <w:lang w:val="bg-BG"/>
        </w:rPr>
        <w:t>В други пет случая, свързани с околната среда, Комисията започна двустранни диалози със съответните държави членки. Случаите включват шистов газ, управление на популацията на вълци, неправилно прилагане на Директивата относно стратегическата екологична оценка</w:t>
      </w:r>
      <w:r>
        <w:rPr>
          <w:rStyle w:val="FootnoteReference"/>
          <w:rFonts w:ascii="Arial" w:hAnsi="Arial" w:cs="Arial"/>
          <w:noProof/>
          <w:sz w:val="20"/>
        </w:rPr>
        <w:footnoteReference w:id="102"/>
      </w:r>
      <w:r>
        <w:rPr>
          <w:rFonts w:ascii="Arial" w:hAnsi="Arial" w:cs="Arial"/>
          <w:noProof/>
          <w:sz w:val="20"/>
          <w:lang w:val="bg-BG"/>
        </w:rPr>
        <w:t>, както и съответствието на националното законодателство с изискванията на Директивата относно обществения достъп до информация за околната среда</w:t>
      </w:r>
      <w:r>
        <w:rPr>
          <w:rStyle w:val="FootnoteReference"/>
          <w:rFonts w:ascii="Arial" w:hAnsi="Arial" w:cs="Arial"/>
          <w:noProof/>
          <w:sz w:val="20"/>
        </w:rPr>
        <w:footnoteReference w:id="103"/>
      </w:r>
      <w:r>
        <w:rPr>
          <w:rFonts w:ascii="Arial" w:hAnsi="Arial" w:cs="Arial"/>
          <w:noProof/>
          <w:sz w:val="20"/>
          <w:lang w:val="bg-BG"/>
        </w:rPr>
        <w:t>.</w:t>
      </w:r>
    </w:p>
    <w:p w:rsidR="006F5B6C" w:rsidRDefault="006F5B6C">
      <w:pPr>
        <w:pStyle w:val="ListParagraph"/>
        <w:ind w:left="1429"/>
        <w:rPr>
          <w:noProof/>
          <w:sz w:val="16"/>
          <w:lang w:val="bg-BG"/>
        </w:rPr>
      </w:pPr>
    </w:p>
    <w:p w:rsidR="006F5B6C" w:rsidRDefault="00284F4D">
      <w:pPr>
        <w:pStyle w:val="ListParagraph"/>
        <w:numPr>
          <w:ilvl w:val="0"/>
          <w:numId w:val="31"/>
        </w:numPr>
        <w:rPr>
          <w:rFonts w:ascii="Arial" w:hAnsi="Arial" w:cs="Arial"/>
          <w:noProof/>
          <w:sz w:val="20"/>
          <w:lang w:val="bg-BG"/>
        </w:rPr>
      </w:pPr>
      <w:r>
        <w:rPr>
          <w:rFonts w:ascii="Arial" w:hAnsi="Arial" w:cs="Arial"/>
          <w:b/>
          <w:noProof/>
          <w:sz w:val="20"/>
          <w:lang w:val="bg-BG"/>
        </w:rPr>
        <w:t>Правосъдие</w:t>
      </w:r>
      <w:r>
        <w:rPr>
          <w:rFonts w:ascii="Arial" w:hAnsi="Arial" w:cs="Arial"/>
          <w:i/>
          <w:noProof/>
          <w:sz w:val="20"/>
          <w:lang w:val="bg-BG"/>
        </w:rPr>
        <w:t xml:space="preserve">: </w:t>
      </w:r>
      <w:r>
        <w:rPr>
          <w:rFonts w:ascii="Arial" w:hAnsi="Arial" w:cs="Arial"/>
          <w:noProof/>
          <w:sz w:val="20"/>
          <w:lang w:val="bg-BG"/>
        </w:rPr>
        <w:t>Въпрос с искане за писмен отговор в Парламента стана повод Комисията да изрази своята загриженост, свързана с държава членка, относно съвместимостта на националното ѝ законодателство относно правоприлагащите лица с принципа на свободниото движение на хора. Също така след подадена петиция Комисията започна двустранен диалог с държава членка относно наложените от нея ограничения върху промяната на името след сключване на брак.</w:t>
      </w:r>
    </w:p>
    <w:p w:rsidR="006F5B6C" w:rsidRDefault="006F5B6C">
      <w:pPr>
        <w:pStyle w:val="ListParagraph"/>
        <w:ind w:left="1429"/>
        <w:rPr>
          <w:rFonts w:ascii="Arial" w:hAnsi="Arial" w:cs="Arial"/>
          <w:noProof/>
          <w:sz w:val="16"/>
          <w:lang w:val="bg-BG"/>
        </w:rPr>
      </w:pPr>
    </w:p>
    <w:p w:rsidR="006F5B6C" w:rsidRDefault="00284F4D">
      <w:pPr>
        <w:pStyle w:val="ListParagraph"/>
        <w:numPr>
          <w:ilvl w:val="0"/>
          <w:numId w:val="31"/>
        </w:numPr>
        <w:ind w:hanging="357"/>
        <w:rPr>
          <w:rFonts w:ascii="Arial" w:hAnsi="Arial" w:cs="Arial"/>
          <w:noProof/>
          <w:sz w:val="20"/>
          <w:lang w:val="bg-BG"/>
        </w:rPr>
      </w:pPr>
      <w:r>
        <w:rPr>
          <w:rFonts w:ascii="Arial" w:hAnsi="Arial" w:cs="Arial"/>
          <w:b/>
          <w:noProof/>
          <w:sz w:val="20"/>
          <w:lang w:val="bg-BG"/>
        </w:rPr>
        <w:t>Данъчно облагане</w:t>
      </w:r>
      <w:r>
        <w:rPr>
          <w:rFonts w:ascii="Arial" w:hAnsi="Arial" w:cs="Arial"/>
          <w:noProof/>
          <w:sz w:val="20"/>
          <w:lang w:val="bg-BG"/>
        </w:rPr>
        <w:t>: Комисията започна двустранни дискусии с редица държави членки относно данъците върху недвижими имоти и местния данък „жилище“, плащани от студенти.</w:t>
      </w:r>
    </w:p>
    <w:p w:rsidR="006F5B6C" w:rsidRDefault="00284F4D">
      <w:pPr>
        <w:pStyle w:val="kop3"/>
        <w:rPr>
          <w:noProof/>
        </w:rPr>
      </w:pPr>
      <w:bookmarkStart w:id="26" w:name="_Toc437944194"/>
      <w:bookmarkStart w:id="27" w:name="_Toc454443124"/>
      <w:r>
        <w:rPr>
          <w:noProof/>
          <w:lang w:val="bg-BG"/>
        </w:rPr>
        <w:t>Решаване на проблеми</w:t>
      </w:r>
      <w:bookmarkEnd w:id="26"/>
      <w:bookmarkEnd w:id="27"/>
    </w:p>
    <w:p w:rsidR="006F5B6C" w:rsidRDefault="00284F4D">
      <w:pPr>
        <w:ind w:left="360"/>
        <w:rPr>
          <w:rFonts w:ascii="Arial" w:hAnsi="Arial" w:cs="Arial"/>
          <w:noProof/>
          <w:sz w:val="20"/>
          <w:lang w:val="bg-BG"/>
        </w:rPr>
      </w:pPr>
      <w:r>
        <w:rPr>
          <w:rFonts w:ascii="Arial" w:hAnsi="Arial" w:cs="Arial"/>
          <w:noProof/>
          <w:sz w:val="20"/>
        </w:rPr>
        <w:t>EU</w:t>
      </w:r>
      <w:r>
        <w:rPr>
          <w:rFonts w:ascii="Arial" w:hAnsi="Arial" w:cs="Arial"/>
          <w:noProof/>
          <w:sz w:val="20"/>
          <w:lang w:val="ru-RU"/>
        </w:rPr>
        <w:t xml:space="preserve"> </w:t>
      </w:r>
      <w:r>
        <w:rPr>
          <w:rFonts w:ascii="Arial" w:hAnsi="Arial" w:cs="Arial"/>
          <w:noProof/>
          <w:sz w:val="20"/>
        </w:rPr>
        <w:t>Pilot</w:t>
      </w:r>
      <w:r>
        <w:rPr>
          <w:rFonts w:ascii="Arial" w:hAnsi="Arial" w:cs="Arial"/>
          <w:noProof/>
          <w:sz w:val="20"/>
          <w:lang w:val="ru-RU"/>
        </w:rPr>
        <w:t xml:space="preserve"> </w:t>
      </w:r>
      <w:r>
        <w:rPr>
          <w:rFonts w:ascii="Arial" w:hAnsi="Arial" w:cs="Arial"/>
          <w:noProof/>
          <w:sz w:val="20"/>
          <w:lang w:val="bg-BG"/>
        </w:rPr>
        <w:t>е инициатива на Комисията, чиято цел е да се намерят решения на проблемите, свързани с прилагането на правото на ЕС</w:t>
      </w:r>
      <w:r>
        <w:rPr>
          <w:rFonts w:ascii="Arial" w:hAnsi="Arial" w:cs="Arial"/>
          <w:noProof/>
          <w:sz w:val="20"/>
          <w:lang w:val="ru-RU"/>
        </w:rPr>
        <w:t>.</w:t>
      </w:r>
      <w:r>
        <w:rPr>
          <w:rFonts w:ascii="Arial" w:hAnsi="Arial" w:cs="Arial"/>
          <w:noProof/>
          <w:sz w:val="20"/>
          <w:lang w:val="bg-BG"/>
        </w:rPr>
        <w:t xml:space="preserve"> При този способ се използват онлайн база данни и средство за комуникация. Чрез диалога в рамките на </w:t>
      </w:r>
      <w:r>
        <w:rPr>
          <w:rFonts w:ascii="Arial" w:hAnsi="Arial" w:cs="Arial"/>
          <w:noProof/>
          <w:sz w:val="20"/>
        </w:rPr>
        <w:t>EU</w:t>
      </w:r>
      <w:r>
        <w:rPr>
          <w:rFonts w:ascii="Arial" w:hAnsi="Arial" w:cs="Arial"/>
          <w:noProof/>
          <w:sz w:val="20"/>
          <w:lang w:val="bg-BG"/>
        </w:rPr>
        <w:t xml:space="preserve"> </w:t>
      </w:r>
      <w:r>
        <w:rPr>
          <w:rFonts w:ascii="Arial" w:hAnsi="Arial" w:cs="Arial"/>
          <w:noProof/>
          <w:sz w:val="20"/>
        </w:rPr>
        <w:t>Pilot</w:t>
      </w:r>
      <w:r>
        <w:rPr>
          <w:rFonts w:ascii="Arial" w:hAnsi="Arial" w:cs="Arial"/>
          <w:noProof/>
          <w:sz w:val="20"/>
          <w:lang w:val="bg-BG"/>
        </w:rPr>
        <w:t xml:space="preserve"> проблемите често могат да се решават по-бързо, като се гарантира изпълнение на задълженията, произтичащи от правото на ЕС, от което печелят гражданите и предприятията.</w:t>
      </w:r>
    </w:p>
    <w:p w:rsidR="006F5B6C" w:rsidRDefault="00284F4D">
      <w:pPr>
        <w:ind w:left="357"/>
        <w:rPr>
          <w:rFonts w:ascii="Arial" w:hAnsi="Arial" w:cs="Arial"/>
          <w:noProof/>
          <w:sz w:val="20"/>
          <w:lang w:val="bg-BG"/>
        </w:rPr>
      </w:pPr>
      <w:r>
        <w:rPr>
          <w:rFonts w:ascii="Arial" w:hAnsi="Arial" w:cs="Arial"/>
          <w:noProof/>
          <w:sz w:val="20"/>
          <w:lang w:val="bg-BG"/>
        </w:rPr>
        <w:t xml:space="preserve">Между 2011 г. и 2013 г. </w:t>
      </w:r>
      <w:r>
        <w:rPr>
          <w:rFonts w:ascii="Arial" w:hAnsi="Arial" w:cs="Arial"/>
          <w:noProof/>
          <w:sz w:val="20"/>
          <w:lang w:val="bg-BG" w:bidi="bg-BG"/>
        </w:rPr>
        <w:t xml:space="preserve">броят на новите преписки в EU Pilot отбеляза постепенно увеличаване </w:t>
      </w:r>
      <w:r>
        <w:rPr>
          <w:rFonts w:ascii="Arial" w:hAnsi="Arial" w:cs="Arial"/>
          <w:noProof/>
          <w:sz w:val="20"/>
          <w:lang w:val="bg-BG"/>
        </w:rPr>
        <w:t>(вж. графиката по-долу). През 2015 г. обаче той спадна под равнището си от 2011 г.: образувани бяха 881 нови преписки (което представлява спад с около 30</w:t>
      </w:r>
      <w:r>
        <w:rPr>
          <w:rFonts w:ascii="Arial" w:hAnsi="Arial" w:cs="Arial"/>
          <w:noProof/>
          <w:sz w:val="20"/>
        </w:rPr>
        <w:t> </w:t>
      </w:r>
      <w:r>
        <w:rPr>
          <w:rFonts w:ascii="Arial" w:hAnsi="Arial" w:cs="Arial"/>
          <w:noProof/>
          <w:sz w:val="20"/>
          <w:lang w:val="bg-BG"/>
        </w:rPr>
        <w:t>% от 2014 г.).</w:t>
      </w:r>
    </w:p>
    <w:p w:rsidR="006F5B6C" w:rsidRDefault="00284F4D">
      <w:pPr>
        <w:pStyle w:val="Body"/>
        <w:spacing w:after="0"/>
        <w:ind w:firstLine="352"/>
        <w:rPr>
          <w:noProof/>
        </w:rPr>
      </w:pPr>
      <w:r>
        <w:rPr>
          <w:noProof/>
          <w:lang w:eastAsia="en-GB"/>
        </w:rPr>
        <w:lastRenderedPageBreak/>
        <w:drawing>
          <wp:inline distT="0" distB="0" distL="0" distR="0">
            <wp:extent cx="5383658" cy="2250040"/>
            <wp:effectExtent l="0" t="0" r="7620" b="0"/>
            <wp:docPr id="25" name="Grafie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6F5B6C" w:rsidRDefault="006F5B6C">
      <w:pPr>
        <w:spacing w:after="0"/>
        <w:jc w:val="left"/>
        <w:rPr>
          <w:rFonts w:ascii="Arial" w:hAnsi="Arial" w:cs="Arial"/>
          <w:noProof/>
          <w:sz w:val="20"/>
        </w:rPr>
      </w:pPr>
    </w:p>
    <w:p w:rsidR="006F5B6C" w:rsidRDefault="00284F4D">
      <w:pPr>
        <w:pStyle w:val="Body"/>
        <w:spacing w:after="120"/>
        <w:ind w:left="709"/>
        <w:rPr>
          <w:noProof/>
          <w:lang w:val="ru-RU"/>
        </w:rPr>
      </w:pPr>
      <w:r>
        <w:rPr>
          <w:noProof/>
          <w:lang w:val="bg-BG"/>
        </w:rPr>
        <w:t xml:space="preserve">Представената по-долу графика съдържа основните данни от </w:t>
      </w:r>
      <w:r>
        <w:rPr>
          <w:noProof/>
        </w:rPr>
        <w:t>EU</w:t>
      </w:r>
      <w:r>
        <w:rPr>
          <w:noProof/>
          <w:lang w:val="ru-RU"/>
        </w:rPr>
        <w:t xml:space="preserve"> </w:t>
      </w:r>
      <w:r>
        <w:rPr>
          <w:noProof/>
        </w:rPr>
        <w:t>Pilot</w:t>
      </w:r>
      <w:r>
        <w:rPr>
          <w:noProof/>
          <w:lang w:val="bg-BG"/>
        </w:rPr>
        <w:t xml:space="preserve"> за </w:t>
      </w:r>
      <w:r>
        <w:rPr>
          <w:noProof/>
          <w:lang w:val="ru-RU"/>
        </w:rPr>
        <w:t>2015</w:t>
      </w:r>
      <w:r>
        <w:rPr>
          <w:noProof/>
          <w:lang w:val="bg-BG"/>
        </w:rPr>
        <w:t> г.</w:t>
      </w:r>
      <w:r>
        <w:rPr>
          <w:noProof/>
          <w:lang w:val="ru-RU"/>
        </w:rPr>
        <w:t>:</w:t>
      </w:r>
      <w:r>
        <w:rPr>
          <w:rStyle w:val="FootnoteReference"/>
          <w:noProof/>
        </w:rPr>
        <w:footnoteReference w:id="104"/>
      </w:r>
    </w:p>
    <w:p w:rsidR="006F5B6C" w:rsidRDefault="00284F4D">
      <w:pPr>
        <w:pStyle w:val="Body"/>
        <w:spacing w:after="120"/>
        <w:ind w:left="0"/>
        <w:jc w:val="center"/>
        <w:rPr>
          <w:noProof/>
          <w:color w:val="002060"/>
          <w:sz w:val="22"/>
          <w:szCs w:val="22"/>
          <w:lang w:val="bg-BG"/>
        </w:rPr>
      </w:pPr>
      <w:r>
        <w:rPr>
          <w:noProof/>
          <w:color w:val="002060"/>
          <w:sz w:val="22"/>
          <w:szCs w:val="22"/>
          <w:lang w:val="bg-BG"/>
        </w:rPr>
        <w:t xml:space="preserve">Неприключени преписки в </w:t>
      </w:r>
      <w:r>
        <w:rPr>
          <w:noProof/>
          <w:color w:val="002060"/>
          <w:sz w:val="22"/>
          <w:szCs w:val="22"/>
        </w:rPr>
        <w:t>EU</w:t>
      </w:r>
      <w:r>
        <w:rPr>
          <w:noProof/>
          <w:color w:val="002060"/>
          <w:sz w:val="22"/>
          <w:szCs w:val="22"/>
          <w:lang w:val="ru-RU"/>
        </w:rPr>
        <w:t xml:space="preserve"> </w:t>
      </w:r>
      <w:r>
        <w:rPr>
          <w:noProof/>
          <w:color w:val="002060"/>
          <w:sz w:val="22"/>
          <w:szCs w:val="22"/>
        </w:rPr>
        <w:t>Pilot</w:t>
      </w:r>
      <w:r>
        <w:rPr>
          <w:noProof/>
          <w:color w:val="002060"/>
          <w:sz w:val="22"/>
          <w:szCs w:val="22"/>
          <w:lang w:val="ru-RU"/>
        </w:rPr>
        <w:t xml:space="preserve"> </w:t>
      </w:r>
      <w:r>
        <w:rPr>
          <w:noProof/>
          <w:color w:val="002060"/>
          <w:sz w:val="22"/>
          <w:szCs w:val="22"/>
          <w:lang w:val="bg-BG"/>
        </w:rPr>
        <w:t>към края на годината</w:t>
      </w:r>
    </w:p>
    <w:tbl>
      <w:tblPr>
        <w:tblStyle w:val="Style1"/>
        <w:tblW w:w="0" w:type="auto"/>
        <w:jc w:val="center"/>
        <w:tblInd w:w="392" w:type="dxa"/>
        <w:tblLook w:val="04A0" w:firstRow="1" w:lastRow="0" w:firstColumn="1" w:lastColumn="0" w:noHBand="0" w:noVBand="1"/>
      </w:tblPr>
      <w:tblGrid>
        <w:gridCol w:w="2013"/>
        <w:gridCol w:w="333"/>
        <w:gridCol w:w="4625"/>
      </w:tblGrid>
      <w:tr w:rsidR="006F5B6C">
        <w:trPr>
          <w:trHeight w:val="339"/>
          <w:jc w:val="center"/>
        </w:trPr>
        <w:tc>
          <w:tcPr>
            <w:tcW w:w="2013" w:type="dxa"/>
          </w:tcPr>
          <w:p w:rsidR="006F5B6C" w:rsidRDefault="00284F4D">
            <w:pPr>
              <w:spacing w:after="0"/>
              <w:jc w:val="right"/>
              <w:rPr>
                <w:rFonts w:ascii="Arial" w:hAnsi="Arial" w:cs="Arial"/>
                <w:noProof/>
                <w:color w:val="548DD4" w:themeColor="text2" w:themeTint="99"/>
                <w:sz w:val="20"/>
                <w:szCs w:val="28"/>
              </w:rPr>
            </w:pPr>
            <w:r>
              <w:rPr>
                <w:rFonts w:ascii="Arial" w:hAnsi="Arial" w:cs="Arial"/>
                <w:noProof/>
                <w:color w:val="548DD4" w:themeColor="text2" w:themeTint="99"/>
                <w:sz w:val="20"/>
                <w:szCs w:val="28"/>
              </w:rPr>
              <w:t>1348</w:t>
            </w:r>
          </w:p>
        </w:tc>
        <w:tc>
          <w:tcPr>
            <w:tcW w:w="288" w:type="dxa"/>
          </w:tcPr>
          <w:p w:rsidR="006F5B6C" w:rsidRDefault="00284F4D">
            <w:pPr>
              <w:spacing w:after="0"/>
              <w:jc w:val="right"/>
              <w:rPr>
                <w:rFonts w:ascii="Arial" w:hAnsi="Arial" w:cs="Arial"/>
                <w:noProof/>
                <w:color w:val="548DD4" w:themeColor="text2" w:themeTint="99"/>
                <w:sz w:val="20"/>
                <w:szCs w:val="28"/>
              </w:rPr>
            </w:pPr>
            <w:r>
              <w:rPr>
                <w:rFonts w:ascii="Arial" w:hAnsi="Arial" w:cs="Arial"/>
                <w:noProof/>
                <w:color w:val="548DD4" w:themeColor="text2" w:themeTint="99"/>
                <w:sz w:val="20"/>
                <w:szCs w:val="28"/>
              </w:rPr>
              <w:t>&gt;</w:t>
            </w:r>
          </w:p>
        </w:tc>
        <w:tc>
          <w:tcPr>
            <w:tcW w:w="4625" w:type="dxa"/>
          </w:tcPr>
          <w:p w:rsidR="006F5B6C" w:rsidRDefault="00284F4D">
            <w:pPr>
              <w:spacing w:after="0"/>
              <w:jc w:val="left"/>
              <w:rPr>
                <w:rFonts w:ascii="Arial" w:hAnsi="Arial" w:cs="Arial"/>
                <w:noProof/>
                <w:color w:val="548DD4" w:themeColor="text2" w:themeTint="99"/>
                <w:sz w:val="20"/>
                <w:szCs w:val="28"/>
                <w:lang w:val="bg-BG"/>
              </w:rPr>
            </w:pPr>
            <w:r>
              <w:rPr>
                <w:rFonts w:ascii="Arial" w:hAnsi="Arial" w:cs="Arial"/>
                <w:noProof/>
                <w:color w:val="548DD4" w:themeColor="text2" w:themeTint="99"/>
                <w:sz w:val="20"/>
                <w:szCs w:val="28"/>
                <w:lang w:val="bg-BG"/>
              </w:rPr>
              <w:t xml:space="preserve">Неприключени преписки в </w:t>
            </w:r>
            <w:r>
              <w:rPr>
                <w:rFonts w:ascii="Arial" w:hAnsi="Arial" w:cs="Arial"/>
                <w:noProof/>
                <w:color w:val="548DD4" w:themeColor="text2" w:themeTint="99"/>
                <w:sz w:val="20"/>
                <w:szCs w:val="28"/>
              </w:rPr>
              <w:t>EU</w:t>
            </w:r>
            <w:r>
              <w:rPr>
                <w:rFonts w:ascii="Arial" w:hAnsi="Arial" w:cs="Arial"/>
                <w:noProof/>
                <w:color w:val="548DD4" w:themeColor="text2" w:themeTint="99"/>
                <w:sz w:val="20"/>
                <w:szCs w:val="28"/>
                <w:lang w:val="ru-RU"/>
              </w:rPr>
              <w:t xml:space="preserve"> </w:t>
            </w:r>
            <w:r>
              <w:rPr>
                <w:rFonts w:ascii="Arial" w:hAnsi="Arial" w:cs="Arial"/>
                <w:noProof/>
                <w:color w:val="548DD4" w:themeColor="text2" w:themeTint="99"/>
                <w:sz w:val="20"/>
                <w:szCs w:val="28"/>
              </w:rPr>
              <w:t>Pilot</w:t>
            </w:r>
            <w:r>
              <w:rPr>
                <w:rFonts w:ascii="Arial" w:hAnsi="Arial" w:cs="Arial"/>
                <w:noProof/>
                <w:color w:val="548DD4" w:themeColor="text2" w:themeTint="99"/>
                <w:sz w:val="20"/>
                <w:szCs w:val="28"/>
                <w:lang w:val="bg-BG"/>
              </w:rPr>
              <w:t xml:space="preserve"> към края на </w:t>
            </w:r>
            <w:r>
              <w:rPr>
                <w:rFonts w:ascii="Arial" w:hAnsi="Arial" w:cs="Arial"/>
                <w:noProof/>
                <w:color w:val="548DD4" w:themeColor="text2" w:themeTint="99"/>
                <w:sz w:val="20"/>
                <w:szCs w:val="28"/>
                <w:lang w:val="ru-RU"/>
              </w:rPr>
              <w:t>2014</w:t>
            </w:r>
            <w:r>
              <w:rPr>
                <w:rFonts w:ascii="Arial" w:hAnsi="Arial" w:cs="Arial"/>
                <w:noProof/>
                <w:color w:val="548DD4" w:themeColor="text2" w:themeTint="99"/>
                <w:sz w:val="20"/>
                <w:szCs w:val="28"/>
                <w:lang w:val="bg-BG"/>
              </w:rPr>
              <w:t> г.</w:t>
            </w:r>
          </w:p>
        </w:tc>
      </w:tr>
      <w:tr w:rsidR="006F5B6C">
        <w:trPr>
          <w:trHeight w:val="339"/>
          <w:jc w:val="center"/>
        </w:trPr>
        <w:tc>
          <w:tcPr>
            <w:tcW w:w="2013" w:type="dxa"/>
          </w:tcPr>
          <w:p w:rsidR="006F5B6C" w:rsidRDefault="00284F4D">
            <w:pPr>
              <w:spacing w:after="0"/>
              <w:jc w:val="right"/>
              <w:rPr>
                <w:rFonts w:ascii="Arial" w:hAnsi="Arial" w:cs="Arial"/>
                <w:noProof/>
                <w:color w:val="548DD4" w:themeColor="text2" w:themeTint="99"/>
                <w:sz w:val="20"/>
                <w:szCs w:val="28"/>
              </w:rPr>
            </w:pPr>
            <w:r>
              <w:rPr>
                <w:rFonts w:ascii="Arial" w:hAnsi="Arial" w:cs="Arial"/>
                <w:noProof/>
                <w:color w:val="548DD4" w:themeColor="text2" w:themeTint="99"/>
                <w:sz w:val="20"/>
                <w:szCs w:val="28"/>
              </w:rPr>
              <w:t>881</w:t>
            </w:r>
          </w:p>
        </w:tc>
        <w:tc>
          <w:tcPr>
            <w:tcW w:w="288" w:type="dxa"/>
          </w:tcPr>
          <w:p w:rsidR="006F5B6C" w:rsidRDefault="00284F4D">
            <w:pPr>
              <w:spacing w:after="0"/>
              <w:jc w:val="right"/>
              <w:rPr>
                <w:rFonts w:ascii="Arial" w:hAnsi="Arial" w:cs="Arial"/>
                <w:noProof/>
                <w:color w:val="548DD4" w:themeColor="text2" w:themeTint="99"/>
                <w:sz w:val="20"/>
                <w:szCs w:val="28"/>
              </w:rPr>
            </w:pPr>
            <w:r>
              <w:rPr>
                <w:rFonts w:ascii="Arial" w:hAnsi="Arial" w:cs="Arial"/>
                <w:noProof/>
                <w:color w:val="548DD4" w:themeColor="text2" w:themeTint="99"/>
                <w:sz w:val="20"/>
                <w:szCs w:val="28"/>
              </w:rPr>
              <w:t>&gt;</w:t>
            </w:r>
          </w:p>
        </w:tc>
        <w:tc>
          <w:tcPr>
            <w:tcW w:w="4625" w:type="dxa"/>
          </w:tcPr>
          <w:p w:rsidR="006F5B6C" w:rsidRDefault="00284F4D">
            <w:pPr>
              <w:spacing w:after="0"/>
              <w:jc w:val="left"/>
              <w:rPr>
                <w:rFonts w:ascii="Arial" w:hAnsi="Arial" w:cs="Arial"/>
                <w:noProof/>
                <w:color w:val="548DD4" w:themeColor="text2" w:themeTint="99"/>
                <w:sz w:val="20"/>
                <w:szCs w:val="28"/>
                <w:lang w:val="bg-BG"/>
              </w:rPr>
            </w:pPr>
            <w:r>
              <w:rPr>
                <w:rFonts w:ascii="Arial" w:hAnsi="Arial" w:cs="Arial"/>
                <w:noProof/>
                <w:color w:val="548DD4" w:themeColor="text2" w:themeTint="99"/>
                <w:sz w:val="20"/>
                <w:szCs w:val="28"/>
                <w:lang w:val="bg-BG"/>
              </w:rPr>
              <w:t>Нови преписки в</w:t>
            </w:r>
            <w:r>
              <w:rPr>
                <w:rFonts w:ascii="Arial" w:hAnsi="Arial" w:cs="Arial"/>
                <w:noProof/>
                <w:color w:val="548DD4" w:themeColor="text2" w:themeTint="99"/>
                <w:sz w:val="20"/>
                <w:szCs w:val="28"/>
                <w:lang w:val="ru-RU"/>
              </w:rPr>
              <w:t xml:space="preserve"> </w:t>
            </w:r>
            <w:r>
              <w:rPr>
                <w:rFonts w:ascii="Arial" w:hAnsi="Arial" w:cs="Arial"/>
                <w:noProof/>
                <w:color w:val="548DD4" w:themeColor="text2" w:themeTint="99"/>
                <w:sz w:val="20"/>
                <w:szCs w:val="28"/>
              </w:rPr>
              <w:t>EU</w:t>
            </w:r>
            <w:r>
              <w:rPr>
                <w:rFonts w:ascii="Arial" w:hAnsi="Arial" w:cs="Arial"/>
                <w:noProof/>
                <w:color w:val="548DD4" w:themeColor="text2" w:themeTint="99"/>
                <w:sz w:val="20"/>
                <w:szCs w:val="28"/>
                <w:lang w:val="ru-RU"/>
              </w:rPr>
              <w:t xml:space="preserve"> </w:t>
            </w:r>
            <w:r>
              <w:rPr>
                <w:rFonts w:ascii="Arial" w:hAnsi="Arial" w:cs="Arial"/>
                <w:noProof/>
                <w:color w:val="548DD4" w:themeColor="text2" w:themeTint="99"/>
                <w:sz w:val="20"/>
                <w:szCs w:val="28"/>
              </w:rPr>
              <w:t>Pilot</w:t>
            </w:r>
            <w:r>
              <w:rPr>
                <w:rFonts w:ascii="Arial" w:hAnsi="Arial" w:cs="Arial"/>
                <w:noProof/>
                <w:color w:val="548DD4" w:themeColor="text2" w:themeTint="99"/>
                <w:sz w:val="20"/>
                <w:szCs w:val="28"/>
                <w:lang w:val="bg-BG"/>
              </w:rPr>
              <w:t xml:space="preserve">, регистрирани през </w:t>
            </w:r>
            <w:r>
              <w:rPr>
                <w:rFonts w:ascii="Arial" w:hAnsi="Arial" w:cs="Arial"/>
                <w:noProof/>
                <w:color w:val="548DD4" w:themeColor="text2" w:themeTint="99"/>
                <w:sz w:val="20"/>
                <w:szCs w:val="28"/>
                <w:lang w:val="ru-RU"/>
              </w:rPr>
              <w:t>2015</w:t>
            </w:r>
            <w:r>
              <w:rPr>
                <w:rFonts w:ascii="Arial" w:hAnsi="Arial" w:cs="Arial"/>
                <w:noProof/>
                <w:color w:val="548DD4" w:themeColor="text2" w:themeTint="99"/>
                <w:sz w:val="20"/>
                <w:szCs w:val="28"/>
                <w:lang w:val="bg-BG"/>
              </w:rPr>
              <w:t> г.</w:t>
            </w:r>
          </w:p>
        </w:tc>
      </w:tr>
      <w:tr w:rsidR="006F5B6C">
        <w:trPr>
          <w:trHeight w:val="339"/>
          <w:jc w:val="center"/>
        </w:trPr>
        <w:tc>
          <w:tcPr>
            <w:tcW w:w="2013" w:type="dxa"/>
          </w:tcPr>
          <w:p w:rsidR="006F5B6C" w:rsidRDefault="00284F4D">
            <w:pPr>
              <w:spacing w:after="0"/>
              <w:jc w:val="right"/>
              <w:rPr>
                <w:rFonts w:ascii="Arial" w:hAnsi="Arial" w:cs="Arial"/>
                <w:noProof/>
                <w:color w:val="548DD4" w:themeColor="text2" w:themeTint="99"/>
                <w:sz w:val="20"/>
                <w:szCs w:val="28"/>
              </w:rPr>
            </w:pPr>
            <w:r>
              <w:rPr>
                <w:rFonts w:ascii="Arial" w:hAnsi="Arial" w:cs="Arial"/>
                <w:noProof/>
                <w:color w:val="548DD4" w:themeColor="text2" w:themeTint="99"/>
                <w:sz w:val="20"/>
                <w:szCs w:val="28"/>
              </w:rPr>
              <w:t>969</w:t>
            </w:r>
          </w:p>
        </w:tc>
        <w:tc>
          <w:tcPr>
            <w:tcW w:w="288" w:type="dxa"/>
          </w:tcPr>
          <w:p w:rsidR="006F5B6C" w:rsidRDefault="00284F4D">
            <w:pPr>
              <w:spacing w:after="0"/>
              <w:jc w:val="right"/>
              <w:rPr>
                <w:rFonts w:ascii="Arial" w:hAnsi="Arial" w:cs="Arial"/>
                <w:noProof/>
                <w:color w:val="548DD4" w:themeColor="text2" w:themeTint="99"/>
                <w:sz w:val="20"/>
                <w:szCs w:val="28"/>
              </w:rPr>
            </w:pPr>
            <w:r>
              <w:rPr>
                <w:rFonts w:ascii="Arial" w:hAnsi="Arial" w:cs="Arial"/>
                <w:noProof/>
                <w:color w:val="548DD4" w:themeColor="text2" w:themeTint="99"/>
                <w:sz w:val="20"/>
                <w:szCs w:val="28"/>
              </w:rPr>
              <w:t>&gt;</w:t>
            </w:r>
          </w:p>
        </w:tc>
        <w:tc>
          <w:tcPr>
            <w:tcW w:w="4625" w:type="dxa"/>
          </w:tcPr>
          <w:p w:rsidR="006F5B6C" w:rsidRDefault="00284F4D">
            <w:pPr>
              <w:spacing w:after="0"/>
              <w:jc w:val="left"/>
              <w:rPr>
                <w:rFonts w:ascii="Arial" w:hAnsi="Arial" w:cs="Arial"/>
                <w:noProof/>
                <w:color w:val="548DD4" w:themeColor="text2" w:themeTint="99"/>
                <w:sz w:val="20"/>
                <w:szCs w:val="28"/>
                <w:lang w:val="bg-BG"/>
              </w:rPr>
            </w:pPr>
            <w:r>
              <w:rPr>
                <w:rFonts w:ascii="Arial" w:hAnsi="Arial" w:cs="Arial"/>
                <w:noProof/>
                <w:color w:val="548DD4" w:themeColor="text2" w:themeTint="99"/>
                <w:sz w:val="20"/>
                <w:szCs w:val="28"/>
                <w:lang w:val="bg-BG"/>
              </w:rPr>
              <w:t xml:space="preserve">Преписки в </w:t>
            </w:r>
            <w:r>
              <w:rPr>
                <w:rFonts w:ascii="Arial" w:hAnsi="Arial" w:cs="Arial"/>
                <w:noProof/>
                <w:color w:val="548DD4" w:themeColor="text2" w:themeTint="99"/>
                <w:sz w:val="20"/>
                <w:szCs w:val="28"/>
              </w:rPr>
              <w:t>EU</w:t>
            </w:r>
            <w:r>
              <w:rPr>
                <w:rFonts w:ascii="Arial" w:hAnsi="Arial" w:cs="Arial"/>
                <w:noProof/>
                <w:color w:val="548DD4" w:themeColor="text2" w:themeTint="99"/>
                <w:sz w:val="20"/>
                <w:szCs w:val="28"/>
                <w:lang w:val="ru-RU"/>
              </w:rPr>
              <w:t xml:space="preserve"> </w:t>
            </w:r>
            <w:r>
              <w:rPr>
                <w:rFonts w:ascii="Arial" w:hAnsi="Arial" w:cs="Arial"/>
                <w:noProof/>
                <w:color w:val="548DD4" w:themeColor="text2" w:themeTint="99"/>
                <w:sz w:val="20"/>
                <w:szCs w:val="28"/>
              </w:rPr>
              <w:t>Pilot</w:t>
            </w:r>
            <w:r>
              <w:rPr>
                <w:rFonts w:ascii="Arial" w:hAnsi="Arial" w:cs="Arial"/>
                <w:noProof/>
                <w:color w:val="548DD4" w:themeColor="text2" w:themeTint="99"/>
                <w:sz w:val="20"/>
                <w:szCs w:val="28"/>
                <w:lang w:val="bg-BG"/>
              </w:rPr>
              <w:t xml:space="preserve">, обработени през </w:t>
            </w:r>
            <w:r>
              <w:rPr>
                <w:rFonts w:ascii="Arial" w:hAnsi="Arial" w:cs="Arial"/>
                <w:noProof/>
                <w:color w:val="548DD4" w:themeColor="text2" w:themeTint="99"/>
                <w:sz w:val="20"/>
                <w:szCs w:val="28"/>
                <w:lang w:val="ru-RU"/>
              </w:rPr>
              <w:t>2015</w:t>
            </w:r>
            <w:r>
              <w:rPr>
                <w:rFonts w:ascii="Arial" w:hAnsi="Arial" w:cs="Arial"/>
                <w:noProof/>
                <w:color w:val="548DD4" w:themeColor="text2" w:themeTint="99"/>
                <w:sz w:val="20"/>
                <w:szCs w:val="28"/>
                <w:lang w:val="bg-BG"/>
              </w:rPr>
              <w:t> г.</w:t>
            </w:r>
          </w:p>
        </w:tc>
      </w:tr>
      <w:tr w:rsidR="006F5B6C">
        <w:trPr>
          <w:trHeight w:val="339"/>
          <w:jc w:val="center"/>
        </w:trPr>
        <w:tc>
          <w:tcPr>
            <w:tcW w:w="2013" w:type="dxa"/>
          </w:tcPr>
          <w:p w:rsidR="006F5B6C" w:rsidRDefault="00284F4D">
            <w:pPr>
              <w:spacing w:after="0"/>
              <w:jc w:val="right"/>
              <w:rPr>
                <w:rFonts w:ascii="Arial" w:hAnsi="Arial" w:cs="Arial"/>
                <w:noProof/>
                <w:color w:val="C00000"/>
                <w:sz w:val="20"/>
                <w:szCs w:val="28"/>
              </w:rPr>
            </w:pPr>
            <w:r>
              <w:rPr>
                <w:rFonts w:ascii="Arial" w:hAnsi="Arial" w:cs="Arial"/>
                <w:noProof/>
                <w:color w:val="C00000"/>
                <w:sz w:val="20"/>
                <w:szCs w:val="28"/>
              </w:rPr>
              <w:t>= 1260</w:t>
            </w:r>
          </w:p>
        </w:tc>
        <w:tc>
          <w:tcPr>
            <w:tcW w:w="288" w:type="dxa"/>
          </w:tcPr>
          <w:p w:rsidR="006F5B6C" w:rsidRDefault="00284F4D">
            <w:pPr>
              <w:spacing w:after="0"/>
              <w:jc w:val="right"/>
              <w:rPr>
                <w:rFonts w:ascii="Arial" w:hAnsi="Arial" w:cs="Arial"/>
                <w:noProof/>
                <w:color w:val="548DD4" w:themeColor="text2" w:themeTint="99"/>
                <w:sz w:val="20"/>
                <w:szCs w:val="28"/>
              </w:rPr>
            </w:pPr>
            <w:r>
              <w:rPr>
                <w:rFonts w:ascii="Arial" w:hAnsi="Arial" w:cs="Arial"/>
                <w:noProof/>
                <w:color w:val="548DD4" w:themeColor="text2" w:themeTint="99"/>
                <w:sz w:val="20"/>
                <w:szCs w:val="28"/>
              </w:rPr>
              <w:t>&gt;</w:t>
            </w:r>
          </w:p>
        </w:tc>
        <w:tc>
          <w:tcPr>
            <w:tcW w:w="4625" w:type="dxa"/>
          </w:tcPr>
          <w:p w:rsidR="006F5B6C" w:rsidRDefault="00284F4D">
            <w:pPr>
              <w:spacing w:after="0"/>
              <w:jc w:val="left"/>
              <w:rPr>
                <w:noProof/>
                <w:lang w:val="bg-BG"/>
              </w:rPr>
            </w:pPr>
            <w:r>
              <w:rPr>
                <w:rFonts w:ascii="Arial" w:hAnsi="Arial" w:cs="Arial"/>
                <w:noProof/>
                <w:color w:val="548DD4" w:themeColor="text2" w:themeTint="99"/>
                <w:sz w:val="20"/>
                <w:szCs w:val="28"/>
                <w:lang w:val="bg-BG"/>
              </w:rPr>
              <w:t xml:space="preserve">Неприключени преписки в </w:t>
            </w:r>
            <w:r>
              <w:rPr>
                <w:rFonts w:ascii="Arial" w:hAnsi="Arial" w:cs="Arial"/>
                <w:noProof/>
                <w:color w:val="548DD4" w:themeColor="text2" w:themeTint="99"/>
                <w:sz w:val="20"/>
                <w:szCs w:val="28"/>
              </w:rPr>
              <w:t>EU</w:t>
            </w:r>
            <w:r>
              <w:rPr>
                <w:rFonts w:ascii="Arial" w:hAnsi="Arial" w:cs="Arial"/>
                <w:noProof/>
                <w:color w:val="548DD4" w:themeColor="text2" w:themeTint="99"/>
                <w:sz w:val="20"/>
                <w:szCs w:val="28"/>
                <w:lang w:val="ru-RU"/>
              </w:rPr>
              <w:t xml:space="preserve"> </w:t>
            </w:r>
            <w:r>
              <w:rPr>
                <w:rFonts w:ascii="Arial" w:hAnsi="Arial" w:cs="Arial"/>
                <w:noProof/>
                <w:color w:val="548DD4" w:themeColor="text2" w:themeTint="99"/>
                <w:sz w:val="20"/>
                <w:szCs w:val="28"/>
              </w:rPr>
              <w:t>Pilot</w:t>
            </w:r>
            <w:r>
              <w:rPr>
                <w:rFonts w:ascii="Arial" w:hAnsi="Arial" w:cs="Arial"/>
                <w:noProof/>
                <w:color w:val="548DD4" w:themeColor="text2" w:themeTint="99"/>
                <w:sz w:val="20"/>
                <w:szCs w:val="28"/>
                <w:lang w:val="bg-BG"/>
              </w:rPr>
              <w:t xml:space="preserve"> към края на </w:t>
            </w:r>
            <w:r>
              <w:rPr>
                <w:rFonts w:ascii="Arial" w:hAnsi="Arial" w:cs="Arial"/>
                <w:noProof/>
                <w:color w:val="548DD4" w:themeColor="text2" w:themeTint="99"/>
                <w:sz w:val="20"/>
                <w:szCs w:val="28"/>
                <w:lang w:val="ru-RU"/>
              </w:rPr>
              <w:t>2015</w:t>
            </w:r>
            <w:r>
              <w:rPr>
                <w:rFonts w:ascii="Arial" w:hAnsi="Arial" w:cs="Arial"/>
                <w:noProof/>
                <w:color w:val="548DD4" w:themeColor="text2" w:themeTint="99"/>
                <w:sz w:val="20"/>
                <w:szCs w:val="28"/>
                <w:lang w:val="bg-BG"/>
              </w:rPr>
              <w:t> г.</w:t>
            </w:r>
          </w:p>
        </w:tc>
      </w:tr>
    </w:tbl>
    <w:p w:rsidR="006F5B6C" w:rsidRDefault="00284F4D">
      <w:pPr>
        <w:spacing w:before="120" w:after="0"/>
        <w:ind w:left="720"/>
        <w:rPr>
          <w:rFonts w:ascii="Arial" w:hAnsi="Arial" w:cs="Arial"/>
          <w:noProof/>
          <w:sz w:val="20"/>
          <w:lang w:val="ru-RU"/>
        </w:rPr>
      </w:pPr>
      <w:r>
        <w:rPr>
          <w:rFonts w:ascii="Arial" w:hAnsi="Arial" w:cs="Arial"/>
          <w:b/>
          <w:noProof/>
          <w:sz w:val="20"/>
          <w:lang w:val="bg-BG"/>
        </w:rPr>
        <w:t xml:space="preserve">През 2015 г. бяха образувани </w:t>
      </w:r>
      <w:r>
        <w:rPr>
          <w:rFonts w:ascii="Arial" w:hAnsi="Arial" w:cs="Arial"/>
          <w:b/>
          <w:noProof/>
          <w:sz w:val="20"/>
          <w:lang w:val="ru-RU"/>
        </w:rPr>
        <w:t>881</w:t>
      </w:r>
      <w:r>
        <w:rPr>
          <w:rFonts w:ascii="Arial" w:hAnsi="Arial" w:cs="Arial"/>
          <w:b/>
          <w:noProof/>
          <w:sz w:val="20"/>
          <w:lang w:val="bg-BG"/>
        </w:rPr>
        <w:t xml:space="preserve"> нови преписки в </w:t>
      </w:r>
      <w:r>
        <w:rPr>
          <w:rFonts w:ascii="Arial" w:hAnsi="Arial" w:cs="Arial"/>
          <w:b/>
          <w:noProof/>
          <w:sz w:val="20"/>
        </w:rPr>
        <w:t>EU</w:t>
      </w:r>
      <w:r>
        <w:rPr>
          <w:rFonts w:ascii="Arial" w:hAnsi="Arial" w:cs="Arial"/>
          <w:b/>
          <w:noProof/>
          <w:sz w:val="20"/>
          <w:lang w:val="ru-RU"/>
        </w:rPr>
        <w:t xml:space="preserve"> </w:t>
      </w:r>
      <w:r>
        <w:rPr>
          <w:rFonts w:ascii="Arial" w:hAnsi="Arial" w:cs="Arial"/>
          <w:b/>
          <w:noProof/>
          <w:sz w:val="20"/>
        </w:rPr>
        <w:t>Pilot</w:t>
      </w:r>
      <w:r>
        <w:rPr>
          <w:rFonts w:ascii="Arial" w:hAnsi="Arial" w:cs="Arial"/>
          <w:b/>
          <w:noProof/>
          <w:sz w:val="20"/>
          <w:lang w:val="ru-RU"/>
        </w:rPr>
        <w:t xml:space="preserve">. </w:t>
      </w:r>
      <w:r>
        <w:rPr>
          <w:rFonts w:ascii="Arial" w:hAnsi="Arial" w:cs="Arial"/>
          <w:noProof/>
          <w:sz w:val="20"/>
          <w:lang w:val="bg-BG"/>
        </w:rPr>
        <w:t xml:space="preserve">От тях </w:t>
      </w:r>
      <w:r>
        <w:rPr>
          <w:rFonts w:ascii="Arial" w:hAnsi="Arial" w:cs="Arial"/>
          <w:noProof/>
          <w:sz w:val="20"/>
          <w:lang w:val="ru-RU"/>
        </w:rPr>
        <w:t>295</w:t>
      </w:r>
      <w:r>
        <w:rPr>
          <w:rFonts w:ascii="Arial" w:hAnsi="Arial" w:cs="Arial"/>
          <w:noProof/>
          <w:sz w:val="20"/>
          <w:lang w:val="bg-BG"/>
        </w:rPr>
        <w:t xml:space="preserve"> бяха образувани по жалби и </w:t>
      </w:r>
      <w:r>
        <w:rPr>
          <w:rFonts w:ascii="Arial" w:hAnsi="Arial" w:cs="Arial"/>
          <w:noProof/>
          <w:sz w:val="20"/>
          <w:lang w:val="ru-RU"/>
        </w:rPr>
        <w:t>578</w:t>
      </w:r>
      <w:r>
        <w:rPr>
          <w:rFonts w:ascii="Arial" w:hAnsi="Arial" w:cs="Arial"/>
          <w:noProof/>
          <w:sz w:val="20"/>
          <w:lang w:val="bg-BG"/>
        </w:rPr>
        <w:t xml:space="preserve"> бяха образувани по собствената инициатива на Комисията</w:t>
      </w:r>
      <w:r>
        <w:rPr>
          <w:rFonts w:ascii="Arial" w:hAnsi="Arial" w:cs="Arial"/>
          <w:noProof/>
          <w:sz w:val="20"/>
          <w:lang w:val="ru-RU"/>
        </w:rPr>
        <w:t>.</w:t>
      </w:r>
    </w:p>
    <w:p w:rsidR="006F5B6C" w:rsidRDefault="006F5B6C">
      <w:pPr>
        <w:spacing w:before="120" w:after="0"/>
        <w:ind w:left="720"/>
        <w:rPr>
          <w:rFonts w:ascii="Arial" w:hAnsi="Arial" w:cs="Arial"/>
          <w:noProof/>
          <w:sz w:val="20"/>
          <w:lang w:val="ru-RU"/>
        </w:rPr>
      </w:pPr>
    </w:p>
    <w:p w:rsidR="006F5B6C" w:rsidRDefault="00284F4D">
      <w:pPr>
        <w:spacing w:after="120"/>
        <w:ind w:left="709"/>
        <w:rPr>
          <w:rFonts w:ascii="Arial" w:hAnsi="Arial" w:cs="Arial"/>
          <w:noProof/>
          <w:sz w:val="20"/>
          <w:lang w:val="ru-RU"/>
        </w:rPr>
      </w:pPr>
      <w:r>
        <w:rPr>
          <w:rFonts w:ascii="Arial" w:hAnsi="Arial" w:cs="Arial"/>
          <w:noProof/>
          <w:sz w:val="20"/>
          <w:lang w:val="bg-BG"/>
        </w:rPr>
        <w:t xml:space="preserve">Графиката по-долу показва областите на политиката, до които се отнасят по-голямата част от новите преписки в </w:t>
      </w:r>
      <w:r>
        <w:rPr>
          <w:rFonts w:ascii="Arial" w:hAnsi="Arial" w:cs="Arial"/>
          <w:noProof/>
          <w:sz w:val="20"/>
        </w:rPr>
        <w:t>EU</w:t>
      </w:r>
      <w:r>
        <w:rPr>
          <w:rFonts w:ascii="Arial" w:hAnsi="Arial" w:cs="Arial"/>
          <w:noProof/>
          <w:sz w:val="20"/>
          <w:lang w:val="ru-RU"/>
        </w:rPr>
        <w:t xml:space="preserve"> </w:t>
      </w:r>
      <w:r>
        <w:rPr>
          <w:rFonts w:ascii="Arial" w:hAnsi="Arial" w:cs="Arial"/>
          <w:noProof/>
          <w:sz w:val="20"/>
        </w:rPr>
        <w:t>Pilot</w:t>
      </w:r>
      <w:r>
        <w:rPr>
          <w:rFonts w:ascii="Arial" w:hAnsi="Arial" w:cs="Arial"/>
          <w:noProof/>
          <w:sz w:val="20"/>
          <w:lang w:val="bg-BG"/>
        </w:rPr>
        <w:t>, образувани през</w:t>
      </w:r>
      <w:r>
        <w:rPr>
          <w:rFonts w:ascii="Arial" w:hAnsi="Arial" w:cs="Arial"/>
          <w:noProof/>
          <w:sz w:val="20"/>
          <w:lang w:val="ru-RU"/>
        </w:rPr>
        <w:t xml:space="preserve"> 2015</w:t>
      </w:r>
      <w:r>
        <w:rPr>
          <w:rFonts w:ascii="Arial" w:hAnsi="Arial" w:cs="Arial"/>
          <w:noProof/>
          <w:sz w:val="20"/>
          <w:lang w:val="bg-BG"/>
        </w:rPr>
        <w:t> г.</w:t>
      </w:r>
      <w:r>
        <w:rPr>
          <w:rFonts w:ascii="Arial" w:hAnsi="Arial" w:cs="Arial"/>
          <w:noProof/>
          <w:sz w:val="20"/>
          <w:lang w:val="ru-RU"/>
        </w:rPr>
        <w:t>:</w:t>
      </w:r>
    </w:p>
    <w:p w:rsidR="006F5B6C" w:rsidRDefault="00284F4D">
      <w:pPr>
        <w:pStyle w:val="Body"/>
        <w:ind w:left="709"/>
        <w:rPr>
          <w:noProof/>
        </w:rPr>
      </w:pPr>
      <w:r>
        <w:rPr>
          <w:noProof/>
          <w:lang w:eastAsia="en-GB"/>
        </w:rPr>
        <w:drawing>
          <wp:inline distT="0" distB="0" distL="0" distR="0">
            <wp:extent cx="5250094" cy="3020603"/>
            <wp:effectExtent l="0" t="0" r="8255" b="8890"/>
            <wp:docPr id="3" name="Grafiek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6F5B6C" w:rsidRDefault="00284F4D">
      <w:pPr>
        <w:ind w:left="709"/>
        <w:rPr>
          <w:rFonts w:ascii="Arial" w:hAnsi="Arial" w:cs="Arial"/>
          <w:noProof/>
          <w:sz w:val="20"/>
          <w:lang w:val="bg-BG"/>
        </w:rPr>
      </w:pPr>
      <w:r>
        <w:rPr>
          <w:rFonts w:ascii="Arial" w:hAnsi="Arial" w:cs="Arial"/>
          <w:b/>
          <w:noProof/>
          <w:sz w:val="20"/>
          <w:lang w:val="bg-BG"/>
        </w:rPr>
        <w:lastRenderedPageBreak/>
        <w:t xml:space="preserve">През 2015 г. бяха обработени </w:t>
      </w:r>
      <w:r>
        <w:rPr>
          <w:rFonts w:ascii="Arial" w:hAnsi="Arial" w:cs="Arial"/>
          <w:b/>
          <w:noProof/>
          <w:sz w:val="20"/>
          <w:lang w:val="ru-RU"/>
        </w:rPr>
        <w:t xml:space="preserve">969 </w:t>
      </w:r>
      <w:r>
        <w:rPr>
          <w:rFonts w:ascii="Arial" w:hAnsi="Arial" w:cs="Arial"/>
          <w:b/>
          <w:noProof/>
          <w:sz w:val="20"/>
          <w:lang w:val="bg-BG"/>
        </w:rPr>
        <w:t xml:space="preserve">преписки в </w:t>
      </w:r>
      <w:r>
        <w:rPr>
          <w:rFonts w:ascii="Arial" w:hAnsi="Arial" w:cs="Arial"/>
          <w:b/>
          <w:noProof/>
          <w:sz w:val="20"/>
        </w:rPr>
        <w:t>EU</w:t>
      </w:r>
      <w:r>
        <w:rPr>
          <w:rFonts w:ascii="Arial" w:hAnsi="Arial" w:cs="Arial"/>
          <w:b/>
          <w:noProof/>
          <w:sz w:val="20"/>
          <w:lang w:val="ru-RU"/>
        </w:rPr>
        <w:t xml:space="preserve"> </w:t>
      </w:r>
      <w:r>
        <w:rPr>
          <w:rFonts w:ascii="Arial" w:hAnsi="Arial" w:cs="Arial"/>
          <w:b/>
          <w:noProof/>
          <w:sz w:val="20"/>
        </w:rPr>
        <w:t>Pilot</w:t>
      </w:r>
      <w:r>
        <w:rPr>
          <w:rFonts w:ascii="Arial" w:hAnsi="Arial" w:cs="Arial"/>
          <w:b/>
          <w:noProof/>
          <w:sz w:val="20"/>
          <w:lang w:val="bg-BG"/>
        </w:rPr>
        <w:t>.</w:t>
      </w:r>
      <w:r>
        <w:rPr>
          <w:rFonts w:ascii="Arial" w:hAnsi="Arial" w:cs="Arial"/>
          <w:noProof/>
          <w:sz w:val="20"/>
          <w:lang w:val="bg-BG"/>
        </w:rPr>
        <w:t xml:space="preserve"> Комисията приключи 726 от тях след като получи задоволителни отговори от съответствие държави членки. Това означава ниво на успеваемост от 75</w:t>
      </w:r>
      <w:r>
        <w:rPr>
          <w:rFonts w:ascii="Arial" w:hAnsi="Arial" w:cs="Arial"/>
          <w:noProof/>
          <w:sz w:val="20"/>
        </w:rPr>
        <w:t> </w:t>
      </w:r>
      <w:r>
        <w:rPr>
          <w:rFonts w:ascii="Arial" w:hAnsi="Arial" w:cs="Arial"/>
          <w:noProof/>
          <w:sz w:val="20"/>
          <w:lang w:val="bg-BG"/>
        </w:rPr>
        <w:t>% при намирането на решения, което е същото като това през 2014 г.</w:t>
      </w:r>
    </w:p>
    <w:p w:rsidR="006F5B6C" w:rsidRDefault="00284F4D">
      <w:pPr>
        <w:ind w:left="709"/>
        <w:rPr>
          <w:rFonts w:ascii="Arial" w:hAnsi="Arial" w:cs="Arial"/>
          <w:noProof/>
          <w:sz w:val="20"/>
          <w:lang w:val="bg-BG"/>
        </w:rPr>
      </w:pPr>
      <w:r>
        <w:rPr>
          <w:rFonts w:ascii="Arial" w:hAnsi="Arial" w:cs="Arial"/>
          <w:noProof/>
          <w:sz w:val="20"/>
          <w:lang w:val="bg-BG"/>
        </w:rPr>
        <w:t xml:space="preserve">Общо бяха приключени 243 преписки в </w:t>
      </w:r>
      <w:r>
        <w:rPr>
          <w:rFonts w:ascii="Arial" w:hAnsi="Arial" w:cs="Arial"/>
          <w:noProof/>
          <w:sz w:val="20"/>
        </w:rPr>
        <w:t>EU</w:t>
      </w:r>
      <w:r>
        <w:rPr>
          <w:rFonts w:ascii="Arial" w:hAnsi="Arial" w:cs="Arial"/>
          <w:noProof/>
          <w:sz w:val="20"/>
          <w:lang w:val="bg-BG"/>
        </w:rPr>
        <w:t xml:space="preserve"> </w:t>
      </w:r>
      <w:r>
        <w:rPr>
          <w:rFonts w:ascii="Arial" w:hAnsi="Arial" w:cs="Arial"/>
          <w:noProof/>
          <w:sz w:val="20"/>
        </w:rPr>
        <w:t>Pilot</w:t>
      </w:r>
      <w:r>
        <w:rPr>
          <w:rFonts w:ascii="Arial" w:hAnsi="Arial" w:cs="Arial"/>
          <w:noProof/>
          <w:sz w:val="20"/>
          <w:lang w:val="bg-BG"/>
        </w:rPr>
        <w:t xml:space="preserve">, тъй като Комисията отхвърли отговорите, предоставени от държавите членки. По </w:t>
      </w:r>
      <w:r>
        <w:rPr>
          <w:rFonts w:ascii="Arial" w:hAnsi="Arial" w:cs="Arial"/>
          <w:b/>
          <w:noProof/>
          <w:sz w:val="20"/>
          <w:lang w:val="bg-BG"/>
        </w:rPr>
        <w:t xml:space="preserve">201 </w:t>
      </w:r>
      <w:r>
        <w:rPr>
          <w:rFonts w:ascii="Arial" w:hAnsi="Arial" w:cs="Arial"/>
          <w:noProof/>
          <w:sz w:val="20"/>
          <w:lang w:val="bg-BG"/>
        </w:rPr>
        <w:t xml:space="preserve">от тях впоследствие бяха открити официални производства за установяване на неизпълнение на задължения (през 2014 г. тези преписки са били 325). Докато </w:t>
      </w:r>
      <w:r>
        <w:rPr>
          <w:rFonts w:ascii="Arial" w:hAnsi="Arial" w:cs="Arial"/>
          <w:b/>
          <w:noProof/>
          <w:sz w:val="20"/>
          <w:lang w:val="bg-BG"/>
        </w:rPr>
        <w:t xml:space="preserve">65 </w:t>
      </w:r>
      <w:r>
        <w:rPr>
          <w:rFonts w:ascii="Arial" w:hAnsi="Arial" w:cs="Arial"/>
          <w:noProof/>
          <w:sz w:val="20"/>
          <w:lang w:val="bg-BG"/>
        </w:rPr>
        <w:t xml:space="preserve">от тях се основават на подадена жалба, останалите </w:t>
      </w:r>
      <w:r>
        <w:rPr>
          <w:rFonts w:ascii="Arial" w:hAnsi="Arial" w:cs="Arial"/>
          <w:b/>
          <w:noProof/>
          <w:sz w:val="20"/>
          <w:lang w:val="bg-BG"/>
        </w:rPr>
        <w:t xml:space="preserve">136 </w:t>
      </w:r>
      <w:r>
        <w:rPr>
          <w:rFonts w:ascii="Arial" w:hAnsi="Arial" w:cs="Arial"/>
          <w:noProof/>
          <w:sz w:val="20"/>
          <w:lang w:val="bg-BG"/>
        </w:rPr>
        <w:t>са открити по собствена инициатива на Комисията.</w:t>
      </w:r>
    </w:p>
    <w:p w:rsidR="006F5B6C" w:rsidRDefault="00284F4D">
      <w:pPr>
        <w:pStyle w:val="Body"/>
        <w:ind w:left="709"/>
        <w:rPr>
          <w:noProof/>
          <w:lang w:val="bg-BG"/>
        </w:rPr>
      </w:pPr>
      <w:r>
        <w:rPr>
          <w:noProof/>
          <w:lang w:val="bg-BG"/>
        </w:rPr>
        <w:t xml:space="preserve">По-голямата част от преписките в </w:t>
      </w:r>
      <w:r>
        <w:rPr>
          <w:noProof/>
        </w:rPr>
        <w:t>EU</w:t>
      </w:r>
      <w:r>
        <w:rPr>
          <w:noProof/>
          <w:lang w:val="bg-BG"/>
        </w:rPr>
        <w:t xml:space="preserve"> </w:t>
      </w:r>
      <w:r>
        <w:rPr>
          <w:noProof/>
        </w:rPr>
        <w:t>Pilot</w:t>
      </w:r>
      <w:r>
        <w:rPr>
          <w:noProof/>
          <w:lang w:val="bg-BG"/>
        </w:rPr>
        <w:t xml:space="preserve">, по които бяха открити официални производства за установяване на неизпълнение на задължения, се отнасят до следните области на политиката: мобилност и транспорт (50 производства), околна среда (38), вътрешен пазар, промишленост, предприемачество и МСП (29) и данъчно облагане и митнически съюз (26). Италия, Франция и Испания бяха с най-голям брой такива преписки в </w:t>
      </w:r>
      <w:r>
        <w:rPr>
          <w:noProof/>
        </w:rPr>
        <w:t>EU</w:t>
      </w:r>
      <w:r>
        <w:rPr>
          <w:noProof/>
          <w:lang w:val="bg-BG"/>
        </w:rPr>
        <w:t xml:space="preserve"> </w:t>
      </w:r>
      <w:r>
        <w:rPr>
          <w:noProof/>
        </w:rPr>
        <w:t>Pilot</w:t>
      </w:r>
      <w:r>
        <w:rPr>
          <w:noProof/>
          <w:lang w:val="bg-BG"/>
        </w:rPr>
        <w:t>, по които впоследствие бе образувано производство за установяване на неизпълнение на задължения (съответно по 19, 17 и1 6 преписки).</w:t>
      </w:r>
    </w:p>
    <w:p w:rsidR="006F5B6C" w:rsidRDefault="00284F4D">
      <w:pPr>
        <w:pStyle w:val="Body"/>
        <w:ind w:left="709"/>
        <w:rPr>
          <w:noProof/>
        </w:rPr>
      </w:pPr>
      <w:r>
        <w:rPr>
          <w:noProof/>
          <w:lang w:eastAsia="en-GB"/>
        </w:rPr>
        <w:drawing>
          <wp:inline distT="0" distB="0" distL="0" distR="0">
            <wp:extent cx="5165475" cy="2270589"/>
            <wp:effectExtent l="0" t="0" r="0" b="0"/>
            <wp:docPr id="21" name="Grafie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6F5B6C" w:rsidRDefault="00284F4D">
      <w:pPr>
        <w:pStyle w:val="Body"/>
        <w:ind w:left="709"/>
        <w:rPr>
          <w:noProof/>
          <w:lang w:val="ru-RU"/>
        </w:rPr>
      </w:pPr>
      <w:r>
        <w:rPr>
          <w:b/>
          <w:noProof/>
          <w:lang w:val="bg-BG"/>
        </w:rPr>
        <w:t xml:space="preserve">Към края на 2015 г. броят на неприключените преписки в </w:t>
      </w:r>
      <w:r>
        <w:rPr>
          <w:b/>
          <w:noProof/>
        </w:rPr>
        <w:t>EU</w:t>
      </w:r>
      <w:r>
        <w:rPr>
          <w:b/>
          <w:noProof/>
          <w:lang w:val="ru-RU"/>
        </w:rPr>
        <w:t xml:space="preserve"> </w:t>
      </w:r>
      <w:r>
        <w:rPr>
          <w:b/>
          <w:noProof/>
        </w:rPr>
        <w:t>Pilot</w:t>
      </w:r>
      <w:r>
        <w:rPr>
          <w:b/>
          <w:noProof/>
          <w:lang w:val="ru-RU"/>
        </w:rPr>
        <w:t xml:space="preserve"> </w:t>
      </w:r>
      <w:r>
        <w:rPr>
          <w:b/>
          <w:noProof/>
          <w:lang w:val="bg-BG"/>
        </w:rPr>
        <w:t xml:space="preserve">е бил </w:t>
      </w:r>
      <w:r>
        <w:rPr>
          <w:b/>
          <w:noProof/>
          <w:lang w:val="ru-RU"/>
        </w:rPr>
        <w:t>1 260</w:t>
      </w:r>
      <w:r>
        <w:rPr>
          <w:noProof/>
          <w:lang w:val="ru-RU"/>
        </w:rPr>
        <w:t xml:space="preserve">. </w:t>
      </w:r>
      <w:r>
        <w:rPr>
          <w:noProof/>
          <w:lang w:val="bg-BG"/>
        </w:rPr>
        <w:t>По-голямата част от тях са се отнасяли до Италия </w:t>
      </w:r>
      <w:r>
        <w:rPr>
          <w:noProof/>
          <w:lang w:val="ru-RU"/>
        </w:rPr>
        <w:t xml:space="preserve">(111), </w:t>
      </w:r>
      <w:r>
        <w:rPr>
          <w:noProof/>
          <w:lang w:val="bg-BG"/>
        </w:rPr>
        <w:t>Испания </w:t>
      </w:r>
      <w:r>
        <w:rPr>
          <w:noProof/>
          <w:lang w:val="ru-RU"/>
        </w:rPr>
        <w:t xml:space="preserve">(78) </w:t>
      </w:r>
      <w:r>
        <w:rPr>
          <w:noProof/>
          <w:lang w:val="bg-BG"/>
        </w:rPr>
        <w:t>и Полша </w:t>
      </w:r>
      <w:r>
        <w:rPr>
          <w:noProof/>
          <w:lang w:val="ru-RU"/>
        </w:rPr>
        <w:t xml:space="preserve">(74). </w:t>
      </w:r>
      <w:r>
        <w:rPr>
          <w:noProof/>
          <w:lang w:val="bg-BG"/>
        </w:rPr>
        <w:t xml:space="preserve">Околната среда продължава да бъде основната засегната област на политиката с </w:t>
      </w:r>
      <w:r>
        <w:rPr>
          <w:noProof/>
          <w:lang w:val="ru-RU"/>
        </w:rPr>
        <w:t>298</w:t>
      </w:r>
      <w:r>
        <w:rPr>
          <w:noProof/>
          <w:lang w:val="bg-BG"/>
        </w:rPr>
        <w:t> неприключени преписки</w:t>
      </w:r>
      <w:r>
        <w:rPr>
          <w:noProof/>
          <w:lang w:val="ru-RU"/>
        </w:rPr>
        <w:t xml:space="preserve">, </w:t>
      </w:r>
      <w:r>
        <w:rPr>
          <w:noProof/>
          <w:lang w:val="bg-BG"/>
        </w:rPr>
        <w:t>следвана от правосъдието </w:t>
      </w:r>
      <w:r>
        <w:rPr>
          <w:noProof/>
          <w:lang w:val="ru-RU"/>
        </w:rPr>
        <w:t xml:space="preserve">(191) </w:t>
      </w:r>
      <w:r>
        <w:rPr>
          <w:noProof/>
          <w:lang w:val="bg-BG"/>
        </w:rPr>
        <w:t>и данъчното облагане и митниците </w:t>
      </w:r>
      <w:r>
        <w:rPr>
          <w:noProof/>
          <w:lang w:val="ru-RU"/>
        </w:rPr>
        <w:t>(141).</w:t>
      </w:r>
    </w:p>
    <w:p w:rsidR="006F5B6C" w:rsidRDefault="00284F4D">
      <w:pPr>
        <w:pStyle w:val="Body"/>
        <w:ind w:left="709"/>
        <w:rPr>
          <w:noProof/>
          <w:lang w:val="ru-RU"/>
        </w:rPr>
      </w:pPr>
      <w:r>
        <w:rPr>
          <w:noProof/>
          <w:lang w:val="bg-BG"/>
        </w:rPr>
        <w:t xml:space="preserve">Графиката по-долу показва нивото на успеваемост в </w:t>
      </w:r>
      <w:r>
        <w:rPr>
          <w:noProof/>
        </w:rPr>
        <w:t>EU</w:t>
      </w:r>
      <w:r>
        <w:rPr>
          <w:noProof/>
          <w:lang w:val="ru-RU"/>
        </w:rPr>
        <w:t xml:space="preserve"> </w:t>
      </w:r>
      <w:r>
        <w:rPr>
          <w:noProof/>
        </w:rPr>
        <w:t>Pilot</w:t>
      </w:r>
      <w:r>
        <w:rPr>
          <w:noProof/>
          <w:lang w:val="ru-RU"/>
        </w:rPr>
        <w:t xml:space="preserve"> </w:t>
      </w:r>
      <w:r>
        <w:rPr>
          <w:noProof/>
          <w:lang w:val="bg-BG"/>
        </w:rPr>
        <w:t xml:space="preserve">при намирането на решение </w:t>
      </w:r>
      <w:r>
        <w:rPr>
          <w:noProof/>
          <w:lang w:val="ru-RU"/>
        </w:rPr>
        <w:t>(</w:t>
      </w:r>
      <w:r>
        <w:rPr>
          <w:noProof/>
          <w:lang w:val="bg-BG"/>
        </w:rPr>
        <w:t>броят на преписките, приключени от Комисията без започване на процедура за установяване на неизпълнение на задължения по държави членки през</w:t>
      </w:r>
      <w:r>
        <w:rPr>
          <w:noProof/>
          <w:lang w:val="ru-RU"/>
        </w:rPr>
        <w:t xml:space="preserve"> 2015</w:t>
      </w:r>
      <w:r>
        <w:rPr>
          <w:noProof/>
          <w:lang w:val="bg-BG"/>
        </w:rPr>
        <w:t> г.</w:t>
      </w:r>
      <w:r>
        <w:rPr>
          <w:noProof/>
          <w:lang w:val="ru-RU"/>
        </w:rPr>
        <w:t xml:space="preserve">), </w:t>
      </w:r>
      <w:r>
        <w:rPr>
          <w:noProof/>
          <w:lang w:val="bg-BG"/>
        </w:rPr>
        <w:t>свързано с броя на обработените през същата година преписки</w:t>
      </w:r>
      <w:r>
        <w:rPr>
          <w:noProof/>
          <w:lang w:val="ru-RU"/>
        </w:rPr>
        <w:t>.</w:t>
      </w:r>
    </w:p>
    <w:p w:rsidR="006F5B6C" w:rsidRDefault="006F5B6C">
      <w:pPr>
        <w:pStyle w:val="Body"/>
        <w:spacing w:after="120"/>
        <w:ind w:firstLine="352"/>
        <w:rPr>
          <w:noProof/>
          <w:lang w:val="ru-RU"/>
        </w:rPr>
      </w:pPr>
    </w:p>
    <w:p w:rsidR="006F5B6C" w:rsidRDefault="00284F4D">
      <w:pPr>
        <w:pStyle w:val="Body"/>
        <w:ind w:firstLine="69"/>
        <w:rPr>
          <w:noProof/>
        </w:rPr>
      </w:pPr>
      <w:r>
        <w:rPr>
          <w:noProof/>
          <w:lang w:eastAsia="en-GB"/>
        </w:rPr>
        <w:lastRenderedPageBreak/>
        <w:drawing>
          <wp:inline distT="0" distB="0" distL="0" distR="0">
            <wp:extent cx="5341620" cy="3040380"/>
            <wp:effectExtent l="19050" t="0" r="11430" b="762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6F5B6C" w:rsidRDefault="00284F4D">
      <w:pPr>
        <w:ind w:left="357"/>
        <w:rPr>
          <w:rFonts w:ascii="Arial" w:hAnsi="Arial" w:cs="Arial"/>
          <w:noProof/>
          <w:sz w:val="20"/>
          <w:lang w:val="ru-RU"/>
        </w:rPr>
      </w:pPr>
      <w:r>
        <w:rPr>
          <w:rFonts w:ascii="Arial" w:hAnsi="Arial" w:cs="Arial"/>
          <w:noProof/>
          <w:sz w:val="20"/>
          <w:lang w:val="bg-BG"/>
        </w:rPr>
        <w:t xml:space="preserve">Държавите членки следва да представят решение по даден проблем в рамките на </w:t>
      </w:r>
      <w:r>
        <w:rPr>
          <w:rFonts w:ascii="Arial" w:hAnsi="Arial" w:cs="Arial"/>
          <w:noProof/>
          <w:sz w:val="20"/>
          <w:lang w:val="ru-RU"/>
        </w:rPr>
        <w:t>10</w:t>
      </w:r>
      <w:r>
        <w:rPr>
          <w:rFonts w:ascii="Arial" w:hAnsi="Arial" w:cs="Arial"/>
          <w:noProof/>
          <w:sz w:val="20"/>
          <w:lang w:val="bg-BG"/>
        </w:rPr>
        <w:t> седмици</w:t>
      </w:r>
      <w:r>
        <w:rPr>
          <w:rFonts w:ascii="Arial" w:hAnsi="Arial" w:cs="Arial"/>
          <w:noProof/>
          <w:sz w:val="20"/>
          <w:lang w:val="ru-RU"/>
        </w:rPr>
        <w:t xml:space="preserve"> (70</w:t>
      </w:r>
      <w:r>
        <w:rPr>
          <w:rFonts w:ascii="Arial" w:hAnsi="Arial" w:cs="Arial"/>
          <w:noProof/>
          <w:sz w:val="20"/>
          <w:lang w:val="bg-BG"/>
        </w:rPr>
        <w:t> дни</w:t>
      </w:r>
      <w:r>
        <w:rPr>
          <w:rFonts w:ascii="Arial" w:hAnsi="Arial" w:cs="Arial"/>
          <w:noProof/>
          <w:sz w:val="20"/>
          <w:lang w:val="ru-RU"/>
        </w:rPr>
        <w:t>)</w:t>
      </w:r>
      <w:r>
        <w:rPr>
          <w:rFonts w:ascii="Arial" w:hAnsi="Arial" w:cs="Arial"/>
          <w:noProof/>
          <w:sz w:val="20"/>
          <w:lang w:val="bg-BG"/>
        </w:rPr>
        <w:t xml:space="preserve"> от уведомяването им от Комисията в рамките на</w:t>
      </w:r>
      <w:r>
        <w:rPr>
          <w:rFonts w:ascii="Arial" w:hAnsi="Arial" w:cs="Arial"/>
          <w:noProof/>
          <w:sz w:val="20"/>
          <w:lang w:val="ru-RU"/>
        </w:rPr>
        <w:t xml:space="preserve"> </w:t>
      </w:r>
      <w:r>
        <w:rPr>
          <w:rFonts w:ascii="Arial" w:hAnsi="Arial" w:cs="Arial"/>
          <w:noProof/>
          <w:sz w:val="20"/>
        </w:rPr>
        <w:t>EU</w:t>
      </w:r>
      <w:r>
        <w:rPr>
          <w:rFonts w:ascii="Arial" w:hAnsi="Arial" w:cs="Arial"/>
          <w:noProof/>
          <w:sz w:val="20"/>
          <w:lang w:val="ru-RU"/>
        </w:rPr>
        <w:t xml:space="preserve"> </w:t>
      </w:r>
      <w:r>
        <w:rPr>
          <w:rFonts w:ascii="Arial" w:hAnsi="Arial" w:cs="Arial"/>
          <w:noProof/>
          <w:sz w:val="20"/>
        </w:rPr>
        <w:t>Pilot</w:t>
      </w:r>
      <w:r>
        <w:rPr>
          <w:rFonts w:ascii="Arial" w:hAnsi="Arial" w:cs="Arial"/>
          <w:noProof/>
          <w:sz w:val="20"/>
          <w:lang w:val="ru-RU"/>
        </w:rPr>
        <w:t xml:space="preserve">. </w:t>
      </w:r>
      <w:r>
        <w:rPr>
          <w:rFonts w:ascii="Arial" w:hAnsi="Arial" w:cs="Arial"/>
          <w:noProof/>
          <w:sz w:val="20"/>
          <w:lang w:val="bg-BG"/>
        </w:rPr>
        <w:t>Следващата графика показва средното време за отговор по държави членки през</w:t>
      </w:r>
      <w:r>
        <w:rPr>
          <w:rFonts w:ascii="Arial" w:hAnsi="Arial" w:cs="Arial"/>
          <w:noProof/>
          <w:sz w:val="20"/>
          <w:lang w:val="ru-RU"/>
        </w:rPr>
        <w:t xml:space="preserve"> 2015</w:t>
      </w:r>
      <w:r>
        <w:rPr>
          <w:rFonts w:ascii="Arial" w:hAnsi="Arial" w:cs="Arial"/>
          <w:noProof/>
          <w:sz w:val="20"/>
          <w:lang w:val="bg-BG"/>
        </w:rPr>
        <w:t> г</w:t>
      </w:r>
      <w:r>
        <w:rPr>
          <w:rFonts w:ascii="Arial" w:hAnsi="Arial" w:cs="Arial"/>
          <w:noProof/>
          <w:sz w:val="20"/>
          <w:lang w:val="ru-RU"/>
        </w:rPr>
        <w:t>.</w:t>
      </w:r>
    </w:p>
    <w:p w:rsidR="006F5B6C" w:rsidRDefault="00284F4D">
      <w:pPr>
        <w:pStyle w:val="Body"/>
        <w:rPr>
          <w:b/>
          <w:noProof/>
        </w:rPr>
      </w:pPr>
      <w:r>
        <w:rPr>
          <w:b/>
          <w:noProof/>
          <w:lang w:eastAsia="en-GB"/>
        </w:rPr>
        <w:drawing>
          <wp:inline distT="0" distB="0" distL="0" distR="0">
            <wp:extent cx="5317671" cy="3102428"/>
            <wp:effectExtent l="0" t="0" r="0" b="3175"/>
            <wp:docPr id="29" name="Grafie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6F5B6C" w:rsidRDefault="00284F4D">
      <w:pPr>
        <w:pStyle w:val="kop2"/>
        <w:rPr>
          <w:noProof/>
          <w:lang w:val="ru-RU"/>
        </w:rPr>
      </w:pPr>
      <w:bookmarkStart w:id="28" w:name="_Toc437944195"/>
      <w:bookmarkStart w:id="29" w:name="_Toc454443125"/>
      <w:r>
        <w:rPr>
          <w:caps w:val="0"/>
          <w:noProof/>
          <w:lang w:val="bg-BG"/>
        </w:rPr>
        <w:t>Фази в производството за установяване на неизпълнение на задължения</w:t>
      </w:r>
      <w:bookmarkEnd w:id="28"/>
      <w:bookmarkEnd w:id="29"/>
    </w:p>
    <w:p w:rsidR="006F5B6C" w:rsidRDefault="00284F4D">
      <w:pPr>
        <w:pStyle w:val="kop3"/>
        <w:numPr>
          <w:ilvl w:val="0"/>
          <w:numId w:val="26"/>
        </w:numPr>
        <w:rPr>
          <w:noProof/>
        </w:rPr>
      </w:pPr>
      <w:bookmarkStart w:id="30" w:name="_Toc437944196"/>
      <w:bookmarkStart w:id="31" w:name="_Toc454443126"/>
      <w:r>
        <w:rPr>
          <w:noProof/>
          <w:lang w:val="bg-BG"/>
        </w:rPr>
        <w:t>Досъдебна фаза</w:t>
      </w:r>
      <w:bookmarkEnd w:id="30"/>
      <w:bookmarkEnd w:id="31"/>
    </w:p>
    <w:p w:rsidR="006F5B6C" w:rsidRDefault="00284F4D">
      <w:pPr>
        <w:ind w:left="720"/>
        <w:rPr>
          <w:rFonts w:ascii="Arial" w:hAnsi="Arial" w:cs="Arial"/>
          <w:noProof/>
          <w:sz w:val="20"/>
        </w:rPr>
      </w:pPr>
      <w:r>
        <w:rPr>
          <w:rFonts w:ascii="Arial" w:hAnsi="Arial" w:cs="Arial"/>
          <w:noProof/>
          <w:sz w:val="20"/>
          <w:lang w:val="bg-BG"/>
        </w:rPr>
        <w:t>През</w:t>
      </w:r>
      <w:r>
        <w:rPr>
          <w:rFonts w:ascii="Arial" w:hAnsi="Arial" w:cs="Arial"/>
          <w:noProof/>
          <w:sz w:val="20"/>
          <w:lang w:val="ru-RU"/>
        </w:rPr>
        <w:t xml:space="preserve"> 2015</w:t>
      </w:r>
      <w:r>
        <w:rPr>
          <w:rFonts w:ascii="Arial" w:hAnsi="Arial" w:cs="Arial"/>
          <w:noProof/>
          <w:sz w:val="20"/>
          <w:lang w:val="bg-BG"/>
        </w:rPr>
        <w:t xml:space="preserve"> г. Комисията започна </w:t>
      </w:r>
      <w:r>
        <w:rPr>
          <w:rFonts w:ascii="Arial" w:hAnsi="Arial" w:cs="Arial"/>
          <w:b/>
          <w:noProof/>
          <w:sz w:val="20"/>
          <w:lang w:val="ru-RU"/>
        </w:rPr>
        <w:t>742</w:t>
      </w:r>
      <w:r>
        <w:rPr>
          <w:rFonts w:ascii="Arial" w:hAnsi="Arial" w:cs="Arial"/>
          <w:b/>
          <w:noProof/>
          <w:sz w:val="20"/>
          <w:lang w:val="bg-BG"/>
        </w:rPr>
        <w:t xml:space="preserve"> </w:t>
      </w:r>
      <w:r>
        <w:rPr>
          <w:rFonts w:ascii="Arial" w:hAnsi="Arial" w:cs="Arial"/>
          <w:noProof/>
          <w:sz w:val="20"/>
          <w:lang w:val="bg-BG"/>
        </w:rPr>
        <w:t>нови производства чрез изпращане на официално уведомително писмо</w:t>
      </w:r>
      <w:r>
        <w:rPr>
          <w:rFonts w:ascii="Arial" w:hAnsi="Arial" w:cs="Arial"/>
          <w:noProof/>
          <w:sz w:val="20"/>
          <w:lang w:val="ru-RU"/>
        </w:rPr>
        <w:t xml:space="preserve">. </w:t>
      </w:r>
      <w:r>
        <w:rPr>
          <w:rFonts w:ascii="Arial" w:hAnsi="Arial" w:cs="Arial"/>
          <w:noProof/>
          <w:sz w:val="20"/>
          <w:lang w:val="bg-BG"/>
        </w:rPr>
        <w:t>Графиката по-долу показва разпределението по държави членки</w:t>
      </w:r>
      <w:r>
        <w:rPr>
          <w:rFonts w:ascii="Arial" w:hAnsi="Arial" w:cs="Arial"/>
          <w:noProof/>
          <w:sz w:val="20"/>
        </w:rPr>
        <w:t>.</w:t>
      </w:r>
    </w:p>
    <w:p w:rsidR="006F5B6C" w:rsidRDefault="00284F4D">
      <w:pPr>
        <w:ind w:left="720"/>
        <w:rPr>
          <w:rFonts w:ascii="Verdana" w:hAnsi="Verdana"/>
          <w:noProof/>
          <w:sz w:val="20"/>
        </w:rPr>
      </w:pPr>
      <w:r>
        <w:rPr>
          <w:noProof/>
          <w:lang w:eastAsia="en-GB"/>
        </w:rPr>
        <w:lastRenderedPageBreak/>
        <w:drawing>
          <wp:inline distT="0" distB="0" distL="0" distR="0">
            <wp:extent cx="5286375" cy="2433955"/>
            <wp:effectExtent l="0" t="0" r="0" b="4445"/>
            <wp:docPr id="5" name="Grafie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6F5B6C" w:rsidRDefault="00284F4D">
      <w:pPr>
        <w:spacing w:after="0"/>
        <w:jc w:val="left"/>
        <w:rPr>
          <w:rFonts w:ascii="Arial" w:hAnsi="Arial" w:cs="Arial"/>
          <w:noProof/>
          <w:sz w:val="20"/>
        </w:rPr>
      </w:pPr>
      <w:r>
        <w:rPr>
          <w:rFonts w:ascii="Arial" w:hAnsi="Arial" w:cs="Arial"/>
          <w:noProof/>
          <w:sz w:val="20"/>
        </w:rPr>
        <w:br w:type="page"/>
      </w:r>
    </w:p>
    <w:p w:rsidR="006F5B6C" w:rsidRDefault="006F5B6C">
      <w:pPr>
        <w:spacing w:after="0"/>
        <w:jc w:val="left"/>
        <w:rPr>
          <w:rFonts w:ascii="Arial" w:hAnsi="Arial" w:cs="Arial"/>
          <w:noProof/>
          <w:sz w:val="20"/>
        </w:rPr>
      </w:pPr>
    </w:p>
    <w:p w:rsidR="006F5B6C" w:rsidRDefault="00284F4D">
      <w:pPr>
        <w:pStyle w:val="Body"/>
        <w:ind w:left="0"/>
        <w:rPr>
          <w:noProof/>
          <w:lang w:val="bg-BG"/>
        </w:rPr>
      </w:pPr>
      <w:r>
        <w:rPr>
          <w:noProof/>
          <w:lang w:val="bg-BG"/>
        </w:rPr>
        <w:t>Представената по-долу графика показва основните области на политиката, във връзка с които бяха започнати нови производства.</w:t>
      </w:r>
    </w:p>
    <w:p w:rsidR="006F5B6C" w:rsidRDefault="00284F4D">
      <w:pPr>
        <w:ind w:left="720"/>
        <w:rPr>
          <w:rFonts w:ascii="Verdana" w:hAnsi="Verdana"/>
          <w:noProof/>
          <w:sz w:val="20"/>
        </w:rPr>
      </w:pPr>
      <w:r>
        <w:rPr>
          <w:noProof/>
          <w:lang w:eastAsia="en-GB"/>
        </w:rPr>
        <w:drawing>
          <wp:inline distT="0" distB="0" distL="0" distR="0">
            <wp:extent cx="4587240" cy="2781300"/>
            <wp:effectExtent l="0" t="0" r="3810" b="0"/>
            <wp:docPr id="32" name="Grafie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6F5B6C" w:rsidRDefault="00284F4D">
      <w:pPr>
        <w:ind w:left="720"/>
        <w:rPr>
          <w:rFonts w:ascii="Arial" w:hAnsi="Arial" w:cs="Arial"/>
          <w:noProof/>
          <w:sz w:val="20"/>
          <w:lang w:val="bg-BG"/>
        </w:rPr>
      </w:pPr>
      <w:r>
        <w:rPr>
          <w:rFonts w:ascii="Arial" w:hAnsi="Arial" w:cs="Arial"/>
          <w:noProof/>
          <w:sz w:val="20"/>
          <w:lang w:val="bg-BG"/>
        </w:rPr>
        <w:t xml:space="preserve">През 2015 г. Комисията също така изпрати </w:t>
      </w:r>
      <w:r>
        <w:rPr>
          <w:rFonts w:ascii="Arial" w:hAnsi="Arial" w:cs="Arial"/>
          <w:noProof/>
          <w:sz w:val="20"/>
          <w:lang w:val="ru-RU"/>
        </w:rPr>
        <w:t>248</w:t>
      </w:r>
      <w:r>
        <w:rPr>
          <w:rFonts w:ascii="Arial" w:hAnsi="Arial" w:cs="Arial"/>
          <w:noProof/>
          <w:sz w:val="20"/>
          <w:lang w:val="bg-BG"/>
        </w:rPr>
        <w:t> мотивирани становища до държави членки</w:t>
      </w:r>
      <w:r>
        <w:rPr>
          <w:rFonts w:ascii="Arial" w:hAnsi="Arial" w:cs="Arial"/>
          <w:noProof/>
          <w:sz w:val="20"/>
          <w:lang w:val="ru-RU"/>
        </w:rPr>
        <w:t>.</w:t>
      </w:r>
      <w:r>
        <w:rPr>
          <w:rFonts w:ascii="Arial" w:hAnsi="Arial" w:cs="Arial"/>
          <w:noProof/>
          <w:sz w:val="20"/>
          <w:lang w:val="bg-BG"/>
        </w:rPr>
        <w:t xml:space="preserve"> Основните засегнати области на политиката бяха мобилност и транспорт (49), околна среда (40), финансови услуги (40) и енергетика (36).</w:t>
      </w:r>
    </w:p>
    <w:p w:rsidR="006F5B6C" w:rsidRDefault="00284F4D">
      <w:pPr>
        <w:ind w:left="720"/>
        <w:rPr>
          <w:rFonts w:ascii="Arial" w:hAnsi="Arial" w:cs="Arial"/>
          <w:noProof/>
          <w:sz w:val="20"/>
          <w:lang w:val="bg-BG"/>
        </w:rPr>
      </w:pPr>
      <w:r>
        <w:rPr>
          <w:rFonts w:ascii="Arial" w:hAnsi="Arial" w:cs="Arial"/>
          <w:noProof/>
          <w:sz w:val="20"/>
          <w:lang w:val="bg-BG"/>
        </w:rPr>
        <w:t>Следната графика дава разпределението по държави членки.</w:t>
      </w:r>
    </w:p>
    <w:p w:rsidR="006F5B6C" w:rsidRDefault="00284F4D">
      <w:pPr>
        <w:ind w:left="720"/>
        <w:rPr>
          <w:rFonts w:ascii="Arial" w:hAnsi="Arial" w:cs="Arial"/>
          <w:noProof/>
          <w:sz w:val="20"/>
          <w:lang w:val="bg-BG"/>
        </w:rPr>
      </w:pPr>
      <w:r>
        <w:rPr>
          <w:noProof/>
          <w:lang w:eastAsia="en-GB"/>
        </w:rPr>
        <w:drawing>
          <wp:inline distT="0" distB="0" distL="0" distR="0">
            <wp:extent cx="5287108" cy="2168769"/>
            <wp:effectExtent l="0" t="0" r="8890" b="3175"/>
            <wp:docPr id="4" name="Grafie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F5B6C" w:rsidRDefault="00284F4D">
      <w:pPr>
        <w:ind w:left="720"/>
        <w:rPr>
          <w:rFonts w:ascii="Arial" w:hAnsi="Arial" w:cs="Arial"/>
          <w:noProof/>
          <w:sz w:val="20"/>
          <w:lang w:val="bg-BG"/>
        </w:rPr>
      </w:pPr>
      <w:r>
        <w:rPr>
          <w:rFonts w:ascii="Arial" w:hAnsi="Arial" w:cs="Arial"/>
          <w:noProof/>
          <w:sz w:val="20"/>
          <w:lang w:val="bg-BG"/>
        </w:rPr>
        <w:t xml:space="preserve">Към края на 2015 г. все още не бяха приключени </w:t>
      </w:r>
      <w:r>
        <w:rPr>
          <w:rFonts w:ascii="Arial" w:hAnsi="Arial" w:cs="Arial"/>
          <w:b/>
          <w:noProof/>
          <w:sz w:val="20"/>
          <w:lang w:val="bg-BG"/>
        </w:rPr>
        <w:t xml:space="preserve">1368 </w:t>
      </w:r>
      <w:r>
        <w:rPr>
          <w:rFonts w:ascii="Arial" w:hAnsi="Arial" w:cs="Arial"/>
          <w:noProof/>
          <w:sz w:val="20"/>
          <w:lang w:val="bg-BG"/>
        </w:rPr>
        <w:t>производства за установяване на неизпълнение на задължения. Това представлява слабо повишение спрямо предишната година, но все още е под нивото от 2011 г., както е видно от следващата графика.</w:t>
      </w:r>
    </w:p>
    <w:p w:rsidR="006F5B6C" w:rsidRDefault="00284F4D">
      <w:pPr>
        <w:ind w:left="720"/>
        <w:rPr>
          <w:rFonts w:ascii="Verdana" w:hAnsi="Verdana"/>
          <w:noProof/>
          <w:sz w:val="20"/>
        </w:rPr>
      </w:pPr>
      <w:r>
        <w:rPr>
          <w:noProof/>
          <w:lang w:eastAsia="en-GB"/>
        </w:rPr>
        <w:lastRenderedPageBreak/>
        <w:drawing>
          <wp:inline distT="0" distB="0" distL="0" distR="0">
            <wp:extent cx="4786630" cy="2481580"/>
            <wp:effectExtent l="19050" t="0" r="13970" b="0"/>
            <wp:docPr id="1" name="Grafie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6F5B6C" w:rsidRDefault="006F5B6C">
      <w:pPr>
        <w:spacing w:after="0"/>
        <w:jc w:val="left"/>
        <w:rPr>
          <w:rFonts w:ascii="Arial" w:hAnsi="Arial" w:cs="Arial"/>
          <w:noProof/>
          <w:sz w:val="20"/>
        </w:rPr>
      </w:pPr>
    </w:p>
    <w:p w:rsidR="006F5B6C" w:rsidRDefault="00284F4D">
      <w:pPr>
        <w:pStyle w:val="Body"/>
        <w:rPr>
          <w:noProof/>
          <w:lang w:val="ru-RU"/>
        </w:rPr>
      </w:pPr>
      <w:r>
        <w:rPr>
          <w:noProof/>
          <w:lang w:val="bg-BG"/>
        </w:rPr>
        <w:t>В таблицата по-долу е посочен броят на неприключените производства за установяване на неизпълнение на задължения по държава членка към края на</w:t>
      </w:r>
      <w:r>
        <w:rPr>
          <w:noProof/>
          <w:lang w:val="ru-RU"/>
        </w:rPr>
        <w:t xml:space="preserve"> 2015</w:t>
      </w:r>
      <w:r>
        <w:rPr>
          <w:noProof/>
          <w:lang w:val="bg-BG"/>
        </w:rPr>
        <w:t> г.</w:t>
      </w:r>
      <w:r>
        <w:rPr>
          <w:noProof/>
          <w:lang w:val="ru-RU"/>
        </w:rPr>
        <w:t>:</w:t>
      </w:r>
    </w:p>
    <w:p w:rsidR="006F5B6C" w:rsidRDefault="00284F4D">
      <w:pPr>
        <w:pStyle w:val="Lijstje3"/>
        <w:numPr>
          <w:ilvl w:val="0"/>
          <w:numId w:val="0"/>
        </w:numPr>
        <w:ind w:firstLine="720"/>
        <w:rPr>
          <w:noProof/>
          <w:lang w:val="en-GB"/>
        </w:rPr>
      </w:pPr>
      <w:r>
        <w:rPr>
          <w:noProof/>
          <w:lang w:val="en-GB" w:eastAsia="en-GB"/>
        </w:rPr>
        <w:drawing>
          <wp:inline distT="0" distB="0" distL="0" distR="0">
            <wp:extent cx="5331735" cy="3665838"/>
            <wp:effectExtent l="19050" t="0" r="21315" b="0"/>
            <wp:docPr id="8" name="Objec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6F5B6C" w:rsidRDefault="00284F4D">
      <w:pPr>
        <w:spacing w:after="0"/>
        <w:jc w:val="left"/>
        <w:rPr>
          <w:rFonts w:ascii="Arial" w:hAnsi="Arial" w:cs="Arial"/>
          <w:noProof/>
          <w:sz w:val="20"/>
        </w:rPr>
      </w:pPr>
      <w:r>
        <w:rPr>
          <w:rFonts w:ascii="Arial" w:hAnsi="Arial" w:cs="Arial"/>
          <w:noProof/>
          <w:sz w:val="20"/>
        </w:rPr>
        <w:br w:type="page"/>
      </w:r>
    </w:p>
    <w:p w:rsidR="006F5B6C" w:rsidRDefault="00284F4D">
      <w:pPr>
        <w:spacing w:after="120"/>
        <w:jc w:val="left"/>
        <w:rPr>
          <w:rFonts w:ascii="Arial" w:hAnsi="Arial" w:cs="Arial"/>
          <w:noProof/>
          <w:sz w:val="20"/>
          <w:lang w:val="ru-RU"/>
        </w:rPr>
      </w:pPr>
      <w:r>
        <w:rPr>
          <w:rFonts w:ascii="Arial" w:hAnsi="Arial" w:cs="Arial"/>
          <w:noProof/>
          <w:sz w:val="20"/>
          <w:lang w:val="bg-BG"/>
        </w:rPr>
        <w:lastRenderedPageBreak/>
        <w:t>Графиката по-долу показва разбивка на неприключените производства за установяване на неизпълнение на задължения към края на 2015 г. по област на политиката</w:t>
      </w:r>
      <w:r>
        <w:rPr>
          <w:rFonts w:ascii="Arial" w:hAnsi="Arial" w:cs="Arial"/>
          <w:noProof/>
          <w:sz w:val="20"/>
          <w:lang w:val="ru-RU"/>
        </w:rPr>
        <w:t>:</w:t>
      </w:r>
    </w:p>
    <w:p w:rsidR="006F5B6C" w:rsidRDefault="00284F4D">
      <w:pPr>
        <w:pStyle w:val="Lijstje3"/>
        <w:numPr>
          <w:ilvl w:val="0"/>
          <w:numId w:val="0"/>
        </w:numPr>
        <w:ind w:left="1069" w:hanging="283"/>
        <w:rPr>
          <w:noProof/>
          <w:lang w:val="en-GB"/>
        </w:rPr>
      </w:pPr>
      <w:r>
        <w:rPr>
          <w:noProof/>
          <w:lang w:val="en-GB" w:eastAsia="en-GB"/>
        </w:rPr>
        <w:drawing>
          <wp:inline distT="0" distB="0" distL="0" distR="0">
            <wp:extent cx="5273040" cy="4183380"/>
            <wp:effectExtent l="0" t="0" r="3810" b="7620"/>
            <wp:docPr id="15" name="Grafiek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6F5B6C" w:rsidRDefault="00284F4D">
      <w:pPr>
        <w:ind w:left="720"/>
        <w:rPr>
          <w:rStyle w:val="BodyChar"/>
          <w:noProof/>
          <w:sz w:val="20"/>
          <w:lang w:val="bg-BG"/>
        </w:rPr>
      </w:pPr>
      <w:r>
        <w:rPr>
          <w:rStyle w:val="BodyChar"/>
          <w:noProof/>
          <w:sz w:val="20"/>
          <w:lang w:val="bg-BG"/>
        </w:rPr>
        <w:t>Диалогът между Комисията и държавата членка продължава дори след започване на официалното производство с цел да се постигне изпълнение на задълженията</w:t>
      </w:r>
      <w:r>
        <w:rPr>
          <w:rStyle w:val="BodyChar"/>
          <w:noProof/>
          <w:sz w:val="20"/>
          <w:lang w:val="ru-RU"/>
        </w:rPr>
        <w:t xml:space="preserve">. </w:t>
      </w:r>
      <w:r>
        <w:rPr>
          <w:rStyle w:val="BodyChar"/>
          <w:noProof/>
          <w:sz w:val="20"/>
          <w:lang w:val="bg-BG"/>
        </w:rPr>
        <w:t>Статистиката потвърждава, че държавите членки полагат сериозни усилия за отстраняване на допуснатите нарушения, преди Съдът да постанови своето решение</w:t>
      </w:r>
      <w:r>
        <w:rPr>
          <w:rStyle w:val="FootnoteReference"/>
          <w:rFonts w:ascii="Arial" w:hAnsi="Arial" w:cs="Arial"/>
          <w:noProof/>
          <w:sz w:val="20"/>
        </w:rPr>
        <w:footnoteReference w:id="105"/>
      </w:r>
      <w:r>
        <w:rPr>
          <w:rStyle w:val="BodyChar"/>
          <w:noProof/>
          <w:sz w:val="20"/>
          <w:lang w:val="bg-BG"/>
        </w:rPr>
        <w:t>.</w:t>
      </w:r>
    </w:p>
    <w:p w:rsidR="006F5B6C" w:rsidRDefault="00284F4D">
      <w:pPr>
        <w:ind w:left="720"/>
        <w:rPr>
          <w:rFonts w:ascii="Arial" w:hAnsi="Arial" w:cs="Arial"/>
          <w:noProof/>
          <w:sz w:val="20"/>
          <w:lang w:val="bg-BG"/>
        </w:rPr>
      </w:pPr>
      <w:r>
        <w:rPr>
          <w:rFonts w:ascii="Arial" w:hAnsi="Arial" w:cs="Arial"/>
          <w:noProof/>
          <w:sz w:val="20"/>
          <w:lang w:val="bg-BG"/>
        </w:rPr>
        <w:t>През 2015 г. Комисията приключи:</w:t>
      </w:r>
    </w:p>
    <w:p w:rsidR="006F5B6C" w:rsidRDefault="00284F4D">
      <w:pPr>
        <w:numPr>
          <w:ilvl w:val="0"/>
          <w:numId w:val="29"/>
        </w:numPr>
        <w:spacing w:after="200" w:line="276" w:lineRule="auto"/>
        <w:ind w:left="1080"/>
        <w:rPr>
          <w:rFonts w:ascii="Arial" w:hAnsi="Arial" w:cs="Arial"/>
          <w:noProof/>
          <w:sz w:val="20"/>
          <w:lang w:val="bg-BG"/>
        </w:rPr>
      </w:pPr>
      <w:r>
        <w:rPr>
          <w:rFonts w:ascii="Arial" w:hAnsi="Arial" w:cs="Arial"/>
          <w:noProof/>
          <w:sz w:val="20"/>
          <w:lang w:val="bg-BG"/>
        </w:rPr>
        <w:t>474 производства за установяване на неизпълнение на задължения след изпращане на официалното уведомително писмо;</w:t>
      </w:r>
    </w:p>
    <w:p w:rsidR="006F5B6C" w:rsidRDefault="00284F4D">
      <w:pPr>
        <w:numPr>
          <w:ilvl w:val="0"/>
          <w:numId w:val="29"/>
        </w:numPr>
        <w:spacing w:after="200" w:line="276" w:lineRule="auto"/>
        <w:ind w:left="1080"/>
        <w:rPr>
          <w:rFonts w:ascii="Arial" w:hAnsi="Arial" w:cs="Arial"/>
          <w:noProof/>
          <w:sz w:val="20"/>
          <w:lang w:val="bg-BG"/>
        </w:rPr>
      </w:pPr>
      <w:r>
        <w:rPr>
          <w:rFonts w:ascii="Arial" w:hAnsi="Arial" w:cs="Arial"/>
          <w:noProof/>
          <w:sz w:val="20"/>
          <w:lang w:val="bg-BG"/>
        </w:rPr>
        <w:t>183 производства след изпращане на мотивирани становища и</w:t>
      </w:r>
    </w:p>
    <w:p w:rsidR="006F5B6C" w:rsidRDefault="00284F4D">
      <w:pPr>
        <w:numPr>
          <w:ilvl w:val="0"/>
          <w:numId w:val="29"/>
        </w:numPr>
        <w:spacing w:after="200" w:line="276" w:lineRule="auto"/>
        <w:ind w:left="1080"/>
        <w:rPr>
          <w:rFonts w:ascii="Arial" w:hAnsi="Arial" w:cs="Arial"/>
          <w:noProof/>
          <w:sz w:val="20"/>
          <w:lang w:val="bg-BG"/>
        </w:rPr>
      </w:pPr>
      <w:r>
        <w:rPr>
          <w:rFonts w:ascii="Arial" w:eastAsia="Calibri" w:hAnsi="Arial" w:cs="Arial"/>
          <w:noProof/>
          <w:kern w:val="20"/>
          <w:sz w:val="20"/>
          <w:lang w:val="bg-BG"/>
        </w:rPr>
        <w:t>12 производства след вземане на решение за сезиране на Съда, но преди изпращане на искова молба. Освен това Комисията оттегли 13 производства от Съда, преди той да постанови своето решение.</w:t>
      </w:r>
    </w:p>
    <w:p w:rsidR="006F5B6C" w:rsidRDefault="00284F4D">
      <w:pPr>
        <w:pStyle w:val="kop3"/>
        <w:rPr>
          <w:rStyle w:val="Strong"/>
          <w:rFonts w:ascii="Verdana" w:hAnsi="Verdana" w:cs="Times New Roman"/>
          <w:i w:val="0"/>
          <w:noProof/>
          <w:color w:val="006FB4"/>
          <w:lang w:val="bg-BG"/>
        </w:rPr>
      </w:pPr>
      <w:bookmarkStart w:id="32" w:name="_Toc437944197"/>
      <w:bookmarkStart w:id="33" w:name="_Toc454443127"/>
      <w:r>
        <w:rPr>
          <w:noProof/>
          <w:lang w:val="bg-BG"/>
        </w:rPr>
        <w:t>Решения на Съда на Европейския съюз съгласно член 258 и член 260, параграф 2 от ДФЕС</w:t>
      </w:r>
      <w:bookmarkEnd w:id="32"/>
      <w:bookmarkEnd w:id="33"/>
    </w:p>
    <w:p w:rsidR="006F5B6C" w:rsidRDefault="00284F4D">
      <w:pPr>
        <w:pStyle w:val="Body"/>
        <w:ind w:left="709"/>
        <w:rPr>
          <w:noProof/>
        </w:rPr>
      </w:pPr>
      <w:r>
        <w:rPr>
          <w:noProof/>
          <w:lang w:val="bg-BG"/>
        </w:rPr>
        <w:t>През 2015 г. Съдът постанови 25 решения по член 258 от ДФЕС, като 18 (82</w:t>
      </w:r>
      <w:r>
        <w:rPr>
          <w:noProof/>
        </w:rPr>
        <w:t> </w:t>
      </w:r>
      <w:r>
        <w:rPr>
          <w:noProof/>
          <w:lang w:val="bg-BG"/>
        </w:rPr>
        <w:t>%) от тях бяха в полза на Комисията. Най-голям брой решения бяха постановени по дела срещу</w:t>
      </w:r>
      <w:r>
        <w:rPr>
          <w:noProof/>
        </w:rPr>
        <w:t>:</w:t>
      </w:r>
    </w:p>
    <w:p w:rsidR="006F5B6C" w:rsidRDefault="00284F4D">
      <w:pPr>
        <w:pStyle w:val="Body"/>
        <w:numPr>
          <w:ilvl w:val="0"/>
          <w:numId w:val="36"/>
        </w:numPr>
        <w:spacing w:after="120"/>
        <w:ind w:hanging="357"/>
        <w:rPr>
          <w:noProof/>
          <w:lang w:val="ru-RU"/>
        </w:rPr>
      </w:pPr>
      <w:r>
        <w:rPr>
          <w:noProof/>
          <w:lang w:val="bg-BG"/>
        </w:rPr>
        <w:lastRenderedPageBreak/>
        <w:t>Полша</w:t>
      </w:r>
      <w:r>
        <w:rPr>
          <w:noProof/>
          <w:lang w:val="ru-RU"/>
        </w:rPr>
        <w:t xml:space="preserve"> (</w:t>
      </w:r>
      <w:r>
        <w:rPr>
          <w:noProof/>
          <w:lang w:val="bg-BG"/>
        </w:rPr>
        <w:t>четири</w:t>
      </w:r>
      <w:r>
        <w:rPr>
          <w:noProof/>
          <w:lang w:val="ru-RU"/>
        </w:rPr>
        <w:t>,</w:t>
      </w:r>
      <w:r>
        <w:rPr>
          <w:noProof/>
          <w:lang w:val="bg-BG"/>
        </w:rPr>
        <w:t xml:space="preserve"> всички в полза на Комисията</w:t>
      </w:r>
      <w:r>
        <w:rPr>
          <w:noProof/>
          <w:lang w:val="ru-RU"/>
        </w:rPr>
        <w:t>),</w:t>
      </w:r>
    </w:p>
    <w:p w:rsidR="006F5B6C" w:rsidRDefault="00284F4D">
      <w:pPr>
        <w:pStyle w:val="Body"/>
        <w:numPr>
          <w:ilvl w:val="0"/>
          <w:numId w:val="36"/>
        </w:numPr>
        <w:spacing w:after="120"/>
        <w:ind w:hanging="357"/>
        <w:rPr>
          <w:noProof/>
          <w:lang w:val="ru-RU"/>
        </w:rPr>
      </w:pPr>
      <w:r>
        <w:rPr>
          <w:noProof/>
          <w:lang w:val="bg-BG"/>
        </w:rPr>
        <w:t>Белгия</w:t>
      </w:r>
      <w:r>
        <w:rPr>
          <w:noProof/>
          <w:lang w:val="ru-RU"/>
        </w:rPr>
        <w:t xml:space="preserve"> (</w:t>
      </w:r>
      <w:r>
        <w:rPr>
          <w:noProof/>
          <w:lang w:val="bg-BG"/>
        </w:rPr>
        <w:t>две</w:t>
      </w:r>
      <w:r>
        <w:rPr>
          <w:noProof/>
          <w:lang w:val="ru-RU"/>
        </w:rPr>
        <w:t>,</w:t>
      </w:r>
      <w:r>
        <w:rPr>
          <w:noProof/>
          <w:lang w:val="bg-BG"/>
        </w:rPr>
        <w:t xml:space="preserve"> и двете в полза на Комисията</w:t>
      </w:r>
      <w:r>
        <w:rPr>
          <w:noProof/>
          <w:lang w:val="ru-RU"/>
        </w:rPr>
        <w:t>),</w:t>
      </w:r>
    </w:p>
    <w:p w:rsidR="006F5B6C" w:rsidRDefault="00284F4D">
      <w:pPr>
        <w:pStyle w:val="Body"/>
        <w:numPr>
          <w:ilvl w:val="0"/>
          <w:numId w:val="36"/>
        </w:numPr>
        <w:spacing w:after="120"/>
        <w:ind w:hanging="357"/>
        <w:rPr>
          <w:noProof/>
          <w:lang w:val="ru-RU"/>
        </w:rPr>
      </w:pPr>
      <w:r>
        <w:rPr>
          <w:noProof/>
          <w:lang w:val="bg-BG"/>
        </w:rPr>
        <w:t>България</w:t>
      </w:r>
      <w:r>
        <w:rPr>
          <w:noProof/>
          <w:lang w:val="ru-RU"/>
        </w:rPr>
        <w:t xml:space="preserve"> (</w:t>
      </w:r>
      <w:r>
        <w:rPr>
          <w:noProof/>
          <w:lang w:val="bg-BG"/>
        </w:rPr>
        <w:t>две</w:t>
      </w:r>
      <w:r>
        <w:rPr>
          <w:noProof/>
          <w:lang w:val="ru-RU"/>
        </w:rPr>
        <w:t xml:space="preserve">, </w:t>
      </w:r>
      <w:r>
        <w:rPr>
          <w:noProof/>
          <w:lang w:val="bg-BG"/>
        </w:rPr>
        <w:t>и двете в полза на Комисията</w:t>
      </w:r>
      <w:r>
        <w:rPr>
          <w:noProof/>
          <w:lang w:val="ru-RU"/>
        </w:rPr>
        <w:t>),</w:t>
      </w:r>
    </w:p>
    <w:p w:rsidR="006F5B6C" w:rsidRDefault="00284F4D">
      <w:pPr>
        <w:pStyle w:val="Body"/>
        <w:numPr>
          <w:ilvl w:val="0"/>
          <w:numId w:val="36"/>
        </w:numPr>
        <w:spacing w:after="120"/>
        <w:ind w:hanging="357"/>
        <w:rPr>
          <w:noProof/>
          <w:lang w:val="ru-RU"/>
        </w:rPr>
      </w:pPr>
      <w:r>
        <w:rPr>
          <w:noProof/>
          <w:lang w:val="bg-BG"/>
        </w:rPr>
        <w:t>Франция</w:t>
      </w:r>
      <w:r>
        <w:rPr>
          <w:noProof/>
          <w:lang w:val="ru-RU"/>
        </w:rPr>
        <w:t xml:space="preserve"> (</w:t>
      </w:r>
      <w:r>
        <w:rPr>
          <w:noProof/>
          <w:lang w:val="bg-BG"/>
        </w:rPr>
        <w:t>две</w:t>
      </w:r>
      <w:r>
        <w:rPr>
          <w:noProof/>
          <w:lang w:val="ru-RU"/>
        </w:rPr>
        <w:t xml:space="preserve">, </w:t>
      </w:r>
      <w:r>
        <w:rPr>
          <w:noProof/>
          <w:lang w:val="bg-BG"/>
        </w:rPr>
        <w:t>и двете в полза на Комисията</w:t>
      </w:r>
      <w:r>
        <w:rPr>
          <w:noProof/>
          <w:lang w:val="ru-RU"/>
        </w:rPr>
        <w:t>),</w:t>
      </w:r>
    </w:p>
    <w:p w:rsidR="006F5B6C" w:rsidRDefault="00284F4D">
      <w:pPr>
        <w:pStyle w:val="Body"/>
        <w:numPr>
          <w:ilvl w:val="0"/>
          <w:numId w:val="36"/>
        </w:numPr>
        <w:spacing w:after="120"/>
        <w:ind w:hanging="357"/>
        <w:rPr>
          <w:noProof/>
          <w:lang w:val="ru-RU"/>
        </w:rPr>
      </w:pPr>
      <w:r>
        <w:rPr>
          <w:noProof/>
          <w:lang w:val="bg-BG"/>
        </w:rPr>
        <w:t>Германия</w:t>
      </w:r>
      <w:r>
        <w:rPr>
          <w:noProof/>
          <w:lang w:val="ru-RU"/>
        </w:rPr>
        <w:t xml:space="preserve"> (</w:t>
      </w:r>
      <w:r>
        <w:rPr>
          <w:noProof/>
          <w:lang w:val="bg-BG"/>
        </w:rPr>
        <w:t>две</w:t>
      </w:r>
      <w:r>
        <w:rPr>
          <w:noProof/>
          <w:lang w:val="ru-RU"/>
        </w:rPr>
        <w:t xml:space="preserve">, </w:t>
      </w:r>
      <w:r>
        <w:rPr>
          <w:noProof/>
          <w:lang w:val="bg-BG"/>
        </w:rPr>
        <w:t>и двете в полза на Комисията</w:t>
      </w:r>
      <w:r>
        <w:rPr>
          <w:noProof/>
          <w:lang w:val="ru-RU"/>
        </w:rPr>
        <w:t>),</w:t>
      </w:r>
    </w:p>
    <w:p w:rsidR="006F5B6C" w:rsidRDefault="00284F4D">
      <w:pPr>
        <w:pStyle w:val="Body"/>
        <w:numPr>
          <w:ilvl w:val="0"/>
          <w:numId w:val="36"/>
        </w:numPr>
        <w:spacing w:after="120"/>
        <w:ind w:hanging="357"/>
        <w:rPr>
          <w:noProof/>
          <w:lang w:val="ru-RU"/>
        </w:rPr>
      </w:pPr>
      <w:r>
        <w:rPr>
          <w:noProof/>
          <w:lang w:val="bg-BG"/>
        </w:rPr>
        <w:t>Гърция</w:t>
      </w:r>
      <w:r>
        <w:rPr>
          <w:noProof/>
          <w:lang w:val="ru-RU"/>
        </w:rPr>
        <w:t xml:space="preserve"> (</w:t>
      </w:r>
      <w:r>
        <w:rPr>
          <w:noProof/>
          <w:lang w:val="bg-BG"/>
        </w:rPr>
        <w:t>две</w:t>
      </w:r>
      <w:r>
        <w:rPr>
          <w:noProof/>
          <w:lang w:val="ru-RU"/>
        </w:rPr>
        <w:t xml:space="preserve">, </w:t>
      </w:r>
      <w:r>
        <w:rPr>
          <w:noProof/>
          <w:lang w:val="bg-BG"/>
        </w:rPr>
        <w:t>и двете в полза на Комисията</w:t>
      </w:r>
      <w:r>
        <w:rPr>
          <w:noProof/>
          <w:lang w:val="ru-RU"/>
        </w:rPr>
        <w:t>),</w:t>
      </w:r>
    </w:p>
    <w:p w:rsidR="006F5B6C" w:rsidRDefault="00284F4D">
      <w:pPr>
        <w:pStyle w:val="Body"/>
        <w:numPr>
          <w:ilvl w:val="0"/>
          <w:numId w:val="36"/>
        </w:numPr>
        <w:spacing w:after="120"/>
        <w:ind w:hanging="357"/>
        <w:rPr>
          <w:noProof/>
          <w:lang w:val="ru-RU"/>
        </w:rPr>
      </w:pPr>
      <w:r>
        <w:rPr>
          <w:noProof/>
          <w:lang w:val="bg-BG"/>
        </w:rPr>
        <w:t>Люксембург</w:t>
      </w:r>
      <w:r>
        <w:rPr>
          <w:noProof/>
          <w:lang w:val="ru-RU"/>
        </w:rPr>
        <w:t xml:space="preserve"> (</w:t>
      </w:r>
      <w:r>
        <w:rPr>
          <w:noProof/>
          <w:lang w:val="bg-BG"/>
        </w:rPr>
        <w:t>две</w:t>
      </w:r>
      <w:r>
        <w:rPr>
          <w:noProof/>
          <w:lang w:val="ru-RU"/>
        </w:rPr>
        <w:t xml:space="preserve">, </w:t>
      </w:r>
      <w:r>
        <w:rPr>
          <w:noProof/>
          <w:lang w:val="bg-BG"/>
        </w:rPr>
        <w:t>и двете в полза на Комисията</w:t>
      </w:r>
      <w:r>
        <w:rPr>
          <w:noProof/>
          <w:lang w:val="ru-RU"/>
        </w:rPr>
        <w:t>),</w:t>
      </w:r>
    </w:p>
    <w:p w:rsidR="006F5B6C" w:rsidRDefault="00284F4D">
      <w:pPr>
        <w:pStyle w:val="Body"/>
        <w:numPr>
          <w:ilvl w:val="0"/>
          <w:numId w:val="36"/>
        </w:numPr>
        <w:spacing w:after="120"/>
        <w:ind w:hanging="357"/>
        <w:rPr>
          <w:noProof/>
          <w:lang w:val="ru-RU"/>
        </w:rPr>
      </w:pPr>
      <w:r>
        <w:rPr>
          <w:noProof/>
          <w:lang w:val="bg-BG"/>
        </w:rPr>
        <w:t>Словакия</w:t>
      </w:r>
      <w:r>
        <w:rPr>
          <w:noProof/>
          <w:lang w:val="ru-RU"/>
        </w:rPr>
        <w:t xml:space="preserve"> (</w:t>
      </w:r>
      <w:r>
        <w:rPr>
          <w:noProof/>
          <w:lang w:val="bg-BG"/>
        </w:rPr>
        <w:t>две, и двете в полза на Словакия</w:t>
      </w:r>
      <w:r>
        <w:rPr>
          <w:noProof/>
          <w:lang w:val="ru-RU"/>
        </w:rPr>
        <w:t>)</w:t>
      </w:r>
      <w:r>
        <w:rPr>
          <w:noProof/>
          <w:lang w:val="bg-BG"/>
        </w:rPr>
        <w:t>, и</w:t>
      </w:r>
    </w:p>
    <w:p w:rsidR="006F5B6C" w:rsidRDefault="00284F4D">
      <w:pPr>
        <w:pStyle w:val="Body"/>
        <w:numPr>
          <w:ilvl w:val="0"/>
          <w:numId w:val="36"/>
        </w:numPr>
        <w:spacing w:after="120"/>
        <w:ind w:hanging="357"/>
        <w:rPr>
          <w:noProof/>
          <w:lang w:val="ru-RU"/>
        </w:rPr>
      </w:pPr>
      <w:r>
        <w:rPr>
          <w:noProof/>
          <w:lang w:val="bg-BG"/>
        </w:rPr>
        <w:t>Обединеното кралство</w:t>
      </w:r>
      <w:r>
        <w:rPr>
          <w:noProof/>
          <w:lang w:val="ru-RU"/>
        </w:rPr>
        <w:t xml:space="preserve"> (</w:t>
      </w:r>
      <w:r>
        <w:rPr>
          <w:noProof/>
          <w:lang w:val="bg-BG"/>
        </w:rPr>
        <w:t>две</w:t>
      </w:r>
      <w:r>
        <w:rPr>
          <w:noProof/>
          <w:lang w:val="ru-RU"/>
        </w:rPr>
        <w:t>,</w:t>
      </w:r>
      <w:r>
        <w:rPr>
          <w:noProof/>
          <w:lang w:val="bg-BG"/>
        </w:rPr>
        <w:t xml:space="preserve"> от които едно в полза на Обединеното кралство</w:t>
      </w:r>
      <w:r>
        <w:rPr>
          <w:noProof/>
          <w:lang w:val="ru-RU"/>
        </w:rPr>
        <w:t>).</w:t>
      </w:r>
    </w:p>
    <w:p w:rsidR="006F5B6C" w:rsidRDefault="00284F4D">
      <w:pPr>
        <w:pStyle w:val="Body"/>
        <w:ind w:left="709"/>
        <w:rPr>
          <w:bCs/>
          <w:noProof/>
          <w:lang w:val="bg-BG"/>
        </w:rPr>
      </w:pPr>
      <w:r>
        <w:rPr>
          <w:noProof/>
          <w:lang w:val="bg-BG"/>
        </w:rPr>
        <w:t>През 2015 г. Съдът постанови най-много решения в областите на данъчното облагане </w:t>
      </w:r>
      <w:r>
        <w:rPr>
          <w:noProof/>
          <w:lang w:val="ru-RU"/>
        </w:rPr>
        <w:t xml:space="preserve">(9), </w:t>
      </w:r>
      <w:r>
        <w:rPr>
          <w:noProof/>
          <w:lang w:val="bg-BG"/>
        </w:rPr>
        <w:t>трудовата заетост </w:t>
      </w:r>
      <w:r>
        <w:rPr>
          <w:noProof/>
          <w:lang w:val="ru-RU"/>
        </w:rPr>
        <w:t>(6)</w:t>
      </w:r>
      <w:r>
        <w:rPr>
          <w:noProof/>
          <w:lang w:val="bg-BG"/>
        </w:rPr>
        <w:t xml:space="preserve"> и околната среда </w:t>
      </w:r>
      <w:r>
        <w:rPr>
          <w:noProof/>
          <w:lang w:val="ru-RU"/>
        </w:rPr>
        <w:t>(4)</w:t>
      </w:r>
      <w:r>
        <w:rPr>
          <w:noProof/>
          <w:lang w:val="bg-BG"/>
        </w:rPr>
        <w:t>.</w:t>
      </w:r>
    </w:p>
    <w:p w:rsidR="006F5B6C" w:rsidRDefault="00284F4D">
      <w:pPr>
        <w:spacing w:after="0"/>
        <w:ind w:left="720"/>
        <w:rPr>
          <w:rFonts w:ascii="Arial" w:hAnsi="Arial" w:cs="Arial"/>
          <w:noProof/>
          <w:sz w:val="20"/>
          <w:lang w:val="bg-BG"/>
        </w:rPr>
      </w:pPr>
      <w:r>
        <w:rPr>
          <w:rFonts w:ascii="Arial" w:hAnsi="Arial" w:cs="Arial"/>
          <w:noProof/>
          <w:sz w:val="20"/>
          <w:lang w:val="bg-BG"/>
        </w:rPr>
        <w:t>Често държавите членки предприемат своевременно необходимите мерки за изпълнение на решението на Съда. При все това към края на годината 85 производства за неизпълнение на задължения все още не бяха приключени след постановяване на решение на Съда, тъй като Комисията бе на мнение, че засегнатите държави членки все още не са изпълнили решения на Съда по член 258 от ДФЕС. Повечето от делата бяха срещу Гърция (10), Полша (8) и Испания (7) и се отнасяха до околната среда (35), транспорта (12), данъчното облагане (9) и здравеопазването и защитата на потребителите (7).</w:t>
      </w:r>
    </w:p>
    <w:p w:rsidR="006F5B6C" w:rsidRDefault="006F5B6C">
      <w:pPr>
        <w:spacing w:after="0"/>
        <w:ind w:left="720"/>
        <w:rPr>
          <w:rFonts w:ascii="Arial" w:hAnsi="Arial" w:cs="Arial"/>
          <w:noProof/>
          <w:sz w:val="20"/>
          <w:lang w:val="bg-BG"/>
        </w:rPr>
      </w:pPr>
    </w:p>
    <w:p w:rsidR="006F5B6C" w:rsidRDefault="00284F4D">
      <w:pPr>
        <w:spacing w:after="0"/>
        <w:ind w:left="720"/>
        <w:rPr>
          <w:rFonts w:ascii="Arial" w:hAnsi="Arial" w:cs="Arial"/>
          <w:noProof/>
          <w:sz w:val="20"/>
          <w:lang w:val="bg-BG"/>
        </w:rPr>
      </w:pPr>
      <w:r>
        <w:rPr>
          <w:rFonts w:ascii="Arial" w:hAnsi="Arial" w:cs="Arial"/>
          <w:noProof/>
          <w:sz w:val="20"/>
          <w:lang w:val="bg-BG"/>
        </w:rPr>
        <w:t>По 2 от тези 85 случая Съдът беше сезиран за втори път. Когато съгласно член 260, параграф 2 от ДФЕС Съдът наложи финансови санкции, неизправната държава членка трябва незабавно да плати еднократно платима сума и да плаща периодична имуществена санкция, докато изпълни изцяло първото и второто решение на Съда. През 2015 г. Съдът постанови три други решения по член 260, параграф 2 от ДФЕС. Съдът наложи имуществени санкции на Италия</w:t>
      </w:r>
      <w:r>
        <w:rPr>
          <w:rStyle w:val="FootnoteReference"/>
          <w:rFonts w:ascii="Arial" w:hAnsi="Arial" w:cs="Arial"/>
          <w:noProof/>
          <w:sz w:val="20"/>
        </w:rPr>
        <w:footnoteReference w:id="106"/>
      </w:r>
      <w:r>
        <w:rPr>
          <w:rFonts w:ascii="Arial" w:hAnsi="Arial" w:cs="Arial"/>
          <w:noProof/>
          <w:sz w:val="20"/>
          <w:lang w:val="bg-BG"/>
        </w:rPr>
        <w:t>и Гърция</w:t>
      </w:r>
      <w:r>
        <w:rPr>
          <w:rStyle w:val="FootnoteReference"/>
          <w:rFonts w:ascii="Arial" w:hAnsi="Arial" w:cs="Arial"/>
          <w:noProof/>
          <w:sz w:val="20"/>
        </w:rPr>
        <w:footnoteReference w:id="107"/>
      </w:r>
      <w:r>
        <w:rPr>
          <w:rFonts w:ascii="Arial" w:hAnsi="Arial" w:cs="Arial"/>
          <w:noProof/>
          <w:sz w:val="20"/>
          <w:lang w:val="bg-BG"/>
        </w:rPr>
        <w:t>. Към края на 2015 г. седем производства за установяване на неизпълнение на задължения все още не бяха приключени след постановяване на решение на Съда по член 260, параграф 2 от ДФЕС.</w:t>
      </w:r>
    </w:p>
    <w:p w:rsidR="006F5B6C" w:rsidRPr="00284F4D" w:rsidRDefault="00284F4D">
      <w:pPr>
        <w:spacing w:after="0"/>
        <w:rPr>
          <w:rFonts w:ascii="Arial" w:eastAsia="MS Gothic" w:hAnsi="Arial" w:cs="Arial"/>
          <w:caps/>
          <w:noProof/>
          <w:color w:val="4F81BD"/>
          <w:kern w:val="20"/>
          <w:szCs w:val="24"/>
          <w:lang w:val="bg-BG"/>
        </w:rPr>
      </w:pPr>
      <w:bookmarkStart w:id="34" w:name="_Toc437944198"/>
      <w:r w:rsidRPr="00284F4D">
        <w:rPr>
          <w:noProof/>
          <w:lang w:val="bg-BG"/>
        </w:rPr>
        <w:br w:type="page"/>
      </w:r>
    </w:p>
    <w:p w:rsidR="006F5B6C" w:rsidRDefault="006F5B6C">
      <w:pPr>
        <w:spacing w:after="0"/>
        <w:rPr>
          <w:rFonts w:ascii="Arial" w:eastAsia="MS Gothic" w:hAnsi="Arial" w:cs="Arial"/>
          <w:caps/>
          <w:noProof/>
          <w:color w:val="4F81BD"/>
          <w:kern w:val="20"/>
          <w:szCs w:val="24"/>
          <w:lang w:val="bg-BG"/>
        </w:rPr>
      </w:pPr>
    </w:p>
    <w:p w:rsidR="006F5B6C" w:rsidRDefault="00284F4D">
      <w:pPr>
        <w:pStyle w:val="kop2"/>
        <w:ind w:left="720"/>
        <w:rPr>
          <w:caps w:val="0"/>
          <w:noProof/>
        </w:rPr>
      </w:pPr>
      <w:bookmarkStart w:id="35" w:name="_Toc454443128"/>
      <w:r>
        <w:rPr>
          <w:caps w:val="0"/>
          <w:noProof/>
          <w:lang w:val="bg-BG"/>
        </w:rPr>
        <w:t>Транспониране на директиви</w:t>
      </w:r>
      <w:bookmarkEnd w:id="34"/>
      <w:bookmarkEnd w:id="35"/>
    </w:p>
    <w:p w:rsidR="006F5B6C" w:rsidRDefault="00284F4D">
      <w:pPr>
        <w:pStyle w:val="kop3"/>
        <w:numPr>
          <w:ilvl w:val="0"/>
          <w:numId w:val="27"/>
        </w:numPr>
        <w:rPr>
          <w:noProof/>
        </w:rPr>
      </w:pPr>
      <w:bookmarkStart w:id="36" w:name="_Toc437944199"/>
      <w:bookmarkStart w:id="37" w:name="_Toc454443129"/>
      <w:r>
        <w:rPr>
          <w:noProof/>
          <w:lang w:val="bg-BG"/>
        </w:rPr>
        <w:t>Ненавременно транспониране</w:t>
      </w:r>
      <w:bookmarkEnd w:id="36"/>
      <w:bookmarkEnd w:id="37"/>
    </w:p>
    <w:p w:rsidR="006F5B6C" w:rsidRDefault="00284F4D">
      <w:pPr>
        <w:rPr>
          <w:rFonts w:ascii="Arial" w:hAnsi="Arial" w:cs="Arial"/>
          <w:noProof/>
          <w:sz w:val="20"/>
          <w:lang w:val="bg-BG"/>
        </w:rPr>
      </w:pPr>
      <w:r>
        <w:rPr>
          <w:rFonts w:ascii="Arial" w:hAnsi="Arial" w:cs="Arial"/>
          <w:noProof/>
          <w:sz w:val="20"/>
          <w:lang w:val="bg-BG"/>
        </w:rPr>
        <w:t>Борбата с ненавременното транспониране е утвърден приоритет на Комисията. Поради това Комисията предлага финансови санкции, когато сезира Съда на Европейския съюз с иск по член 258 и член 260, параграф 3 от ДФЕС срещу държава членка за това, че тя не е съобщила своевременно своите мерки за транспониране на директива, приета съгласно определена законодателна процедура (за повече информация вж. подраздел </w:t>
      </w:r>
      <w:r>
        <w:rPr>
          <w:rFonts w:ascii="Arial" w:hAnsi="Arial" w:cs="Arial"/>
          <w:noProof/>
          <w:sz w:val="20"/>
        </w:rPr>
        <w:t>VI</w:t>
      </w:r>
      <w:r>
        <w:rPr>
          <w:rFonts w:ascii="Arial" w:hAnsi="Arial" w:cs="Arial"/>
          <w:noProof/>
          <w:sz w:val="20"/>
          <w:lang w:val="bg-BG"/>
        </w:rPr>
        <w:t>.2).</w:t>
      </w:r>
    </w:p>
    <w:p w:rsidR="006F5B6C" w:rsidRDefault="00284F4D">
      <w:pPr>
        <w:rPr>
          <w:noProof/>
        </w:rPr>
      </w:pPr>
      <w:r>
        <w:rPr>
          <w:noProof/>
          <w:lang w:eastAsia="en-GB"/>
        </w:rPr>
        <w:drawing>
          <wp:inline distT="0" distB="0" distL="0" distR="0">
            <wp:extent cx="5030745" cy="2446638"/>
            <wp:effectExtent l="19050" t="0" r="17505" b="0"/>
            <wp:docPr id="16" name="Grafie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5B6C" w:rsidRDefault="00284F4D">
      <w:pPr>
        <w:pStyle w:val="Body"/>
        <w:rPr>
          <w:noProof/>
          <w:lang w:val="bg-BG"/>
        </w:rPr>
      </w:pPr>
      <w:r>
        <w:rPr>
          <w:noProof/>
          <w:lang w:val="bg-BG"/>
        </w:rPr>
        <w:t xml:space="preserve">През 2015 г. имаше </w:t>
      </w:r>
      <w:r>
        <w:rPr>
          <w:noProof/>
          <w:lang w:val="ru-RU"/>
        </w:rPr>
        <w:t>56</w:t>
      </w:r>
      <w:r>
        <w:rPr>
          <w:noProof/>
          <w:lang w:val="bg-BG"/>
        </w:rPr>
        <w:t xml:space="preserve"> директиви за транспониране, което е по-малко в сравнение с 67 директиви през </w:t>
      </w:r>
      <w:r>
        <w:rPr>
          <w:noProof/>
          <w:lang w:val="ru-RU"/>
        </w:rPr>
        <w:t>2014</w:t>
      </w:r>
      <w:r>
        <w:rPr>
          <w:noProof/>
          <w:lang w:val="bg-BG"/>
        </w:rPr>
        <w:t> г</w:t>
      </w:r>
      <w:r>
        <w:rPr>
          <w:noProof/>
          <w:lang w:val="ru-RU"/>
        </w:rPr>
        <w:t xml:space="preserve">. </w:t>
      </w:r>
      <w:r>
        <w:rPr>
          <w:b/>
          <w:noProof/>
          <w:lang w:val="bg-BG"/>
        </w:rPr>
        <w:t xml:space="preserve">Новите производства за ненавременно транспониране също отчетоха лек спад до 543 </w:t>
      </w:r>
      <w:r>
        <w:rPr>
          <w:noProof/>
          <w:lang w:val="bg-BG"/>
        </w:rPr>
        <w:t>от 585.</w:t>
      </w:r>
    </w:p>
    <w:p w:rsidR="006F5B6C" w:rsidRDefault="00284F4D">
      <w:pPr>
        <w:pStyle w:val="Body"/>
        <w:rPr>
          <w:noProof/>
          <w:lang w:val="bg-BG"/>
        </w:rPr>
      </w:pPr>
      <w:r>
        <w:rPr>
          <w:noProof/>
          <w:lang w:val="bg-BG"/>
        </w:rPr>
        <w:t>В края на 2015 г.</w:t>
      </w:r>
      <w:r>
        <w:rPr>
          <w:b/>
          <w:noProof/>
          <w:lang w:val="bg-BG"/>
        </w:rPr>
        <w:t xml:space="preserve"> неприключените производства за ненавременно транспониране бяха 518</w:t>
      </w:r>
      <w:r>
        <w:rPr>
          <w:noProof/>
          <w:lang w:val="bg-BG"/>
        </w:rPr>
        <w:t>, което представлява увеличение с 19</w:t>
      </w:r>
      <w:r>
        <w:rPr>
          <w:noProof/>
        </w:rPr>
        <w:t> </w:t>
      </w:r>
      <w:r>
        <w:rPr>
          <w:noProof/>
          <w:lang w:val="bg-BG"/>
        </w:rPr>
        <w:t>% в сравнение с 421 неприключени производства към края на 2014 г.</w:t>
      </w:r>
    </w:p>
    <w:p w:rsidR="006F5B6C" w:rsidRDefault="00284F4D">
      <w:pPr>
        <w:pStyle w:val="Body"/>
        <w:rPr>
          <w:noProof/>
          <w:lang w:val="bg-BG"/>
        </w:rPr>
      </w:pPr>
      <w:r>
        <w:rPr>
          <w:noProof/>
          <w:lang w:val="bg-BG"/>
        </w:rPr>
        <w:t>На графиката по-долу са посочени основните данни за производствата за ненавременно транспониране (ПНТ), образувани от Комисията през 2015 г.:</w:t>
      </w:r>
    </w:p>
    <w:p w:rsidR="006F5B6C" w:rsidRDefault="00284F4D">
      <w:pPr>
        <w:pStyle w:val="Body"/>
        <w:spacing w:after="120"/>
        <w:ind w:left="0"/>
        <w:jc w:val="center"/>
        <w:rPr>
          <w:noProof/>
          <w:color w:val="002060"/>
          <w:sz w:val="22"/>
          <w:szCs w:val="22"/>
          <w:lang w:val="bg-BG"/>
        </w:rPr>
      </w:pPr>
      <w:r>
        <w:rPr>
          <w:noProof/>
          <w:color w:val="002060"/>
          <w:sz w:val="22"/>
          <w:szCs w:val="22"/>
          <w:lang w:val="bg-BG"/>
        </w:rPr>
        <w:t>Неприключени производства за ненавременно транспониране към края на годината</w:t>
      </w:r>
    </w:p>
    <w:tbl>
      <w:tblPr>
        <w:tblStyle w:val="Style1"/>
        <w:tblW w:w="0" w:type="auto"/>
        <w:jc w:val="center"/>
        <w:tblLook w:val="04A0" w:firstRow="1" w:lastRow="0" w:firstColumn="1" w:lastColumn="0" w:noHBand="0" w:noVBand="1"/>
      </w:tblPr>
      <w:tblGrid>
        <w:gridCol w:w="2194"/>
        <w:gridCol w:w="450"/>
        <w:gridCol w:w="4453"/>
      </w:tblGrid>
      <w:tr w:rsidR="006F5B6C">
        <w:trPr>
          <w:trHeight w:val="435"/>
          <w:jc w:val="center"/>
        </w:trPr>
        <w:tc>
          <w:tcPr>
            <w:tcW w:w="2194" w:type="dxa"/>
            <w:vAlign w:val="center"/>
          </w:tcPr>
          <w:p w:rsidR="006F5B6C" w:rsidRDefault="00284F4D">
            <w:pPr>
              <w:spacing w:after="0"/>
              <w:jc w:val="right"/>
              <w:rPr>
                <w:rFonts w:ascii="Arial" w:hAnsi="Arial" w:cs="Arial"/>
                <w:noProof/>
                <w:color w:val="548DD4" w:themeColor="text2" w:themeTint="99"/>
                <w:sz w:val="20"/>
                <w:szCs w:val="28"/>
              </w:rPr>
            </w:pPr>
            <w:r>
              <w:rPr>
                <w:rFonts w:ascii="Arial" w:hAnsi="Arial" w:cs="Arial"/>
                <w:noProof/>
                <w:color w:val="548DD4" w:themeColor="text2" w:themeTint="99"/>
                <w:sz w:val="20"/>
                <w:szCs w:val="28"/>
              </w:rPr>
              <w:t>421</w:t>
            </w:r>
          </w:p>
        </w:tc>
        <w:tc>
          <w:tcPr>
            <w:tcW w:w="450" w:type="dxa"/>
            <w:vAlign w:val="center"/>
          </w:tcPr>
          <w:p w:rsidR="006F5B6C" w:rsidRDefault="00284F4D">
            <w:pPr>
              <w:spacing w:after="0"/>
              <w:jc w:val="right"/>
              <w:rPr>
                <w:rFonts w:ascii="Arial" w:hAnsi="Arial" w:cs="Arial"/>
                <w:noProof/>
                <w:color w:val="548DD4" w:themeColor="text2" w:themeTint="99"/>
                <w:sz w:val="20"/>
                <w:szCs w:val="28"/>
              </w:rPr>
            </w:pPr>
            <w:r>
              <w:rPr>
                <w:rFonts w:ascii="Arial" w:hAnsi="Arial" w:cs="Arial"/>
                <w:noProof/>
                <w:color w:val="548DD4" w:themeColor="text2" w:themeTint="99"/>
                <w:sz w:val="20"/>
                <w:szCs w:val="28"/>
              </w:rPr>
              <w:t>&gt;</w:t>
            </w:r>
          </w:p>
        </w:tc>
        <w:tc>
          <w:tcPr>
            <w:tcW w:w="4453" w:type="dxa"/>
            <w:vAlign w:val="center"/>
          </w:tcPr>
          <w:p w:rsidR="006F5B6C" w:rsidRDefault="00284F4D">
            <w:pPr>
              <w:spacing w:after="0"/>
              <w:jc w:val="left"/>
              <w:rPr>
                <w:rFonts w:ascii="Arial" w:hAnsi="Arial" w:cs="Arial"/>
                <w:noProof/>
                <w:color w:val="548DD4" w:themeColor="text2" w:themeTint="99"/>
                <w:sz w:val="20"/>
                <w:szCs w:val="28"/>
                <w:lang w:val="bg-BG"/>
              </w:rPr>
            </w:pPr>
            <w:r>
              <w:rPr>
                <w:rFonts w:ascii="Arial" w:hAnsi="Arial" w:cs="Arial"/>
                <w:noProof/>
                <w:color w:val="548DD4" w:themeColor="text2" w:themeTint="99"/>
                <w:sz w:val="20"/>
                <w:szCs w:val="28"/>
                <w:lang w:val="bg-BG"/>
              </w:rPr>
              <w:t xml:space="preserve">Неприключени ПНТ към края на </w:t>
            </w:r>
            <w:r>
              <w:rPr>
                <w:rFonts w:ascii="Arial" w:hAnsi="Arial" w:cs="Arial"/>
                <w:noProof/>
                <w:color w:val="548DD4" w:themeColor="text2" w:themeTint="99"/>
                <w:sz w:val="20"/>
                <w:szCs w:val="28"/>
                <w:lang w:val="ru-RU"/>
              </w:rPr>
              <w:t>2014</w:t>
            </w:r>
            <w:r>
              <w:rPr>
                <w:rFonts w:ascii="Arial" w:hAnsi="Arial" w:cs="Arial"/>
                <w:noProof/>
                <w:color w:val="548DD4" w:themeColor="text2" w:themeTint="99"/>
                <w:sz w:val="20"/>
                <w:szCs w:val="28"/>
                <w:lang w:val="bg-BG"/>
              </w:rPr>
              <w:t> г.</w:t>
            </w:r>
          </w:p>
        </w:tc>
      </w:tr>
      <w:tr w:rsidR="006F5B6C">
        <w:trPr>
          <w:trHeight w:val="435"/>
          <w:jc w:val="center"/>
        </w:trPr>
        <w:tc>
          <w:tcPr>
            <w:tcW w:w="2194" w:type="dxa"/>
            <w:vAlign w:val="center"/>
          </w:tcPr>
          <w:p w:rsidR="006F5B6C" w:rsidRDefault="00284F4D">
            <w:pPr>
              <w:spacing w:after="0"/>
              <w:jc w:val="right"/>
              <w:rPr>
                <w:rFonts w:ascii="Arial" w:hAnsi="Arial" w:cs="Arial"/>
                <w:noProof/>
                <w:color w:val="548DD4" w:themeColor="text2" w:themeTint="99"/>
                <w:sz w:val="20"/>
                <w:szCs w:val="28"/>
              </w:rPr>
            </w:pPr>
            <w:r>
              <w:rPr>
                <w:rFonts w:ascii="Arial" w:hAnsi="Arial" w:cs="Arial"/>
                <w:noProof/>
                <w:color w:val="548DD4" w:themeColor="text2" w:themeTint="99"/>
                <w:sz w:val="20"/>
                <w:szCs w:val="28"/>
                <w:lang w:val="ru-RU"/>
              </w:rPr>
              <w:t xml:space="preserve"> </w:t>
            </w:r>
            <w:r>
              <w:rPr>
                <w:rFonts w:ascii="Arial" w:hAnsi="Arial" w:cs="Arial"/>
                <w:noProof/>
                <w:color w:val="548DD4" w:themeColor="text2" w:themeTint="99"/>
                <w:sz w:val="20"/>
                <w:szCs w:val="28"/>
              </w:rPr>
              <w:t>543</w:t>
            </w:r>
          </w:p>
        </w:tc>
        <w:tc>
          <w:tcPr>
            <w:tcW w:w="450" w:type="dxa"/>
            <w:vAlign w:val="center"/>
          </w:tcPr>
          <w:p w:rsidR="006F5B6C" w:rsidRDefault="00284F4D">
            <w:pPr>
              <w:spacing w:after="0"/>
              <w:jc w:val="right"/>
              <w:rPr>
                <w:rFonts w:ascii="Arial" w:hAnsi="Arial" w:cs="Arial"/>
                <w:noProof/>
                <w:color w:val="548DD4" w:themeColor="text2" w:themeTint="99"/>
                <w:sz w:val="20"/>
                <w:szCs w:val="28"/>
              </w:rPr>
            </w:pPr>
            <w:r>
              <w:rPr>
                <w:rFonts w:ascii="Arial" w:hAnsi="Arial" w:cs="Arial"/>
                <w:noProof/>
                <w:color w:val="548DD4" w:themeColor="text2" w:themeTint="99"/>
                <w:sz w:val="20"/>
                <w:szCs w:val="28"/>
              </w:rPr>
              <w:t>&gt;</w:t>
            </w:r>
          </w:p>
        </w:tc>
        <w:tc>
          <w:tcPr>
            <w:tcW w:w="4453" w:type="dxa"/>
            <w:vAlign w:val="center"/>
          </w:tcPr>
          <w:p w:rsidR="006F5B6C" w:rsidRDefault="00284F4D">
            <w:pPr>
              <w:spacing w:after="0"/>
              <w:jc w:val="left"/>
              <w:rPr>
                <w:rFonts w:ascii="Arial" w:hAnsi="Arial" w:cs="Arial"/>
                <w:noProof/>
                <w:color w:val="548DD4" w:themeColor="text2" w:themeTint="99"/>
                <w:sz w:val="20"/>
                <w:szCs w:val="28"/>
                <w:lang w:val="bg-BG"/>
              </w:rPr>
            </w:pPr>
            <w:r>
              <w:rPr>
                <w:rFonts w:ascii="Arial" w:hAnsi="Arial" w:cs="Arial"/>
                <w:noProof/>
                <w:color w:val="548DD4" w:themeColor="text2" w:themeTint="99"/>
                <w:sz w:val="20"/>
                <w:szCs w:val="28"/>
                <w:lang w:val="bg-BG"/>
              </w:rPr>
              <w:t>Нови ПНТ, регистрирани през</w:t>
            </w:r>
            <w:r>
              <w:rPr>
                <w:rFonts w:ascii="Arial" w:hAnsi="Arial" w:cs="Arial"/>
                <w:noProof/>
                <w:color w:val="548DD4" w:themeColor="text2" w:themeTint="99"/>
                <w:sz w:val="20"/>
                <w:szCs w:val="28"/>
                <w:lang w:val="ru-RU"/>
              </w:rPr>
              <w:t xml:space="preserve"> 2015</w:t>
            </w:r>
            <w:r>
              <w:rPr>
                <w:rFonts w:ascii="Arial" w:hAnsi="Arial" w:cs="Arial"/>
                <w:noProof/>
                <w:color w:val="548DD4" w:themeColor="text2" w:themeTint="99"/>
                <w:sz w:val="20"/>
                <w:szCs w:val="28"/>
                <w:lang w:val="bg-BG"/>
              </w:rPr>
              <w:t> г.</w:t>
            </w:r>
          </w:p>
        </w:tc>
      </w:tr>
      <w:tr w:rsidR="006F5B6C">
        <w:trPr>
          <w:trHeight w:val="435"/>
          <w:jc w:val="center"/>
        </w:trPr>
        <w:tc>
          <w:tcPr>
            <w:tcW w:w="2194" w:type="dxa"/>
            <w:vAlign w:val="center"/>
          </w:tcPr>
          <w:p w:rsidR="006F5B6C" w:rsidRDefault="00284F4D">
            <w:pPr>
              <w:spacing w:after="0"/>
              <w:jc w:val="right"/>
              <w:rPr>
                <w:rFonts w:ascii="Arial" w:hAnsi="Arial" w:cs="Arial"/>
                <w:noProof/>
                <w:color w:val="548DD4" w:themeColor="text2" w:themeTint="99"/>
                <w:sz w:val="20"/>
                <w:szCs w:val="28"/>
              </w:rPr>
            </w:pPr>
            <w:r>
              <w:rPr>
                <w:rFonts w:ascii="Arial" w:hAnsi="Arial" w:cs="Arial"/>
                <w:noProof/>
                <w:color w:val="548DD4" w:themeColor="text2" w:themeTint="99"/>
                <w:sz w:val="20"/>
                <w:szCs w:val="28"/>
              </w:rPr>
              <w:t>446</w:t>
            </w:r>
          </w:p>
        </w:tc>
        <w:tc>
          <w:tcPr>
            <w:tcW w:w="450" w:type="dxa"/>
            <w:vAlign w:val="center"/>
          </w:tcPr>
          <w:p w:rsidR="006F5B6C" w:rsidRDefault="00284F4D">
            <w:pPr>
              <w:spacing w:after="0"/>
              <w:jc w:val="right"/>
              <w:rPr>
                <w:rFonts w:ascii="Arial" w:hAnsi="Arial" w:cs="Arial"/>
                <w:noProof/>
                <w:color w:val="548DD4" w:themeColor="text2" w:themeTint="99"/>
                <w:sz w:val="20"/>
                <w:szCs w:val="28"/>
              </w:rPr>
            </w:pPr>
            <w:r>
              <w:rPr>
                <w:rFonts w:ascii="Arial" w:hAnsi="Arial" w:cs="Arial"/>
                <w:noProof/>
                <w:color w:val="548DD4" w:themeColor="text2" w:themeTint="99"/>
                <w:sz w:val="20"/>
                <w:szCs w:val="28"/>
              </w:rPr>
              <w:t>&gt;</w:t>
            </w:r>
          </w:p>
        </w:tc>
        <w:tc>
          <w:tcPr>
            <w:tcW w:w="4453" w:type="dxa"/>
            <w:vAlign w:val="center"/>
          </w:tcPr>
          <w:p w:rsidR="006F5B6C" w:rsidRDefault="00284F4D">
            <w:pPr>
              <w:spacing w:after="0"/>
              <w:jc w:val="left"/>
              <w:rPr>
                <w:rFonts w:ascii="Arial" w:hAnsi="Arial" w:cs="Arial"/>
                <w:noProof/>
                <w:color w:val="548DD4" w:themeColor="text2" w:themeTint="99"/>
                <w:sz w:val="20"/>
                <w:szCs w:val="28"/>
                <w:lang w:val="bg-BG"/>
              </w:rPr>
            </w:pPr>
            <w:r>
              <w:rPr>
                <w:rFonts w:ascii="Arial" w:hAnsi="Arial" w:cs="Arial"/>
                <w:noProof/>
                <w:color w:val="548DD4" w:themeColor="text2" w:themeTint="99"/>
                <w:sz w:val="20"/>
                <w:szCs w:val="28"/>
                <w:lang w:val="bg-BG"/>
              </w:rPr>
              <w:t>Приключени ПНТ през 2</w:t>
            </w:r>
            <w:r>
              <w:rPr>
                <w:rFonts w:ascii="Arial" w:hAnsi="Arial" w:cs="Arial"/>
                <w:noProof/>
                <w:color w:val="548DD4" w:themeColor="text2" w:themeTint="99"/>
                <w:sz w:val="20"/>
                <w:szCs w:val="28"/>
              </w:rPr>
              <w:t>015</w:t>
            </w:r>
            <w:r>
              <w:rPr>
                <w:rFonts w:ascii="Arial" w:hAnsi="Arial" w:cs="Arial"/>
                <w:noProof/>
                <w:color w:val="548DD4" w:themeColor="text2" w:themeTint="99"/>
                <w:sz w:val="20"/>
                <w:szCs w:val="28"/>
                <w:lang w:val="bg-BG"/>
              </w:rPr>
              <w:t> г.</w:t>
            </w:r>
          </w:p>
        </w:tc>
      </w:tr>
      <w:tr w:rsidR="006F5B6C">
        <w:trPr>
          <w:trHeight w:val="435"/>
          <w:jc w:val="center"/>
        </w:trPr>
        <w:tc>
          <w:tcPr>
            <w:tcW w:w="2194" w:type="dxa"/>
            <w:vAlign w:val="center"/>
          </w:tcPr>
          <w:p w:rsidR="006F5B6C" w:rsidRDefault="00284F4D">
            <w:pPr>
              <w:spacing w:after="0"/>
              <w:jc w:val="right"/>
              <w:rPr>
                <w:rFonts w:ascii="Arial" w:hAnsi="Arial" w:cs="Arial"/>
                <w:noProof/>
                <w:color w:val="C00000"/>
                <w:sz w:val="20"/>
                <w:szCs w:val="28"/>
              </w:rPr>
            </w:pPr>
            <w:r>
              <w:rPr>
                <w:rFonts w:ascii="Arial" w:hAnsi="Arial" w:cs="Arial"/>
                <w:noProof/>
                <w:color w:val="C00000"/>
                <w:sz w:val="20"/>
                <w:szCs w:val="28"/>
              </w:rPr>
              <w:t>= 518</w:t>
            </w:r>
          </w:p>
        </w:tc>
        <w:tc>
          <w:tcPr>
            <w:tcW w:w="450" w:type="dxa"/>
            <w:vAlign w:val="center"/>
          </w:tcPr>
          <w:p w:rsidR="006F5B6C" w:rsidRDefault="00284F4D">
            <w:pPr>
              <w:spacing w:after="0"/>
              <w:jc w:val="right"/>
              <w:rPr>
                <w:rFonts w:ascii="Arial" w:hAnsi="Arial" w:cs="Arial"/>
                <w:noProof/>
                <w:color w:val="548DD4" w:themeColor="text2" w:themeTint="99"/>
                <w:sz w:val="20"/>
                <w:szCs w:val="28"/>
              </w:rPr>
            </w:pPr>
            <w:r>
              <w:rPr>
                <w:rFonts w:ascii="Arial" w:hAnsi="Arial" w:cs="Arial"/>
                <w:noProof/>
                <w:color w:val="548DD4" w:themeColor="text2" w:themeTint="99"/>
                <w:sz w:val="20"/>
                <w:szCs w:val="28"/>
              </w:rPr>
              <w:t>&gt;</w:t>
            </w:r>
          </w:p>
        </w:tc>
        <w:tc>
          <w:tcPr>
            <w:tcW w:w="4453" w:type="dxa"/>
            <w:vAlign w:val="center"/>
          </w:tcPr>
          <w:p w:rsidR="006F5B6C" w:rsidRDefault="00284F4D">
            <w:pPr>
              <w:spacing w:after="0"/>
              <w:jc w:val="left"/>
              <w:rPr>
                <w:rFonts w:ascii="Arial" w:hAnsi="Arial" w:cs="Arial"/>
                <w:noProof/>
                <w:color w:val="548DD4" w:themeColor="text2" w:themeTint="99"/>
                <w:sz w:val="20"/>
                <w:szCs w:val="28"/>
                <w:lang w:val="bg-BG"/>
              </w:rPr>
            </w:pPr>
            <w:r>
              <w:rPr>
                <w:rFonts w:ascii="Arial" w:hAnsi="Arial" w:cs="Arial"/>
                <w:noProof/>
                <w:color w:val="548DD4" w:themeColor="text2" w:themeTint="99"/>
                <w:sz w:val="20"/>
                <w:szCs w:val="28"/>
                <w:lang w:val="bg-BG"/>
              </w:rPr>
              <w:t xml:space="preserve">Неприключени ПНТ към края на </w:t>
            </w:r>
            <w:r>
              <w:rPr>
                <w:rFonts w:ascii="Arial" w:hAnsi="Arial" w:cs="Arial"/>
                <w:noProof/>
                <w:color w:val="548DD4" w:themeColor="text2" w:themeTint="99"/>
                <w:sz w:val="20"/>
                <w:szCs w:val="28"/>
                <w:lang w:val="ru-RU"/>
              </w:rPr>
              <w:t>2015</w:t>
            </w:r>
            <w:r>
              <w:rPr>
                <w:rFonts w:ascii="Arial" w:hAnsi="Arial" w:cs="Arial"/>
                <w:noProof/>
                <w:color w:val="548DD4" w:themeColor="text2" w:themeTint="99"/>
                <w:sz w:val="20"/>
                <w:szCs w:val="28"/>
                <w:lang w:val="bg-BG"/>
              </w:rPr>
              <w:t> г.</w:t>
            </w:r>
          </w:p>
        </w:tc>
      </w:tr>
    </w:tbl>
    <w:p w:rsidR="006F5B6C" w:rsidRDefault="00284F4D">
      <w:pPr>
        <w:spacing w:after="0"/>
        <w:rPr>
          <w:rFonts w:ascii="Arial" w:eastAsia="MS Gothic" w:hAnsi="Arial" w:cs="Arial"/>
          <w:caps/>
          <w:noProof/>
          <w:color w:val="4F81BD"/>
          <w:kern w:val="20"/>
          <w:szCs w:val="24"/>
        </w:rPr>
      </w:pPr>
      <w:r>
        <w:rPr>
          <w:noProof/>
        </w:rPr>
        <w:br w:type="page"/>
      </w:r>
    </w:p>
    <w:p w:rsidR="006F5B6C" w:rsidRDefault="006F5B6C">
      <w:pPr>
        <w:spacing w:after="0"/>
        <w:jc w:val="left"/>
        <w:rPr>
          <w:rFonts w:ascii="Arial" w:hAnsi="Arial" w:cs="Arial"/>
          <w:noProof/>
          <w:sz w:val="20"/>
          <w:lang w:val="bg-BG"/>
        </w:rPr>
      </w:pPr>
    </w:p>
    <w:p w:rsidR="006F5B6C" w:rsidRDefault="00284F4D">
      <w:pPr>
        <w:pStyle w:val="Body"/>
        <w:rPr>
          <w:noProof/>
          <w:lang w:val="bg-BG" w:eastAsia="nl-BE"/>
        </w:rPr>
      </w:pPr>
      <w:r>
        <w:rPr>
          <w:noProof/>
          <w:lang w:val="bg-BG"/>
        </w:rPr>
        <w:t>В графиката по-долу е посочен броят на неприключените ПНТ към края на 2015 г. по държава членка, независимо от годината, през която са образувани</w:t>
      </w:r>
      <w:r>
        <w:rPr>
          <w:noProof/>
          <w:lang w:val="bg-BG" w:eastAsia="nl-BE"/>
        </w:rPr>
        <w:t>.</w:t>
      </w:r>
    </w:p>
    <w:p w:rsidR="006F5B6C" w:rsidRDefault="00284F4D">
      <w:pPr>
        <w:pStyle w:val="Body"/>
        <w:rPr>
          <w:noProof/>
        </w:rPr>
      </w:pPr>
      <w:r>
        <w:rPr>
          <w:noProof/>
          <w:lang w:eastAsia="en-GB"/>
        </w:rPr>
        <w:drawing>
          <wp:inline distT="0" distB="0" distL="0" distR="0">
            <wp:extent cx="5476875" cy="3638550"/>
            <wp:effectExtent l="19050" t="0" r="9525" b="0"/>
            <wp:docPr id="34" name="Grafie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6F5B6C" w:rsidRDefault="00284F4D">
      <w:pPr>
        <w:pStyle w:val="Body"/>
        <w:rPr>
          <w:noProof/>
          <w:lang w:val="ru-RU"/>
        </w:rPr>
      </w:pPr>
      <w:r>
        <w:rPr>
          <w:noProof/>
          <w:lang w:val="bg-BG"/>
        </w:rPr>
        <w:t xml:space="preserve">Следващата графика показва новите ПНТ </w:t>
      </w:r>
      <w:r>
        <w:rPr>
          <w:noProof/>
          <w:lang w:val="ru-RU"/>
        </w:rPr>
        <w:t>(</w:t>
      </w:r>
      <w:r>
        <w:rPr>
          <w:noProof/>
          <w:lang w:val="bg-BG"/>
        </w:rPr>
        <w:t xml:space="preserve">общо </w:t>
      </w:r>
      <w:r>
        <w:rPr>
          <w:b/>
          <w:noProof/>
          <w:lang w:val="ru-RU"/>
        </w:rPr>
        <w:t>543</w:t>
      </w:r>
      <w:r>
        <w:rPr>
          <w:noProof/>
          <w:lang w:val="ru-RU"/>
        </w:rPr>
        <w:t>)</w:t>
      </w:r>
      <w:r>
        <w:rPr>
          <w:noProof/>
          <w:lang w:val="bg-BG"/>
        </w:rPr>
        <w:t>, образувани през</w:t>
      </w:r>
      <w:r>
        <w:rPr>
          <w:noProof/>
        </w:rPr>
        <w:t xml:space="preserve"> </w:t>
      </w:r>
      <w:r>
        <w:rPr>
          <w:noProof/>
          <w:lang w:val="ru-RU"/>
        </w:rPr>
        <w:t>2015</w:t>
      </w:r>
      <w:r>
        <w:rPr>
          <w:noProof/>
          <w:lang w:val="bg-BG"/>
        </w:rPr>
        <w:t> г.</w:t>
      </w:r>
      <w:r>
        <w:rPr>
          <w:noProof/>
          <w:lang w:val="ru-RU"/>
        </w:rPr>
        <w:t xml:space="preserve">, </w:t>
      </w:r>
      <w:r>
        <w:rPr>
          <w:noProof/>
          <w:lang w:val="bg-BG"/>
        </w:rPr>
        <w:t>по държава членка</w:t>
      </w:r>
      <w:r>
        <w:rPr>
          <w:noProof/>
          <w:lang w:val="ru-RU"/>
        </w:rPr>
        <w:t>.</w:t>
      </w:r>
    </w:p>
    <w:p w:rsidR="006F5B6C" w:rsidRDefault="00284F4D">
      <w:pPr>
        <w:pStyle w:val="Body"/>
        <w:rPr>
          <w:noProof/>
        </w:rPr>
      </w:pPr>
      <w:r>
        <w:rPr>
          <w:noProof/>
          <w:lang w:eastAsia="en-GB"/>
        </w:rPr>
        <w:drawing>
          <wp:inline distT="0" distB="0" distL="0" distR="0">
            <wp:extent cx="5353050" cy="3609975"/>
            <wp:effectExtent l="19050" t="0" r="19050" b="0"/>
            <wp:docPr id="19" name="Grafie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5B6C" w:rsidRDefault="00284F4D">
      <w:pPr>
        <w:pStyle w:val="Body"/>
        <w:rPr>
          <w:noProof/>
        </w:rPr>
      </w:pPr>
      <w:r>
        <w:rPr>
          <w:noProof/>
        </w:rPr>
        <w:br w:type="page"/>
      </w:r>
    </w:p>
    <w:p w:rsidR="006F5B6C" w:rsidRDefault="00284F4D">
      <w:pPr>
        <w:pStyle w:val="Body"/>
        <w:rPr>
          <w:noProof/>
          <w:lang w:val="ru-RU"/>
        </w:rPr>
      </w:pPr>
      <w:r>
        <w:rPr>
          <w:noProof/>
          <w:lang w:val="bg-BG"/>
        </w:rPr>
        <w:lastRenderedPageBreak/>
        <w:t>Графиката по-долу показва областите на политиката, до които се отнасят новите производства.</w:t>
      </w:r>
    </w:p>
    <w:p w:rsidR="006F5B6C" w:rsidRDefault="00284F4D">
      <w:pPr>
        <w:pStyle w:val="Body"/>
        <w:ind w:left="709" w:firstLine="11"/>
        <w:rPr>
          <w:noProof/>
        </w:rPr>
      </w:pPr>
      <w:r>
        <w:rPr>
          <w:noProof/>
          <w:lang w:eastAsia="en-GB"/>
        </w:rPr>
        <w:drawing>
          <wp:inline distT="0" distB="0" distL="0" distR="0">
            <wp:extent cx="4786630" cy="3205480"/>
            <wp:effectExtent l="19050" t="0" r="13970" b="0"/>
            <wp:docPr id="20" name="Grafiek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6F5B6C" w:rsidRDefault="00284F4D">
      <w:pPr>
        <w:pStyle w:val="Body"/>
        <w:ind w:left="709"/>
        <w:rPr>
          <w:noProof/>
          <w:lang w:val="bg-BG"/>
        </w:rPr>
      </w:pPr>
      <w:r>
        <w:rPr>
          <w:noProof/>
          <w:lang w:val="bg-BG"/>
        </w:rPr>
        <w:t xml:space="preserve">Срещу </w:t>
      </w:r>
      <w:r>
        <w:rPr>
          <w:noProof/>
          <w:lang w:val="ru-RU"/>
        </w:rPr>
        <w:t>26</w:t>
      </w:r>
      <w:r>
        <w:rPr>
          <w:noProof/>
          <w:lang w:val="bg-BG"/>
        </w:rPr>
        <w:t> държави членки бяха образувани нови производства поради ненавременно транспониране на Директивата за създаване на рамка за възстановяване и преструктуриране на кредитни институции и инвестиционни посредници</w:t>
      </w:r>
      <w:r>
        <w:rPr>
          <w:rStyle w:val="FootnoteReference"/>
          <w:noProof/>
        </w:rPr>
        <w:footnoteReference w:id="108"/>
      </w:r>
      <w:r>
        <w:rPr>
          <w:noProof/>
          <w:lang w:val="bg-BG"/>
        </w:rPr>
        <w:t>. Освен това срещу 23 държави членки бяха започнати производства за ненавременно транспониране на Директивата относно правомощията на Европейския надзорен орган</w:t>
      </w:r>
      <w:r>
        <w:rPr>
          <w:rStyle w:val="FootnoteReference"/>
          <w:noProof/>
        </w:rPr>
        <w:footnoteReference w:id="109"/>
      </w:r>
      <w:r>
        <w:rPr>
          <w:noProof/>
          <w:lang w:val="bg-BG"/>
        </w:rPr>
        <w:t xml:space="preserve">. Двайсет и едно производства бяха започнати поради ненавременно транспониране на Директива „Платежоспособност </w:t>
      </w:r>
      <w:r>
        <w:rPr>
          <w:noProof/>
          <w:lang w:val="en-US"/>
        </w:rPr>
        <w:t>II</w:t>
      </w:r>
      <w:r>
        <w:rPr>
          <w:noProof/>
          <w:lang w:val="bg-BG"/>
        </w:rPr>
        <w:t>“</w:t>
      </w:r>
      <w:r>
        <w:rPr>
          <w:rStyle w:val="FootnoteReference"/>
          <w:noProof/>
        </w:rPr>
        <w:footnoteReference w:id="110"/>
      </w:r>
      <w:r>
        <w:rPr>
          <w:noProof/>
          <w:lang w:val="bg-BG"/>
        </w:rPr>
        <w:t>, Директивата относно контрола на опасностите от големи аварии, които включват опасни вещества</w:t>
      </w:r>
      <w:r>
        <w:rPr>
          <w:rStyle w:val="FootnoteReference"/>
          <w:noProof/>
        </w:rPr>
        <w:footnoteReference w:id="111"/>
      </w:r>
      <w:r>
        <w:rPr>
          <w:noProof/>
          <w:lang w:val="bg-BG"/>
        </w:rPr>
        <w:t>, и Директивата за създаване на единно европейско железопътно пространство</w:t>
      </w:r>
      <w:r>
        <w:rPr>
          <w:rStyle w:val="FootnoteReference"/>
          <w:noProof/>
        </w:rPr>
        <w:footnoteReference w:id="112"/>
      </w:r>
      <w:r>
        <w:rPr>
          <w:noProof/>
          <w:lang w:val="bg-BG"/>
        </w:rPr>
        <w:t>.</w:t>
      </w:r>
    </w:p>
    <w:p w:rsidR="006F5B6C" w:rsidRDefault="00284F4D">
      <w:pPr>
        <w:pStyle w:val="kop3"/>
        <w:rPr>
          <w:noProof/>
          <w:lang w:val="bg-BG"/>
        </w:rPr>
      </w:pPr>
      <w:bookmarkStart w:id="38" w:name="_Toc437944200"/>
      <w:bookmarkStart w:id="39" w:name="_Toc454443130"/>
      <w:r>
        <w:rPr>
          <w:noProof/>
          <w:lang w:val="bg-BG"/>
        </w:rPr>
        <w:t>Сезиране на Съда на Европейския съюз съгласно член 258 и член 260, параграф 3 от ДФЕС</w:t>
      </w:r>
      <w:bookmarkEnd w:id="38"/>
      <w:bookmarkEnd w:id="39"/>
    </w:p>
    <w:p w:rsidR="006F5B6C" w:rsidRDefault="00284F4D">
      <w:pPr>
        <w:pStyle w:val="Body"/>
        <w:ind w:left="709"/>
        <w:rPr>
          <w:noProof/>
          <w:lang w:val="bg-BG"/>
        </w:rPr>
      </w:pPr>
      <w:r>
        <w:rPr>
          <w:noProof/>
          <w:lang w:val="bg-BG"/>
        </w:rPr>
        <w:t>Съгласно член 260, параграф 3 от ДФЕС Комисията може да предложи финансови санкции дори и когато сезира Съда на ЕС за първи път по член 258 от ДФЕС за липса на пълно транспониране на директива, приета съгласно определена законодателна процедура. Целта на това нововъведение в Договора от Лисабон е да се създаде по-силен стимул за държавите членки да транспонират директивите своевременно. Комисията определя размера на финансовите санкции, които да предложи, в съответствие с политиката, изложена в нейното съобщение относно прилагането на член 260, параграф 3 от ДФЕС</w:t>
      </w:r>
      <w:r>
        <w:rPr>
          <w:rStyle w:val="FootnoteReference"/>
          <w:noProof/>
        </w:rPr>
        <w:footnoteReference w:id="113"/>
      </w:r>
      <w:r>
        <w:rPr>
          <w:noProof/>
          <w:lang w:val="bg-BG"/>
        </w:rPr>
        <w:t>.</w:t>
      </w:r>
    </w:p>
    <w:p w:rsidR="006F5B6C" w:rsidRDefault="00284F4D">
      <w:pPr>
        <w:pStyle w:val="Body"/>
        <w:ind w:left="709"/>
        <w:rPr>
          <w:noProof/>
          <w:lang w:val="bg-BG"/>
        </w:rPr>
      </w:pPr>
      <w:r>
        <w:rPr>
          <w:noProof/>
          <w:lang w:val="bg-BG"/>
        </w:rPr>
        <w:t xml:space="preserve">През 2015 г. Комисията продължи да сезира Съда на Европейския съюз за производства за ненавременно транспониране с искане за налагане на дневни имуществени санкции по силата на член 260, параграф 3 от ДФЕС. През 2015 г. Съдът </w:t>
      </w:r>
      <w:r>
        <w:rPr>
          <w:noProof/>
          <w:lang w:val="bg-BG"/>
        </w:rPr>
        <w:lastRenderedPageBreak/>
        <w:t>бе сезиран с искове срещу пет държави членки: Полша (две производства)</w:t>
      </w:r>
      <w:r>
        <w:rPr>
          <w:rStyle w:val="FootnoteReference"/>
          <w:noProof/>
        </w:rPr>
        <w:footnoteReference w:id="114"/>
      </w:r>
      <w:r>
        <w:rPr>
          <w:noProof/>
          <w:lang w:val="bg-BG"/>
        </w:rPr>
        <w:t xml:space="preserve"> и Германия</w:t>
      </w:r>
      <w:r>
        <w:rPr>
          <w:rStyle w:val="FootnoteReference"/>
          <w:noProof/>
        </w:rPr>
        <w:footnoteReference w:id="115"/>
      </w:r>
      <w:r>
        <w:rPr>
          <w:noProof/>
          <w:lang w:val="bg-BG"/>
        </w:rPr>
        <w:t>, Гърция</w:t>
      </w:r>
      <w:r>
        <w:rPr>
          <w:rStyle w:val="FootnoteReference"/>
          <w:noProof/>
        </w:rPr>
        <w:footnoteReference w:id="116"/>
      </w:r>
      <w:r>
        <w:rPr>
          <w:noProof/>
          <w:lang w:val="bg-BG"/>
        </w:rPr>
        <w:t>, Люксембург</w:t>
      </w:r>
      <w:r>
        <w:rPr>
          <w:rStyle w:val="FootnoteReference"/>
          <w:noProof/>
        </w:rPr>
        <w:footnoteReference w:id="117"/>
      </w:r>
      <w:r>
        <w:rPr>
          <w:noProof/>
          <w:lang w:val="bg-BG"/>
        </w:rPr>
        <w:t xml:space="preserve"> и Словения</w:t>
      </w:r>
      <w:r>
        <w:rPr>
          <w:rStyle w:val="FootnoteReference"/>
          <w:noProof/>
        </w:rPr>
        <w:footnoteReference w:id="118"/>
      </w:r>
      <w:r>
        <w:rPr>
          <w:noProof/>
          <w:lang w:val="bg-BG"/>
        </w:rPr>
        <w:t xml:space="preserve"> (по едно производство). Комисията оттегли исковата си молба от Съда в едно производство, отнасящо се до ненавременно транспониране от Словения на Директивата за отпадъците</w:t>
      </w:r>
      <w:r>
        <w:rPr>
          <w:rStyle w:val="FootnoteReference"/>
          <w:noProof/>
        </w:rPr>
        <w:footnoteReference w:id="119"/>
      </w:r>
      <w:r>
        <w:rPr>
          <w:noProof/>
          <w:lang w:val="bg-BG"/>
        </w:rPr>
        <w:t>. В друг случай относно ненавременно транспониране на Директивата относно защитата на животните, използвани за научни цели, Комисията взе решение да сезира Съда, но преди да изпрати исковата молба до Съда държавата членка прие необходимите мерки за транспониране и по този начин избегна съдебната процедура.</w:t>
      </w:r>
    </w:p>
    <w:p w:rsidR="006F5B6C" w:rsidRDefault="00284F4D">
      <w:pPr>
        <w:pStyle w:val="Body"/>
        <w:ind w:left="709"/>
        <w:rPr>
          <w:noProof/>
          <w:lang w:val="bg-BG"/>
        </w:rPr>
      </w:pPr>
      <w:r>
        <w:rPr>
          <w:noProof/>
          <w:lang w:val="bg-BG"/>
        </w:rPr>
        <w:t>През 2015 г. държавите членки активизираха усилията си за завършване на транспонирането, преди Съдът на Европейския съюз да постанови решенията си. При все това обаче останаха неприключени четири производства с предложение за дневни имуществени санкции: две производства срещу Полша, и по едно производство срещу Гърция и Люксембург.</w:t>
      </w:r>
    </w:p>
    <w:p w:rsidR="006F5B6C" w:rsidRDefault="00284F4D">
      <w:pPr>
        <w:pStyle w:val="Body"/>
        <w:ind w:left="709"/>
        <w:rPr>
          <w:noProof/>
          <w:lang w:val="bg-BG"/>
        </w:rPr>
      </w:pPr>
      <w:r>
        <w:rPr>
          <w:noProof/>
          <w:lang w:val="bg-BG"/>
        </w:rPr>
        <w:t>В един от случаите въпросната държава членка приключи транспонирането и съответно Комисията оттегли исковата си молба за нарушение в много ранен етап от съдебното производство</w:t>
      </w:r>
      <w:r>
        <w:rPr>
          <w:rStyle w:val="FootnoteReference"/>
          <w:noProof/>
        </w:rPr>
        <w:footnoteReference w:id="120"/>
      </w:r>
      <w:r>
        <w:rPr>
          <w:noProof/>
          <w:lang w:val="bg-BG"/>
        </w:rPr>
        <w:t>. Това конкретно ненавременно оттегляне накара Комисията да преразгледа политиката си относно прилагането на член 260 параграф 3 от ДФЕС</w:t>
      </w:r>
      <w:r>
        <w:rPr>
          <w:rStyle w:val="FootnoteReference"/>
          <w:noProof/>
        </w:rPr>
        <w:footnoteReference w:id="121"/>
      </w:r>
      <w:r>
        <w:rPr>
          <w:noProof/>
          <w:lang w:val="bg-BG"/>
        </w:rPr>
        <w:t>, за да се гарантира по-ефективното и навременно транспониране на директивите на ЕС в държавите членки</w:t>
      </w:r>
      <w:r>
        <w:rPr>
          <w:rStyle w:val="FootnoteReference"/>
          <w:noProof/>
        </w:rPr>
        <w:footnoteReference w:id="122"/>
      </w:r>
      <w:r>
        <w:rPr>
          <w:noProof/>
          <w:lang w:val="bg-BG"/>
        </w:rPr>
        <w:t>.</w:t>
      </w:r>
      <w:r>
        <w:rPr>
          <w:noProof/>
          <w:lang w:val="bg-BG"/>
        </w:rPr>
        <w:br w:type="page"/>
      </w:r>
    </w:p>
    <w:p w:rsidR="006F5B6C" w:rsidRDefault="00284F4D">
      <w:pPr>
        <w:pStyle w:val="kop2"/>
        <w:ind w:left="720"/>
        <w:rPr>
          <w:caps w:val="0"/>
          <w:noProof/>
        </w:rPr>
      </w:pPr>
      <w:bookmarkStart w:id="40" w:name="_Toc437944201"/>
      <w:bookmarkStart w:id="41" w:name="_Toc454443131"/>
      <w:r>
        <w:rPr>
          <w:caps w:val="0"/>
          <w:noProof/>
          <w:lang w:val="bg-BG"/>
        </w:rPr>
        <w:lastRenderedPageBreak/>
        <w:t>Заключение</w:t>
      </w:r>
      <w:bookmarkEnd w:id="40"/>
      <w:bookmarkEnd w:id="41"/>
    </w:p>
    <w:p w:rsidR="006F5B6C" w:rsidRDefault="00284F4D">
      <w:pPr>
        <w:rPr>
          <w:rFonts w:ascii="Arial" w:hAnsi="Arial" w:cs="Arial"/>
          <w:noProof/>
          <w:sz w:val="20"/>
          <w:lang w:val="bg-BG"/>
        </w:rPr>
      </w:pPr>
      <w:r>
        <w:rPr>
          <w:rFonts w:ascii="Arial" w:hAnsi="Arial" w:cs="Arial"/>
          <w:noProof/>
          <w:sz w:val="20"/>
          <w:lang w:val="bg-BG"/>
        </w:rPr>
        <w:t>Големият брой производства за установяване на неизпълнение на задължения през 2015 г. показва, че гарантирането на навременното и правилно прилагане на законодателството на ЕС в държавите членки остава сериозно предизвикателство</w:t>
      </w:r>
      <w:r>
        <w:rPr>
          <w:rFonts w:ascii="Arial" w:hAnsi="Arial" w:cs="Arial"/>
          <w:noProof/>
          <w:sz w:val="20"/>
          <w:lang w:val="ru-RU"/>
        </w:rPr>
        <w:t xml:space="preserve">. </w:t>
      </w:r>
      <w:r>
        <w:rPr>
          <w:rFonts w:ascii="Arial" w:hAnsi="Arial" w:cs="Arial"/>
          <w:noProof/>
          <w:sz w:val="20"/>
          <w:lang w:val="bg-BG"/>
        </w:rPr>
        <w:t>Комисията ще продължи да засилва реакцията си спрямо откриването на нарушения на правото на ЕС</w:t>
      </w:r>
      <w:r>
        <w:rPr>
          <w:rFonts w:ascii="Arial" w:hAnsi="Arial" w:cs="Arial"/>
          <w:noProof/>
          <w:sz w:val="20"/>
          <w:lang w:val="ru-RU"/>
        </w:rPr>
        <w:t xml:space="preserve">. </w:t>
      </w:r>
      <w:r>
        <w:rPr>
          <w:rFonts w:ascii="Arial" w:hAnsi="Arial" w:cs="Arial"/>
          <w:noProof/>
          <w:sz w:val="20"/>
          <w:lang w:val="bg-BG"/>
        </w:rPr>
        <w:t>Приемането на пакета от мерки за по-добро регулиране през май 2015 г. ще осигури на държавите членки подкрепата и помощта, от която се нуждаят през етапа на прилагане и ще улесни прилагането на законодателството на ЕС</w:t>
      </w:r>
      <w:r>
        <w:rPr>
          <w:rFonts w:ascii="Arial" w:hAnsi="Arial" w:cs="Arial"/>
          <w:noProof/>
          <w:sz w:val="20"/>
          <w:lang w:val="ru-RU"/>
        </w:rPr>
        <w:t xml:space="preserve">. </w:t>
      </w:r>
      <w:r>
        <w:rPr>
          <w:rFonts w:ascii="Arial" w:hAnsi="Arial" w:cs="Arial"/>
          <w:noProof/>
          <w:sz w:val="20"/>
          <w:lang w:val="bg-BG"/>
        </w:rPr>
        <w:t>Като част от програмата за по-добро регулиране Комисията вече засили превантивните си действия в подкрепа на държавите членки в процеса на прилагане на законодателството на Съюза</w:t>
      </w:r>
      <w:r>
        <w:rPr>
          <w:rFonts w:ascii="Arial" w:hAnsi="Arial" w:cs="Arial"/>
          <w:noProof/>
          <w:sz w:val="20"/>
          <w:lang w:val="ru-RU"/>
        </w:rPr>
        <w:t xml:space="preserve">. </w:t>
      </w:r>
      <w:r>
        <w:rPr>
          <w:rFonts w:ascii="Arial" w:hAnsi="Arial" w:cs="Arial"/>
          <w:noProof/>
          <w:sz w:val="20"/>
          <w:lang w:val="bg-BG"/>
        </w:rPr>
        <w:t>Във връзка с това Комисията предостави насоки и подкрепа на държавите членки, като използва широк набор от инструменти (документи с насоки, срещи, семинари, експертни органи</w:t>
      </w:r>
      <w:r>
        <w:rPr>
          <w:rFonts w:ascii="Arial" w:hAnsi="Arial" w:cs="Arial"/>
          <w:noProof/>
          <w:sz w:val="20"/>
          <w:lang w:val="ru-RU"/>
        </w:rPr>
        <w:t>,</w:t>
      </w:r>
      <w:r>
        <w:rPr>
          <w:rFonts w:ascii="Arial" w:hAnsi="Arial" w:cs="Arial"/>
          <w:noProof/>
          <w:sz w:val="20"/>
          <w:lang w:val="bg-BG"/>
        </w:rPr>
        <w:t xml:space="preserve"> доклади за прилагането и за последваща оценка и т.н.</w:t>
      </w:r>
      <w:r>
        <w:rPr>
          <w:rFonts w:ascii="Arial" w:hAnsi="Arial" w:cs="Arial"/>
          <w:noProof/>
          <w:sz w:val="20"/>
          <w:lang w:val="ru-RU"/>
        </w:rPr>
        <w:t xml:space="preserve">). </w:t>
      </w:r>
      <w:r>
        <w:rPr>
          <w:rFonts w:ascii="Arial" w:hAnsi="Arial" w:cs="Arial"/>
          <w:noProof/>
          <w:sz w:val="20"/>
          <w:lang w:val="bg-BG"/>
        </w:rPr>
        <w:t>Същевременно Комисията възнамерява да укрепи прилагането на правото на ЕС въз основа на структурирани и системни проверки на транспонирането и на съответствието на националното законодателство. Държавите членки обаче също следва да увеличат усилията си за изпълнение на задълженията в полза на гражданите и предприятията.</w:t>
      </w:r>
    </w:p>
    <w:p w:rsidR="006F5B6C" w:rsidRDefault="00284F4D">
      <w:pPr>
        <w:rPr>
          <w:rFonts w:ascii="Arial" w:hAnsi="Arial" w:cs="Arial"/>
          <w:noProof/>
          <w:sz w:val="20"/>
          <w:lang w:val="bg-BG"/>
        </w:rPr>
      </w:pPr>
      <w:r>
        <w:rPr>
          <w:rFonts w:ascii="Arial" w:hAnsi="Arial" w:cs="Arial"/>
          <w:noProof/>
          <w:sz w:val="20"/>
          <w:lang w:val="bg-BG"/>
        </w:rPr>
        <w:t>В съответствие с поставения от Комисията „Юнкер“ акцент върху приоритетни преписки („голям върху големи, малък върху малки“),настоящите подходи към политиката на Комисията по отношение на прилагането трябва да претърпят развитие с оглед на по-навременното и ефективно прилагане. Комисията ще направи преглед на това развитие в ново съобщение относно прилагането на правото на Съюза, чиято цел е по-стратегически подход по отношение на прилагането във всички области на политиката.</w:t>
      </w:r>
    </w:p>
    <w:p w:rsidR="006F5B6C" w:rsidRDefault="006F5B6C">
      <w:pPr>
        <w:rPr>
          <w:rFonts w:ascii="Arial" w:hAnsi="Arial" w:cs="Arial"/>
          <w:noProof/>
          <w:sz w:val="20"/>
          <w:lang w:val="bg-BG"/>
        </w:rPr>
      </w:pPr>
    </w:p>
    <w:sectPr w:rsidR="006F5B6C">
      <w:headerReference w:type="even" r:id="rId49"/>
      <w:headerReference w:type="default" r:id="rId50"/>
      <w:footerReference w:type="even" r:id="rId51"/>
      <w:footerReference w:type="default" r:id="rId52"/>
      <w:headerReference w:type="first" r:id="rId53"/>
      <w:footerReference w:type="first" r:id="rId54"/>
      <w:pgSz w:w="11907" w:h="16839" w:code="9"/>
      <w:pgMar w:top="1843" w:right="1418" w:bottom="737" w:left="1418" w:header="567" w:footer="35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B6C" w:rsidRDefault="00284F4D">
      <w:r>
        <w:separator/>
      </w:r>
    </w:p>
  </w:endnote>
  <w:endnote w:type="continuationSeparator" w:id="0">
    <w:p w:rsidR="006F5B6C" w:rsidRDefault="00284F4D">
      <w:r>
        <w:continuationSeparator/>
      </w:r>
    </w:p>
  </w:endnote>
  <w:endnote w:type="continuationNotice" w:id="1">
    <w:p w:rsidR="006F5B6C" w:rsidRDefault="006F5B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B6C" w:rsidRDefault="006F5B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B6C" w:rsidRDefault="00284F4D">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rsidR="009349CD">
      <w:fldChar w:fldCharType="begin"/>
    </w:r>
    <w:r w:rsidR="009349CD">
      <w:instrText xml:space="preserve"> DOCVARIABLE "LW_Confidence" \* MERGEFORMAT </w:instrText>
    </w:r>
    <w:r w:rsidR="009349CD">
      <w:fldChar w:fldCharType="separate"/>
    </w:r>
    <w:r>
      <w:t xml:space="preserve"> </w:t>
    </w:r>
    <w:r w:rsidR="009349CD">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B6C" w:rsidRDefault="006F5B6C">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B6C" w:rsidRDefault="006F5B6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B6C" w:rsidRDefault="006F5B6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050650"/>
      <w:docPartObj>
        <w:docPartGallery w:val="Page Numbers (Bottom of Page)"/>
        <w:docPartUnique/>
      </w:docPartObj>
    </w:sdtPr>
    <w:sdtEndPr>
      <w:rPr>
        <w:noProof/>
      </w:rPr>
    </w:sdtEndPr>
    <w:sdtContent>
      <w:p w:rsidR="006F5B6C" w:rsidRDefault="00284F4D">
        <w:pPr>
          <w:pStyle w:val="Footer"/>
          <w:jc w:val="center"/>
        </w:pPr>
        <w:r>
          <w:fldChar w:fldCharType="begin"/>
        </w:r>
        <w:r>
          <w:instrText xml:space="preserve"> PAGE   \* MERGEFORMAT </w:instrText>
        </w:r>
        <w:r>
          <w:fldChar w:fldCharType="separate"/>
        </w:r>
        <w:r w:rsidR="009349CD">
          <w:rPr>
            <w:noProof/>
          </w:rPr>
          <w:t>2</w:t>
        </w:r>
        <w:r>
          <w:rPr>
            <w:noProof/>
          </w:rPr>
          <w:fldChar w:fldCharType="end"/>
        </w:r>
      </w:p>
    </w:sdtContent>
  </w:sdt>
  <w:p w:rsidR="006F5B6C" w:rsidRDefault="006F5B6C">
    <w:pPr>
      <w:pStyle w:val="Footer"/>
      <w:rPr>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B6C" w:rsidRDefault="006F5B6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B6C" w:rsidRDefault="00284F4D">
    <w:pPr>
      <w:pStyle w:val="Footer"/>
      <w:jc w:val="center"/>
    </w:pPr>
    <w:r>
      <w:fldChar w:fldCharType="begin"/>
    </w:r>
    <w:r>
      <w:instrText xml:space="preserve"> PAGE   \* MERGEFORMAT </w:instrText>
    </w:r>
    <w:r>
      <w:fldChar w:fldCharType="separate"/>
    </w:r>
    <w:r w:rsidR="009349CD">
      <w:rPr>
        <w:noProof/>
      </w:rPr>
      <w:t>4</w:t>
    </w:r>
    <w:r>
      <w:rPr>
        <w:noProof/>
      </w:rPr>
      <w:fldChar w:fldCharType="end"/>
    </w:r>
  </w:p>
  <w:p w:rsidR="006F5B6C" w:rsidRDefault="006F5B6C"/>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B6C" w:rsidRDefault="00284F4D">
    <w:pPr>
      <w:pStyle w:val="Footer"/>
      <w:jc w:val="center"/>
    </w:pPr>
    <w:r>
      <w:fldChar w:fldCharType="begin"/>
    </w:r>
    <w:r>
      <w:instrText xml:space="preserve"> PAGE   \* MERGEFORMAT </w:instrText>
    </w:r>
    <w:r>
      <w:fldChar w:fldCharType="separate"/>
    </w:r>
    <w:r w:rsidR="009349CD">
      <w:rPr>
        <w:noProof/>
      </w:rPr>
      <w:t>3</w:t>
    </w:r>
    <w:r>
      <w:rPr>
        <w:noProof/>
      </w:rPr>
      <w:fldChar w:fldCharType="end"/>
    </w:r>
  </w:p>
  <w:p w:rsidR="006F5B6C" w:rsidRDefault="006F5B6C">
    <w:pPr>
      <w:pStyle w:val="Footer"/>
      <w:rPr>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B6C" w:rsidRDefault="00284F4D">
      <w:r>
        <w:separator/>
      </w:r>
    </w:p>
  </w:footnote>
  <w:footnote w:type="continuationSeparator" w:id="0">
    <w:p w:rsidR="006F5B6C" w:rsidRDefault="00284F4D">
      <w:r>
        <w:continuationSeparator/>
      </w:r>
    </w:p>
  </w:footnote>
  <w:footnote w:type="continuationNotice" w:id="1">
    <w:p w:rsidR="006F5B6C" w:rsidRDefault="006F5B6C">
      <w:pPr>
        <w:spacing w:after="0"/>
      </w:pPr>
    </w:p>
  </w:footnote>
  <w:footnote w:id="2">
    <w:p w:rsidR="006F5B6C" w:rsidRDefault="00284F4D">
      <w:pPr>
        <w:pStyle w:val="FootnoteText"/>
        <w:rPr>
          <w:spacing w:val="-2"/>
          <w:lang w:val="ru-RU"/>
        </w:rPr>
      </w:pPr>
      <w:r>
        <w:rPr>
          <w:rStyle w:val="FootnoteReference"/>
        </w:rPr>
        <w:footnoteRef/>
      </w:r>
      <w:r>
        <w:rPr>
          <w:lang w:val="ru-RU"/>
        </w:rPr>
        <w:tab/>
      </w:r>
      <w:r>
        <w:rPr>
          <w:spacing w:val="-2"/>
          <w:lang w:val="bg-BG"/>
        </w:rPr>
        <w:t>През май</w:t>
      </w:r>
      <w:r>
        <w:rPr>
          <w:spacing w:val="-2"/>
          <w:lang w:val="ru-RU"/>
        </w:rPr>
        <w:t xml:space="preserve"> 2015</w:t>
      </w:r>
      <w:r>
        <w:rPr>
          <w:spacing w:val="-2"/>
          <w:lang w:val="bg-BG"/>
        </w:rPr>
        <w:t> г. Комисията представи набор от мерки за стимулиране на откритостта и прозрачността в процеса на вземане на решения на ЕС и подобряване на качеството на новите и действащите закони, така че политиките на ЕС да могат да постигнат целите си по възможно най-ефективния и ефикасен начин, вж.</w:t>
      </w:r>
      <w:r>
        <w:rPr>
          <w:spacing w:val="-2"/>
          <w:lang w:val="ru-RU"/>
        </w:rPr>
        <w:t xml:space="preserve">: </w:t>
      </w:r>
      <w:r>
        <w:rPr>
          <w:spacing w:val="-2"/>
        </w:rPr>
        <w:t>COM</w:t>
      </w:r>
      <w:r>
        <w:rPr>
          <w:spacing w:val="-2"/>
          <w:lang w:val="ru-RU"/>
        </w:rPr>
        <w:t>(2015)</w:t>
      </w:r>
      <w:r>
        <w:rPr>
          <w:spacing w:val="-2"/>
          <w:lang w:val="bg-BG"/>
        </w:rPr>
        <w:t xml:space="preserve"> </w:t>
      </w:r>
      <w:r>
        <w:rPr>
          <w:spacing w:val="-2"/>
          <w:lang w:val="ru-RU"/>
        </w:rPr>
        <w:t xml:space="preserve">215 </w:t>
      </w:r>
      <w:r>
        <w:rPr>
          <w:spacing w:val="-2"/>
        </w:rPr>
        <w:t>final</w:t>
      </w:r>
      <w:r>
        <w:rPr>
          <w:spacing w:val="-2"/>
          <w:lang w:val="ru-RU"/>
        </w:rPr>
        <w:t>.</w:t>
      </w:r>
    </w:p>
  </w:footnote>
  <w:footnote w:id="3">
    <w:p w:rsidR="006F5B6C" w:rsidRDefault="00284F4D">
      <w:pPr>
        <w:pStyle w:val="FootnoteText"/>
        <w:rPr>
          <w:lang w:val="ru-RU"/>
        </w:rPr>
      </w:pPr>
      <w:r>
        <w:rPr>
          <w:rStyle w:val="FootnoteReference"/>
        </w:rPr>
        <w:footnoteRef/>
      </w:r>
      <w:r>
        <w:rPr>
          <w:lang w:val="ru-RU"/>
        </w:rPr>
        <w:tab/>
      </w:r>
      <w:r>
        <w:rPr>
          <w:lang w:val="bg-BG"/>
        </w:rPr>
        <w:t>Член </w:t>
      </w:r>
      <w:r>
        <w:rPr>
          <w:lang w:val="ru-RU"/>
        </w:rPr>
        <w:t>291</w:t>
      </w:r>
      <w:r>
        <w:rPr>
          <w:lang w:val="bg-BG"/>
        </w:rPr>
        <w:t>, параграф </w:t>
      </w:r>
      <w:r>
        <w:rPr>
          <w:lang w:val="ru-RU"/>
        </w:rPr>
        <w:t>1</w:t>
      </w:r>
      <w:r>
        <w:rPr>
          <w:lang w:val="bg-BG"/>
        </w:rPr>
        <w:t xml:space="preserve"> от Договора за функционирането на Европейския съюз </w:t>
      </w:r>
      <w:r>
        <w:rPr>
          <w:lang w:val="ru-RU"/>
        </w:rPr>
        <w:t>(</w:t>
      </w:r>
      <w:r>
        <w:rPr>
          <w:lang w:val="bg-BG"/>
        </w:rPr>
        <w:t>ДФЕС</w:t>
      </w:r>
      <w:r>
        <w:rPr>
          <w:lang w:val="ru-RU"/>
        </w:rPr>
        <w:t>).</w:t>
      </w:r>
    </w:p>
  </w:footnote>
  <w:footnote w:id="4">
    <w:p w:rsidR="006F5B6C" w:rsidRDefault="00284F4D">
      <w:pPr>
        <w:pStyle w:val="FootnoteText"/>
        <w:rPr>
          <w:spacing w:val="-2"/>
          <w:lang w:val="bg-BG"/>
        </w:rPr>
      </w:pPr>
      <w:r>
        <w:rPr>
          <w:rStyle w:val="FootnoteReference"/>
        </w:rPr>
        <w:footnoteRef/>
      </w:r>
      <w:r>
        <w:rPr>
          <w:lang w:val="ru-RU"/>
        </w:rPr>
        <w:tab/>
      </w:r>
      <w:r>
        <w:rPr>
          <w:spacing w:val="-2"/>
          <w:lang w:val="bg-BG"/>
        </w:rPr>
        <w:t xml:space="preserve">Член </w:t>
      </w:r>
      <w:hyperlink r:id="rId1" w:history="1">
        <w:r>
          <w:rPr>
            <w:rStyle w:val="Hyperlink"/>
            <w:spacing w:val="-2"/>
            <w:lang w:val="bg-BG"/>
          </w:rPr>
          <w:t>17 от ДЕС</w:t>
        </w:r>
      </w:hyperlink>
      <w:r>
        <w:rPr>
          <w:spacing w:val="-2"/>
          <w:lang w:val="bg-BG"/>
        </w:rPr>
        <w:t xml:space="preserve"> „</w:t>
      </w:r>
      <w:r>
        <w:rPr>
          <w:spacing w:val="-2"/>
          <w:lang w:val="ru-RU"/>
        </w:rPr>
        <w:t>[</w:t>
      </w:r>
      <w:r>
        <w:rPr>
          <w:spacing w:val="-2"/>
          <w:lang w:val="bg-BG"/>
        </w:rPr>
        <w:t>Комисията</w:t>
      </w:r>
      <w:r>
        <w:rPr>
          <w:spacing w:val="-2"/>
          <w:lang w:val="ru-RU"/>
        </w:rPr>
        <w:t xml:space="preserve">] </w:t>
      </w:r>
      <w:r>
        <w:rPr>
          <w:spacing w:val="-2"/>
          <w:lang w:val="bg-BG"/>
        </w:rPr>
        <w:t>следи за прилагането на Договорите и на мерките, приети от институциите по силата на тези Договори. Тя съблюдава прилагането на правото на Съюза […]“.</w:t>
      </w:r>
    </w:p>
  </w:footnote>
  <w:footnote w:id="5">
    <w:p w:rsidR="006F5B6C" w:rsidRDefault="00284F4D">
      <w:pPr>
        <w:pStyle w:val="FootnoteText"/>
        <w:rPr>
          <w:lang w:val="bg-BG"/>
        </w:rPr>
      </w:pPr>
      <w:r>
        <w:rPr>
          <w:rStyle w:val="FootnoteReference"/>
        </w:rPr>
        <w:footnoteRef/>
      </w:r>
      <w:r>
        <w:rPr>
          <w:lang w:val="bg-BG"/>
        </w:rPr>
        <w:tab/>
        <w:t>Член 258 и член 260, параграф 2 от Договора за функционирането на Европейския съюз (ДФЕС)</w:t>
      </w:r>
    </w:p>
  </w:footnote>
  <w:footnote w:id="6">
    <w:p w:rsidR="006F5B6C" w:rsidRPr="009349CD" w:rsidRDefault="00284F4D">
      <w:pPr>
        <w:pStyle w:val="FootnoteText"/>
        <w:rPr>
          <w:lang w:val="fr-BE"/>
        </w:rPr>
      </w:pPr>
      <w:r>
        <w:rPr>
          <w:rStyle w:val="FootnoteReference"/>
        </w:rPr>
        <w:footnoteRef/>
      </w:r>
      <w:r>
        <w:rPr>
          <w:lang w:val="ru-RU"/>
        </w:rPr>
        <w:tab/>
      </w:r>
      <w:bookmarkStart w:id="2" w:name="_GoBack"/>
      <w:r>
        <w:t>SWD</w:t>
      </w:r>
      <w:r w:rsidR="009349CD">
        <w:rPr>
          <w:lang w:val="bg-BG"/>
        </w:rPr>
        <w:t>(2016) 230</w:t>
      </w:r>
      <w:r w:rsidR="009349CD">
        <w:rPr>
          <w:lang w:val="fr-BE"/>
        </w:rPr>
        <w:t xml:space="preserve"> final </w:t>
      </w:r>
      <w:r w:rsidRPr="00E01D74">
        <w:rPr>
          <w:lang w:val="bg-BG"/>
        </w:rPr>
        <w:t xml:space="preserve">– </w:t>
      </w:r>
      <w:r>
        <w:t>SWD</w:t>
      </w:r>
      <w:r w:rsidRPr="00E01D74">
        <w:rPr>
          <w:lang w:val="bg-BG"/>
        </w:rPr>
        <w:t>(2016) 231</w:t>
      </w:r>
      <w:r w:rsidR="009349CD">
        <w:rPr>
          <w:lang w:val="fr-BE"/>
        </w:rPr>
        <w:t xml:space="preserve"> final</w:t>
      </w:r>
      <w:bookmarkEnd w:id="2"/>
      <w:r w:rsidR="009349CD">
        <w:rPr>
          <w:lang w:val="fr-BE"/>
        </w:rPr>
        <w:t>.</w:t>
      </w:r>
    </w:p>
  </w:footnote>
  <w:footnote w:id="7">
    <w:p w:rsidR="006F5B6C" w:rsidRDefault="00284F4D">
      <w:pPr>
        <w:pStyle w:val="FootnoteText"/>
        <w:rPr>
          <w:lang w:val="bg-BG"/>
        </w:rPr>
      </w:pPr>
      <w:r>
        <w:rPr>
          <w:rStyle w:val="FootnoteReference"/>
        </w:rPr>
        <w:footnoteRef/>
      </w:r>
      <w:r>
        <w:rPr>
          <w:lang w:val="ru-RU"/>
        </w:rPr>
        <w:tab/>
      </w:r>
      <w:r>
        <w:rPr>
          <w:lang w:val="bg-BG"/>
        </w:rPr>
        <w:t>Директива </w:t>
      </w:r>
      <w:hyperlink r:id="rId2" w:history="1">
        <w:r>
          <w:rPr>
            <w:rStyle w:val="Hyperlink"/>
            <w:lang w:val="ru-RU"/>
          </w:rPr>
          <w:t>2014/27/ЕС</w:t>
        </w:r>
      </w:hyperlink>
      <w:r>
        <w:rPr>
          <w:rStyle w:val="Hyperlink"/>
          <w:lang w:val="ru-RU"/>
        </w:rPr>
        <w:t>.</w:t>
      </w:r>
    </w:p>
  </w:footnote>
  <w:footnote w:id="8">
    <w:p w:rsidR="006F5B6C" w:rsidRDefault="00284F4D">
      <w:pPr>
        <w:pStyle w:val="FootnoteText"/>
        <w:rPr>
          <w:lang w:val="bg-BG"/>
        </w:rPr>
      </w:pPr>
      <w:r>
        <w:rPr>
          <w:rStyle w:val="FootnoteReference"/>
        </w:rPr>
        <w:footnoteRef/>
      </w:r>
      <w:r>
        <w:rPr>
          <w:lang w:val="ru-RU"/>
        </w:rPr>
        <w:tab/>
      </w:r>
      <w:r>
        <w:rPr>
          <w:lang w:val="bg-BG"/>
        </w:rPr>
        <w:t>Регламент </w:t>
      </w:r>
      <w:r>
        <w:rPr>
          <w:lang w:val="ru-RU"/>
        </w:rPr>
        <w:t>(</w:t>
      </w:r>
      <w:r>
        <w:rPr>
          <w:lang w:val="bg-BG"/>
        </w:rPr>
        <w:t>ЕО</w:t>
      </w:r>
      <w:r>
        <w:rPr>
          <w:lang w:val="ru-RU"/>
        </w:rPr>
        <w:t>)</w:t>
      </w:r>
      <w:r>
        <w:rPr>
          <w:lang w:val="bg-BG"/>
        </w:rPr>
        <w:t> </w:t>
      </w:r>
      <w:hyperlink r:id="rId3" w:history="1">
        <w:r>
          <w:rPr>
            <w:rStyle w:val="Hyperlink"/>
            <w:lang w:val="ru-RU"/>
          </w:rPr>
          <w:t>№ 1272/2008</w:t>
        </w:r>
      </w:hyperlink>
      <w:r>
        <w:rPr>
          <w:lang w:val="ru-RU"/>
        </w:rPr>
        <w:t>.</w:t>
      </w:r>
    </w:p>
  </w:footnote>
  <w:footnote w:id="9">
    <w:p w:rsidR="006F5B6C" w:rsidRDefault="00284F4D">
      <w:pPr>
        <w:pStyle w:val="FootnoteText"/>
        <w:rPr>
          <w:lang w:val="bg-BG"/>
        </w:rPr>
      </w:pPr>
      <w:r>
        <w:rPr>
          <w:rStyle w:val="FootnoteReference"/>
        </w:rPr>
        <w:footnoteRef/>
      </w:r>
      <w:r>
        <w:rPr>
          <w:lang w:val="ru-RU"/>
        </w:rPr>
        <w:tab/>
      </w:r>
      <w:r>
        <w:rPr>
          <w:lang w:val="bg-BG"/>
        </w:rPr>
        <w:t>Директива </w:t>
      </w:r>
      <w:hyperlink r:id="rId4" w:history="1">
        <w:r>
          <w:rPr>
            <w:rStyle w:val="Hyperlink"/>
            <w:lang w:val="ru-RU"/>
          </w:rPr>
          <w:t>2010/32/ЕС</w:t>
        </w:r>
      </w:hyperlink>
      <w:r>
        <w:rPr>
          <w:lang w:val="ru-RU"/>
        </w:rPr>
        <w:t>.</w:t>
      </w:r>
    </w:p>
  </w:footnote>
  <w:footnote w:id="10">
    <w:p w:rsidR="006F5B6C" w:rsidRDefault="00284F4D">
      <w:pPr>
        <w:pStyle w:val="FootnoteText"/>
        <w:rPr>
          <w:lang w:val="bg-BG"/>
        </w:rPr>
      </w:pPr>
      <w:r>
        <w:rPr>
          <w:rStyle w:val="FootnoteReference"/>
        </w:rPr>
        <w:footnoteRef/>
      </w:r>
      <w:r>
        <w:rPr>
          <w:lang w:val="ru-RU"/>
        </w:rPr>
        <w:tab/>
      </w:r>
      <w:hyperlink r:id="rId5" w:history="1">
        <w:r>
          <w:rPr>
            <w:rStyle w:val="Hyperlink"/>
            <w:lang w:val="pt-PT"/>
          </w:rPr>
          <w:t>COM</w:t>
        </w:r>
        <w:r>
          <w:rPr>
            <w:rStyle w:val="Hyperlink"/>
            <w:lang w:val="ru-RU"/>
          </w:rPr>
          <w:t>(2015)</w:t>
        </w:r>
        <w:r>
          <w:rPr>
            <w:rStyle w:val="Hyperlink"/>
            <w:lang w:val="bg-BG"/>
          </w:rPr>
          <w:t xml:space="preserve"> </w:t>
        </w:r>
        <w:r>
          <w:rPr>
            <w:rStyle w:val="Hyperlink"/>
            <w:lang w:val="ru-RU"/>
          </w:rPr>
          <w:t xml:space="preserve">614 </w:t>
        </w:r>
        <w:r>
          <w:rPr>
            <w:rStyle w:val="Hyperlink"/>
            <w:lang w:val="pt-PT"/>
          </w:rPr>
          <w:t>final</w:t>
        </w:r>
      </w:hyperlink>
      <w:r>
        <w:rPr>
          <w:lang w:val="ru-RU"/>
        </w:rPr>
        <w:t>.</w:t>
      </w:r>
    </w:p>
  </w:footnote>
  <w:footnote w:id="11">
    <w:p w:rsidR="006F5B6C" w:rsidRDefault="00284F4D">
      <w:pPr>
        <w:pStyle w:val="FootnoteText"/>
        <w:rPr>
          <w:lang w:val="bg-BG"/>
        </w:rPr>
      </w:pPr>
      <w:r>
        <w:rPr>
          <w:rStyle w:val="FootnoteReference"/>
        </w:rPr>
        <w:footnoteRef/>
      </w:r>
      <w:r>
        <w:rPr>
          <w:lang w:val="ru-RU"/>
        </w:rPr>
        <w:tab/>
      </w:r>
      <w:r>
        <w:rPr>
          <w:lang w:val="bg-BG"/>
        </w:rPr>
        <w:t>Директива </w:t>
      </w:r>
      <w:hyperlink r:id="rId6" w:history="1">
        <w:r>
          <w:rPr>
            <w:rStyle w:val="Hyperlink"/>
            <w:lang w:val="ru-RU"/>
          </w:rPr>
          <w:t>2013/37/ЕС</w:t>
        </w:r>
      </w:hyperlink>
      <w:r>
        <w:rPr>
          <w:lang w:val="ru-RU"/>
        </w:rPr>
        <w:t>.</w:t>
      </w:r>
    </w:p>
  </w:footnote>
  <w:footnote w:id="12">
    <w:p w:rsidR="006F5B6C" w:rsidRDefault="00284F4D">
      <w:pPr>
        <w:pStyle w:val="FootnoteText"/>
        <w:rPr>
          <w:lang w:val="bg-BG"/>
        </w:rPr>
      </w:pPr>
      <w:r>
        <w:rPr>
          <w:rStyle w:val="FootnoteReference"/>
        </w:rPr>
        <w:footnoteRef/>
      </w:r>
      <w:r>
        <w:rPr>
          <w:lang w:val="ru-RU"/>
        </w:rPr>
        <w:tab/>
      </w:r>
      <w:hyperlink r:id="rId7" w:history="1">
        <w:r>
          <w:rPr>
            <w:rStyle w:val="Hyperlink"/>
            <w:lang w:val="pt-PT"/>
          </w:rPr>
          <w:t>COM</w:t>
        </w:r>
        <w:r>
          <w:rPr>
            <w:rStyle w:val="Hyperlink"/>
            <w:lang w:val="ru-RU"/>
          </w:rPr>
          <w:t>(2015)</w:t>
        </w:r>
        <w:r>
          <w:rPr>
            <w:rStyle w:val="Hyperlink"/>
            <w:lang w:val="bg-BG"/>
          </w:rPr>
          <w:t xml:space="preserve"> </w:t>
        </w:r>
        <w:r>
          <w:rPr>
            <w:rStyle w:val="Hyperlink"/>
            <w:lang w:val="ru-RU"/>
          </w:rPr>
          <w:t>80</w:t>
        </w:r>
      </w:hyperlink>
      <w:r>
        <w:rPr>
          <w:lang w:val="ru-RU"/>
        </w:rPr>
        <w:t>.</w:t>
      </w:r>
    </w:p>
  </w:footnote>
  <w:footnote w:id="13">
    <w:p w:rsidR="006F5B6C" w:rsidRDefault="00284F4D">
      <w:pPr>
        <w:pStyle w:val="FootnoteText"/>
        <w:rPr>
          <w:lang w:val="bg-BG"/>
        </w:rPr>
      </w:pPr>
      <w:r>
        <w:rPr>
          <w:rStyle w:val="FootnoteReference"/>
        </w:rPr>
        <w:footnoteRef/>
      </w:r>
      <w:r>
        <w:rPr>
          <w:lang w:val="ru-RU"/>
        </w:rPr>
        <w:tab/>
      </w:r>
      <w:r>
        <w:rPr>
          <w:lang w:val="bg-BG"/>
        </w:rPr>
        <w:t xml:space="preserve">Директиви </w:t>
      </w:r>
      <w:hyperlink r:id="rId8" w:history="1">
        <w:r>
          <w:rPr>
            <w:rStyle w:val="Hyperlink"/>
            <w:lang w:val="ru-RU"/>
          </w:rPr>
          <w:t>2009/72/ЕО</w:t>
        </w:r>
      </w:hyperlink>
      <w:r>
        <w:rPr>
          <w:lang w:val="bg-BG"/>
        </w:rPr>
        <w:t xml:space="preserve"> и </w:t>
      </w:r>
      <w:hyperlink r:id="rId9" w:history="1">
        <w:r>
          <w:rPr>
            <w:rStyle w:val="Hyperlink"/>
            <w:lang w:val="ru-RU"/>
          </w:rPr>
          <w:t>2009/73/ЕО</w:t>
        </w:r>
      </w:hyperlink>
      <w:r>
        <w:rPr>
          <w:rStyle w:val="Hyperlink"/>
          <w:lang w:val="ru-RU"/>
        </w:rPr>
        <w:t>.</w:t>
      </w:r>
    </w:p>
  </w:footnote>
  <w:footnote w:id="14">
    <w:p w:rsidR="006F5B6C" w:rsidRDefault="00284F4D">
      <w:pPr>
        <w:pStyle w:val="FootnoteText"/>
        <w:rPr>
          <w:lang w:val="bg-BG"/>
        </w:rPr>
      </w:pPr>
      <w:r>
        <w:rPr>
          <w:rStyle w:val="FootnoteReference"/>
        </w:rPr>
        <w:footnoteRef/>
      </w:r>
      <w:r>
        <w:rPr>
          <w:lang w:val="ru-RU"/>
        </w:rPr>
        <w:tab/>
      </w:r>
      <w:r>
        <w:rPr>
          <w:lang w:val="bg-BG"/>
        </w:rPr>
        <w:t>Директива </w:t>
      </w:r>
      <w:hyperlink r:id="rId10" w:history="1">
        <w:r>
          <w:rPr>
            <w:rStyle w:val="Hyperlink"/>
            <w:lang w:val="ru-RU"/>
          </w:rPr>
          <w:t>2013/30/ЕС</w:t>
        </w:r>
      </w:hyperlink>
      <w:r>
        <w:rPr>
          <w:rStyle w:val="Hyperlink"/>
          <w:lang w:val="ru-RU"/>
        </w:rPr>
        <w:t>.</w:t>
      </w:r>
    </w:p>
  </w:footnote>
  <w:footnote w:id="15">
    <w:p w:rsidR="006F5B6C" w:rsidRDefault="00284F4D">
      <w:pPr>
        <w:pStyle w:val="FootnoteText"/>
        <w:rPr>
          <w:lang w:val="bg-BG"/>
        </w:rPr>
      </w:pPr>
      <w:r>
        <w:rPr>
          <w:rStyle w:val="FootnoteReference"/>
        </w:rPr>
        <w:footnoteRef/>
      </w:r>
      <w:r>
        <w:rPr>
          <w:lang w:val="ru-RU"/>
        </w:rPr>
        <w:tab/>
      </w:r>
      <w:r>
        <w:rPr>
          <w:lang w:val="bg-BG"/>
        </w:rPr>
        <w:t>Директива </w:t>
      </w:r>
      <w:hyperlink r:id="rId11" w:history="1">
        <w:r>
          <w:rPr>
            <w:rStyle w:val="Hyperlink"/>
            <w:lang w:val="ru-RU"/>
          </w:rPr>
          <w:t>2012/27/ЕС</w:t>
        </w:r>
      </w:hyperlink>
      <w:r>
        <w:rPr>
          <w:lang w:val="ru-RU"/>
        </w:rPr>
        <w:t>.</w:t>
      </w:r>
    </w:p>
  </w:footnote>
  <w:footnote w:id="16">
    <w:p w:rsidR="006F5B6C" w:rsidRDefault="00284F4D">
      <w:pPr>
        <w:pStyle w:val="FootnoteText"/>
        <w:rPr>
          <w:lang w:val="bg-BG"/>
        </w:rPr>
      </w:pPr>
      <w:r>
        <w:rPr>
          <w:rStyle w:val="FootnoteReference"/>
        </w:rPr>
        <w:footnoteRef/>
      </w:r>
      <w:r>
        <w:rPr>
          <w:lang w:val="ru-RU"/>
        </w:rPr>
        <w:tab/>
      </w:r>
      <w:r>
        <w:rPr>
          <w:lang w:val="bg-BG"/>
        </w:rPr>
        <w:t xml:space="preserve">Директива </w:t>
      </w:r>
      <w:hyperlink r:id="rId12" w:history="1">
        <w:r>
          <w:rPr>
            <w:rStyle w:val="Hyperlink"/>
            <w:lang w:val="ru-RU"/>
          </w:rPr>
          <w:t>2010/31/ЕС</w:t>
        </w:r>
      </w:hyperlink>
      <w:r>
        <w:rPr>
          <w:rStyle w:val="Hyperlink"/>
          <w:lang w:val="ru-RU"/>
        </w:rPr>
        <w:t>.</w:t>
      </w:r>
    </w:p>
  </w:footnote>
  <w:footnote w:id="17">
    <w:p w:rsidR="006F5B6C" w:rsidRDefault="00284F4D">
      <w:pPr>
        <w:pStyle w:val="FootnoteText"/>
        <w:rPr>
          <w:lang w:val="bg-BG"/>
        </w:rPr>
      </w:pPr>
      <w:r>
        <w:rPr>
          <w:rStyle w:val="FootnoteReference"/>
        </w:rPr>
        <w:footnoteRef/>
      </w:r>
      <w:r>
        <w:rPr>
          <w:lang w:val="ru-RU"/>
        </w:rPr>
        <w:tab/>
      </w:r>
      <w:r>
        <w:rPr>
          <w:lang w:val="bg-BG"/>
        </w:rPr>
        <w:t xml:space="preserve">Директива </w:t>
      </w:r>
      <w:hyperlink r:id="rId13" w:history="1">
        <w:r>
          <w:rPr>
            <w:rStyle w:val="Hyperlink"/>
            <w:lang w:val="ru-RU"/>
          </w:rPr>
          <w:t>2009/28/ЕО</w:t>
        </w:r>
      </w:hyperlink>
      <w:r>
        <w:rPr>
          <w:bCs/>
          <w:lang w:val="ru-RU"/>
        </w:rPr>
        <w:t>.</w:t>
      </w:r>
    </w:p>
  </w:footnote>
  <w:footnote w:id="18">
    <w:p w:rsidR="006F5B6C" w:rsidRDefault="00284F4D">
      <w:pPr>
        <w:pStyle w:val="FootnoteText"/>
        <w:rPr>
          <w:lang w:val="bg-BG"/>
        </w:rPr>
      </w:pPr>
      <w:r>
        <w:rPr>
          <w:rStyle w:val="FootnoteReference"/>
        </w:rPr>
        <w:footnoteRef/>
      </w:r>
      <w:r>
        <w:rPr>
          <w:lang w:val="ru-RU"/>
        </w:rPr>
        <w:tab/>
      </w:r>
      <w:r>
        <w:rPr>
          <w:lang w:val="bg-BG"/>
        </w:rPr>
        <w:t xml:space="preserve">Директива </w:t>
      </w:r>
      <w:hyperlink r:id="rId14" w:history="1">
        <w:r>
          <w:rPr>
            <w:rStyle w:val="Hyperlink"/>
            <w:lang w:val="ru-RU"/>
          </w:rPr>
          <w:t>2009/119/ЕО</w:t>
        </w:r>
      </w:hyperlink>
      <w:r>
        <w:rPr>
          <w:rStyle w:val="Hyperlink"/>
          <w:lang w:val="ru-RU"/>
        </w:rPr>
        <w:t>.</w:t>
      </w:r>
    </w:p>
  </w:footnote>
  <w:footnote w:id="19">
    <w:p w:rsidR="006F5B6C" w:rsidRDefault="00284F4D">
      <w:pPr>
        <w:pStyle w:val="FootnoteText"/>
        <w:rPr>
          <w:lang w:val="bg-BG"/>
        </w:rPr>
      </w:pPr>
      <w:r>
        <w:rPr>
          <w:rStyle w:val="FootnoteReference"/>
        </w:rPr>
        <w:footnoteRef/>
      </w:r>
      <w:r>
        <w:rPr>
          <w:lang w:val="ru-RU"/>
        </w:rPr>
        <w:tab/>
      </w:r>
      <w:r>
        <w:rPr>
          <w:lang w:val="bg-BG"/>
        </w:rPr>
        <w:t xml:space="preserve">Директива </w:t>
      </w:r>
      <w:hyperlink r:id="rId15" w:history="1">
        <w:r>
          <w:rPr>
            <w:rStyle w:val="Hyperlink"/>
            <w:lang w:val="ru-RU"/>
          </w:rPr>
          <w:t>2011/70/ЕВРАТОМ</w:t>
        </w:r>
      </w:hyperlink>
      <w:r>
        <w:rPr>
          <w:rStyle w:val="Hyperlink"/>
          <w:lang w:val="ru-RU"/>
        </w:rPr>
        <w:t>.</w:t>
      </w:r>
    </w:p>
  </w:footnote>
  <w:footnote w:id="20">
    <w:p w:rsidR="006F5B6C" w:rsidRDefault="00284F4D">
      <w:pPr>
        <w:pStyle w:val="FootnoteText"/>
        <w:rPr>
          <w:lang w:val="bg-BG"/>
        </w:rPr>
      </w:pPr>
      <w:r>
        <w:rPr>
          <w:rStyle w:val="FootnoteReference"/>
          <w:rFonts w:eastAsia="MS Gothic"/>
        </w:rPr>
        <w:footnoteRef/>
      </w:r>
      <w:r>
        <w:rPr>
          <w:lang w:val="ru-RU"/>
        </w:rPr>
        <w:tab/>
      </w:r>
      <w:r>
        <w:rPr>
          <w:lang w:val="bg-BG"/>
        </w:rPr>
        <w:t xml:space="preserve">Директиви </w:t>
      </w:r>
      <w:hyperlink r:id="rId16" w:history="1">
        <w:r>
          <w:rPr>
            <w:rStyle w:val="Hyperlink"/>
            <w:lang w:val="ru-RU"/>
          </w:rPr>
          <w:t>2008/101/ЕО</w:t>
        </w:r>
      </w:hyperlink>
      <w:r>
        <w:rPr>
          <w:lang w:val="bg-BG"/>
        </w:rPr>
        <w:t xml:space="preserve"> и </w:t>
      </w:r>
      <w:hyperlink r:id="rId17" w:history="1">
        <w:r>
          <w:rPr>
            <w:rStyle w:val="Hyperlink"/>
            <w:lang w:val="ru-RU"/>
          </w:rPr>
          <w:t>2009/29/ЕО</w:t>
        </w:r>
      </w:hyperlink>
      <w:r>
        <w:rPr>
          <w:lang w:val="ru-RU"/>
        </w:rPr>
        <w:t>.</w:t>
      </w:r>
    </w:p>
  </w:footnote>
  <w:footnote w:id="21">
    <w:p w:rsidR="006F5B6C" w:rsidRDefault="00284F4D">
      <w:pPr>
        <w:pStyle w:val="FootnoteText"/>
        <w:rPr>
          <w:lang w:val="bg-BG"/>
        </w:rPr>
      </w:pPr>
      <w:r>
        <w:rPr>
          <w:rStyle w:val="FootnoteReference"/>
          <w:rFonts w:eastAsia="MS Gothic"/>
        </w:rPr>
        <w:footnoteRef/>
      </w:r>
      <w:r>
        <w:rPr>
          <w:lang w:val="ru-RU"/>
        </w:rPr>
        <w:tab/>
      </w:r>
      <w:r>
        <w:rPr>
          <w:lang w:val="bg-BG"/>
        </w:rPr>
        <w:t xml:space="preserve">Директива </w:t>
      </w:r>
      <w:hyperlink r:id="rId18" w:history="1">
        <w:r>
          <w:rPr>
            <w:rStyle w:val="Hyperlink"/>
            <w:lang w:val="ru-RU"/>
          </w:rPr>
          <w:t>2009/30/ЕО</w:t>
        </w:r>
      </w:hyperlink>
      <w:r>
        <w:rPr>
          <w:rStyle w:val="Hyperlink"/>
          <w:lang w:val="ru-RU"/>
        </w:rPr>
        <w:t>.</w:t>
      </w:r>
    </w:p>
  </w:footnote>
  <w:footnote w:id="22">
    <w:p w:rsidR="006F5B6C" w:rsidRDefault="00284F4D">
      <w:pPr>
        <w:pStyle w:val="FootnoteText"/>
        <w:rPr>
          <w:lang w:val="bg-BG"/>
        </w:rPr>
      </w:pPr>
      <w:r>
        <w:rPr>
          <w:rStyle w:val="FootnoteReference"/>
          <w:rFonts w:eastAsia="MS Gothic"/>
        </w:rPr>
        <w:footnoteRef/>
      </w:r>
      <w:r>
        <w:rPr>
          <w:lang w:val="ru-RU"/>
        </w:rPr>
        <w:tab/>
      </w:r>
      <w:r>
        <w:rPr>
          <w:lang w:val="bg-BG"/>
        </w:rPr>
        <w:t xml:space="preserve">Директива </w:t>
      </w:r>
      <w:hyperlink r:id="rId19" w:history="1">
        <w:r>
          <w:rPr>
            <w:rStyle w:val="Hyperlink"/>
            <w:lang w:val="ru-RU"/>
          </w:rPr>
          <w:t>2009/31/ЕО</w:t>
        </w:r>
      </w:hyperlink>
      <w:r>
        <w:rPr>
          <w:rStyle w:val="Hyperlink"/>
          <w:lang w:val="ru-RU"/>
        </w:rPr>
        <w:t>.</w:t>
      </w:r>
    </w:p>
  </w:footnote>
  <w:footnote w:id="23">
    <w:p w:rsidR="006F5B6C" w:rsidRDefault="00284F4D">
      <w:pPr>
        <w:pStyle w:val="FootnoteText"/>
        <w:rPr>
          <w:lang w:val="ru-RU"/>
        </w:rPr>
      </w:pPr>
      <w:r>
        <w:rPr>
          <w:rStyle w:val="FootnoteReference"/>
        </w:rPr>
        <w:footnoteRef/>
      </w:r>
      <w:r>
        <w:rPr>
          <w:lang w:val="ru-RU"/>
        </w:rPr>
        <w:tab/>
      </w:r>
      <w:r>
        <w:rPr>
          <w:lang w:val="bg-BG"/>
        </w:rPr>
        <w:t>Вж. Раздел </w:t>
      </w:r>
      <w:r>
        <w:rPr>
          <w:lang w:val="pt-PT"/>
        </w:rPr>
        <w:t>IV</w:t>
      </w:r>
      <w:r>
        <w:rPr>
          <w:lang w:val="bg-BG"/>
        </w:rPr>
        <w:t>, точка (</w:t>
      </w:r>
      <w:r>
        <w:rPr>
          <w:lang w:val="ru-RU"/>
        </w:rPr>
        <w:t xml:space="preserve">2) </w:t>
      </w:r>
      <w:r>
        <w:rPr>
          <w:lang w:val="bg-BG"/>
        </w:rPr>
        <w:t>от настоящия доклад</w:t>
      </w:r>
      <w:r>
        <w:rPr>
          <w:lang w:val="ru-RU"/>
        </w:rPr>
        <w:t>.</w:t>
      </w:r>
    </w:p>
  </w:footnote>
  <w:footnote w:id="24">
    <w:p w:rsidR="006F5B6C" w:rsidRDefault="00284F4D">
      <w:pPr>
        <w:pStyle w:val="FootnoteText"/>
        <w:rPr>
          <w:lang w:val="bg-BG"/>
        </w:rPr>
      </w:pPr>
      <w:r>
        <w:rPr>
          <w:rStyle w:val="FootnoteReference"/>
        </w:rPr>
        <w:footnoteRef/>
      </w:r>
      <w:r>
        <w:rPr>
          <w:lang w:val="ru-RU"/>
        </w:rPr>
        <w:tab/>
      </w:r>
      <w:r>
        <w:rPr>
          <w:lang w:val="bg-BG"/>
        </w:rPr>
        <w:t>Регламент </w:t>
      </w:r>
      <w:r>
        <w:rPr>
          <w:lang w:val="ru-RU"/>
        </w:rPr>
        <w:t>(</w:t>
      </w:r>
      <w:r>
        <w:rPr>
          <w:lang w:val="bg-BG"/>
        </w:rPr>
        <w:t>ЕС</w:t>
      </w:r>
      <w:r>
        <w:rPr>
          <w:lang w:val="ru-RU"/>
        </w:rPr>
        <w:t>)</w:t>
      </w:r>
      <w:r>
        <w:rPr>
          <w:lang w:val="bg-BG"/>
        </w:rPr>
        <w:t> № </w:t>
      </w:r>
      <w:hyperlink r:id="rId20" w:history="1">
        <w:r>
          <w:rPr>
            <w:rStyle w:val="Hyperlink"/>
            <w:lang w:val="ru-RU"/>
          </w:rPr>
          <w:t>994/2010</w:t>
        </w:r>
      </w:hyperlink>
      <w:r>
        <w:rPr>
          <w:rStyle w:val="Hyperlink"/>
          <w:lang w:val="ru-RU"/>
        </w:rPr>
        <w:t>.</w:t>
      </w:r>
    </w:p>
  </w:footnote>
  <w:footnote w:id="25">
    <w:p w:rsidR="006F5B6C" w:rsidRDefault="00284F4D">
      <w:pPr>
        <w:pStyle w:val="FootnoteText"/>
        <w:rPr>
          <w:lang w:val="bg-BG"/>
        </w:rPr>
      </w:pPr>
      <w:r>
        <w:rPr>
          <w:rStyle w:val="FootnoteReference"/>
        </w:rPr>
        <w:footnoteRef/>
      </w:r>
      <w:r>
        <w:rPr>
          <w:lang w:val="ru-RU"/>
        </w:rPr>
        <w:tab/>
      </w:r>
      <w:hyperlink r:id="rId21" w:history="1">
        <w:r>
          <w:rPr>
            <w:rStyle w:val="Hyperlink"/>
            <w:lang w:val="pt-PT"/>
          </w:rPr>
          <w:t>COM</w:t>
        </w:r>
        <w:r>
          <w:rPr>
            <w:rStyle w:val="Hyperlink"/>
            <w:lang w:val="ru-RU"/>
          </w:rPr>
          <w:t xml:space="preserve">(2015) 550 </w:t>
        </w:r>
        <w:r>
          <w:rPr>
            <w:rStyle w:val="Hyperlink"/>
            <w:lang w:val="pt-PT"/>
          </w:rPr>
          <w:t>final</w:t>
        </w:r>
      </w:hyperlink>
      <w:r>
        <w:rPr>
          <w:rStyle w:val="Hyperlink"/>
          <w:lang w:val="ru-RU"/>
        </w:rPr>
        <w:t>.</w:t>
      </w:r>
    </w:p>
  </w:footnote>
  <w:footnote w:id="26">
    <w:p w:rsidR="006F5B6C" w:rsidRDefault="00284F4D">
      <w:pPr>
        <w:pStyle w:val="FootnoteText"/>
        <w:rPr>
          <w:lang w:val="ru-RU"/>
        </w:rPr>
      </w:pPr>
      <w:r>
        <w:rPr>
          <w:rStyle w:val="FootnoteReference"/>
        </w:rPr>
        <w:footnoteRef/>
      </w:r>
      <w:r>
        <w:rPr>
          <w:lang w:val="ru-RU"/>
        </w:rPr>
        <w:tab/>
      </w:r>
      <w:r>
        <w:rPr>
          <w:lang w:val="bg-BG"/>
        </w:rPr>
        <w:t xml:space="preserve">Директива </w:t>
      </w:r>
      <w:hyperlink r:id="rId22" w:history="1">
        <w:r>
          <w:rPr>
            <w:rStyle w:val="Hyperlink"/>
            <w:lang w:val="ru-RU"/>
          </w:rPr>
          <w:t>2011/7/ЕС</w:t>
        </w:r>
      </w:hyperlink>
      <w:r>
        <w:rPr>
          <w:lang w:val="ru-RU"/>
        </w:rPr>
        <w:t>.</w:t>
      </w:r>
    </w:p>
  </w:footnote>
  <w:footnote w:id="27">
    <w:p w:rsidR="006F5B6C" w:rsidRDefault="00284F4D">
      <w:pPr>
        <w:pStyle w:val="FootnoteText"/>
        <w:rPr>
          <w:lang w:val="ru-RU"/>
        </w:rPr>
      </w:pPr>
      <w:r>
        <w:rPr>
          <w:rStyle w:val="FootnoteReference"/>
        </w:rPr>
        <w:footnoteRef/>
      </w:r>
      <w:r>
        <w:rPr>
          <w:lang w:val="ru-RU"/>
        </w:rPr>
        <w:tab/>
      </w:r>
      <w:r>
        <w:rPr>
          <w:lang w:val="bg-BG"/>
        </w:rPr>
        <w:t xml:space="preserve">Директива </w:t>
      </w:r>
      <w:hyperlink r:id="rId23" w:history="1">
        <w:r>
          <w:rPr>
            <w:rStyle w:val="Hyperlink"/>
            <w:lang w:val="ru-RU"/>
          </w:rPr>
          <w:t>2013/11/ЕС</w:t>
        </w:r>
      </w:hyperlink>
      <w:r>
        <w:rPr>
          <w:lang w:val="ru-RU"/>
        </w:rPr>
        <w:t>.</w:t>
      </w:r>
    </w:p>
  </w:footnote>
  <w:footnote w:id="28">
    <w:p w:rsidR="006F5B6C" w:rsidRDefault="00284F4D">
      <w:pPr>
        <w:pStyle w:val="FootnoteText"/>
        <w:rPr>
          <w:lang w:val="ru-RU"/>
        </w:rPr>
      </w:pPr>
      <w:r>
        <w:rPr>
          <w:rStyle w:val="FootnoteReference"/>
        </w:rPr>
        <w:footnoteRef/>
      </w:r>
      <w:r>
        <w:rPr>
          <w:lang w:val="ru-RU"/>
        </w:rPr>
        <w:tab/>
      </w:r>
      <w:r>
        <w:rPr>
          <w:lang w:val="bg-BG"/>
        </w:rPr>
        <w:t xml:space="preserve">Директива </w:t>
      </w:r>
      <w:hyperlink r:id="rId24" w:history="1">
        <w:r>
          <w:rPr>
            <w:rStyle w:val="Hyperlink"/>
            <w:lang w:val="ru-RU"/>
          </w:rPr>
          <w:t>2011/83/ЕО</w:t>
        </w:r>
      </w:hyperlink>
      <w:r>
        <w:rPr>
          <w:lang w:val="ru-RU"/>
        </w:rPr>
        <w:t>.</w:t>
      </w:r>
    </w:p>
  </w:footnote>
  <w:footnote w:id="29">
    <w:p w:rsidR="006F5B6C" w:rsidRDefault="00284F4D">
      <w:pPr>
        <w:pStyle w:val="FootnoteText"/>
        <w:rPr>
          <w:lang w:val="ru-RU"/>
        </w:rPr>
      </w:pPr>
      <w:r>
        <w:rPr>
          <w:rStyle w:val="FootnoteReference"/>
        </w:rPr>
        <w:footnoteRef/>
      </w:r>
      <w:r>
        <w:rPr>
          <w:lang w:val="ru-RU"/>
        </w:rPr>
        <w:tab/>
      </w:r>
      <w:r>
        <w:rPr>
          <w:lang w:val="bg-BG"/>
        </w:rPr>
        <w:t xml:space="preserve">Директива </w:t>
      </w:r>
      <w:hyperlink r:id="rId25" w:history="1">
        <w:r>
          <w:rPr>
            <w:rStyle w:val="Hyperlink"/>
            <w:lang w:val="ru-RU"/>
          </w:rPr>
          <w:t>2005/29/ЕО</w:t>
        </w:r>
      </w:hyperlink>
      <w:r>
        <w:rPr>
          <w:rStyle w:val="Hyperlink"/>
          <w:lang w:val="ru-RU"/>
        </w:rPr>
        <w:t>.</w:t>
      </w:r>
    </w:p>
  </w:footnote>
  <w:footnote w:id="30">
    <w:p w:rsidR="006F5B6C" w:rsidRDefault="00284F4D">
      <w:pPr>
        <w:pStyle w:val="FootnoteText"/>
        <w:rPr>
          <w:lang w:val="ru-RU"/>
        </w:rPr>
      </w:pPr>
      <w:r>
        <w:rPr>
          <w:rStyle w:val="FootnoteReference"/>
        </w:rPr>
        <w:footnoteRef/>
      </w:r>
      <w:r>
        <w:rPr>
          <w:lang w:val="ru-RU"/>
        </w:rPr>
        <w:tab/>
      </w:r>
      <w:hyperlink r:id="rId26" w:history="1">
        <w:r>
          <w:rPr>
            <w:rStyle w:val="Hyperlink"/>
            <w:rFonts w:eastAsiaTheme="minorHAnsi"/>
            <w:szCs w:val="24"/>
            <w:lang w:val="pt-PT"/>
          </w:rPr>
          <w:t>SEC</w:t>
        </w:r>
        <w:r>
          <w:rPr>
            <w:rStyle w:val="Hyperlink"/>
            <w:rFonts w:eastAsiaTheme="minorHAnsi"/>
            <w:szCs w:val="24"/>
            <w:lang w:val="ru-RU"/>
          </w:rPr>
          <w:t>(2009)1666</w:t>
        </w:r>
      </w:hyperlink>
      <w:r>
        <w:rPr>
          <w:rStyle w:val="Hyperlink"/>
          <w:rFonts w:eastAsiaTheme="minorHAnsi"/>
          <w:szCs w:val="24"/>
          <w:lang w:val="ru-RU"/>
        </w:rPr>
        <w:t>.</w:t>
      </w:r>
    </w:p>
  </w:footnote>
  <w:footnote w:id="31">
    <w:p w:rsidR="006F5B6C" w:rsidRDefault="00284F4D">
      <w:pPr>
        <w:pStyle w:val="FootnoteText"/>
        <w:rPr>
          <w:lang w:val="ru-RU"/>
        </w:rPr>
      </w:pPr>
      <w:r>
        <w:rPr>
          <w:rStyle w:val="FootnoteReference"/>
        </w:rPr>
        <w:footnoteRef/>
      </w:r>
      <w:r>
        <w:rPr>
          <w:lang w:val="ru-RU"/>
        </w:rPr>
        <w:tab/>
      </w:r>
      <w:r>
        <w:rPr>
          <w:lang w:val="bg-BG"/>
        </w:rPr>
        <w:t xml:space="preserve">Директива </w:t>
      </w:r>
      <w:hyperlink r:id="rId27" w:history="1">
        <w:r>
          <w:rPr>
            <w:rStyle w:val="Hyperlink"/>
            <w:lang w:val="ru-RU"/>
          </w:rPr>
          <w:t>90/314/ЕИО</w:t>
        </w:r>
      </w:hyperlink>
      <w:r>
        <w:rPr>
          <w:rStyle w:val="Hyperlink"/>
          <w:lang w:val="ru-RU"/>
        </w:rPr>
        <w:t>.</w:t>
      </w:r>
    </w:p>
  </w:footnote>
  <w:footnote w:id="32">
    <w:p w:rsidR="006F5B6C" w:rsidRDefault="00284F4D">
      <w:pPr>
        <w:pStyle w:val="FootnoteText"/>
        <w:rPr>
          <w:lang w:val="ru-RU"/>
        </w:rPr>
      </w:pPr>
      <w:r>
        <w:rPr>
          <w:rStyle w:val="FootnoteReference"/>
        </w:rPr>
        <w:footnoteRef/>
      </w:r>
      <w:r>
        <w:rPr>
          <w:lang w:val="ru-RU"/>
        </w:rPr>
        <w:tab/>
      </w:r>
      <w:hyperlink r:id="rId28" w:history="1">
        <w:r>
          <w:rPr>
            <w:rStyle w:val="Hyperlink"/>
            <w:lang w:val="pt-PT"/>
          </w:rPr>
          <w:t>COM</w:t>
        </w:r>
        <w:r>
          <w:rPr>
            <w:rStyle w:val="Hyperlink"/>
            <w:lang w:val="ru-RU"/>
          </w:rPr>
          <w:t xml:space="preserve">(2015) 644 </w:t>
        </w:r>
        <w:r>
          <w:rPr>
            <w:rStyle w:val="Hyperlink"/>
            <w:lang w:val="pt-PT"/>
          </w:rPr>
          <w:t>final</w:t>
        </w:r>
      </w:hyperlink>
      <w:r>
        <w:rPr>
          <w:lang w:val="ru-RU"/>
        </w:rPr>
        <w:t>.</w:t>
      </w:r>
    </w:p>
  </w:footnote>
  <w:footnote w:id="33">
    <w:p w:rsidR="006F5B6C" w:rsidRDefault="00284F4D">
      <w:pPr>
        <w:pStyle w:val="FootnoteText"/>
        <w:rPr>
          <w:lang w:val="ru-RU"/>
        </w:rPr>
      </w:pPr>
      <w:r>
        <w:rPr>
          <w:rStyle w:val="FootnoteReference"/>
        </w:rPr>
        <w:footnoteRef/>
      </w:r>
      <w:r>
        <w:rPr>
          <w:lang w:val="ru-RU"/>
        </w:rPr>
        <w:tab/>
      </w:r>
      <w:r>
        <w:rPr>
          <w:lang w:val="bg-BG"/>
        </w:rPr>
        <w:t xml:space="preserve">Директива </w:t>
      </w:r>
      <w:hyperlink r:id="rId29" w:history="1">
        <w:r>
          <w:rPr>
            <w:rStyle w:val="Hyperlink"/>
            <w:lang w:val="ru-RU"/>
          </w:rPr>
          <w:t>2008/122/ЕО</w:t>
        </w:r>
      </w:hyperlink>
      <w:r>
        <w:rPr>
          <w:lang w:val="ru-RU"/>
        </w:rPr>
        <w:t>.</w:t>
      </w:r>
    </w:p>
  </w:footnote>
  <w:footnote w:id="34">
    <w:p w:rsidR="006F5B6C" w:rsidRDefault="00284F4D">
      <w:pPr>
        <w:pStyle w:val="FootnoteText"/>
        <w:rPr>
          <w:lang w:val="ru-RU"/>
        </w:rPr>
      </w:pPr>
      <w:r>
        <w:rPr>
          <w:rStyle w:val="FootnoteReference"/>
        </w:rPr>
        <w:footnoteRef/>
      </w:r>
      <w:r>
        <w:rPr>
          <w:lang w:val="ru-RU"/>
        </w:rPr>
        <w:tab/>
      </w:r>
      <w:hyperlink r:id="rId30" w:history="1">
        <w:r>
          <w:rPr>
            <w:rStyle w:val="Hyperlink"/>
            <w:lang w:val="pt-PT"/>
          </w:rPr>
          <w:t>http</w:t>
        </w:r>
        <w:r>
          <w:rPr>
            <w:rStyle w:val="Hyperlink"/>
            <w:lang w:val="ru-RU"/>
          </w:rPr>
          <w:t>://</w:t>
        </w:r>
        <w:r>
          <w:rPr>
            <w:rStyle w:val="Hyperlink"/>
            <w:lang w:val="pt-PT"/>
          </w:rPr>
          <w:t>ec</w:t>
        </w:r>
        <w:r>
          <w:rPr>
            <w:rStyle w:val="Hyperlink"/>
            <w:lang w:val="ru-RU"/>
          </w:rPr>
          <w:t>.</w:t>
        </w:r>
        <w:r>
          <w:rPr>
            <w:rStyle w:val="Hyperlink"/>
            <w:lang w:val="pt-PT"/>
          </w:rPr>
          <w:t>europa</w:t>
        </w:r>
        <w:r>
          <w:rPr>
            <w:rStyle w:val="Hyperlink"/>
            <w:lang w:val="ru-RU"/>
          </w:rPr>
          <w:t>.</w:t>
        </w:r>
        <w:r>
          <w:rPr>
            <w:rStyle w:val="Hyperlink"/>
            <w:lang w:val="pt-PT"/>
          </w:rPr>
          <w:t>eu</w:t>
        </w:r>
        <w:r>
          <w:rPr>
            <w:rStyle w:val="Hyperlink"/>
            <w:lang w:val="ru-RU"/>
          </w:rPr>
          <w:t>/</w:t>
        </w:r>
        <w:r>
          <w:rPr>
            <w:rStyle w:val="Hyperlink"/>
            <w:lang w:val="pt-PT"/>
          </w:rPr>
          <w:t>justice</w:t>
        </w:r>
        <w:r>
          <w:rPr>
            <w:rStyle w:val="Hyperlink"/>
            <w:lang w:val="ru-RU"/>
          </w:rPr>
          <w:t>/</w:t>
        </w:r>
        <w:r>
          <w:rPr>
            <w:rStyle w:val="Hyperlink"/>
            <w:lang w:val="pt-PT"/>
          </w:rPr>
          <w:t>newsroom</w:t>
        </w:r>
        <w:r>
          <w:rPr>
            <w:rStyle w:val="Hyperlink"/>
            <w:lang w:val="ru-RU"/>
          </w:rPr>
          <w:t>/</w:t>
        </w:r>
        <w:r>
          <w:rPr>
            <w:rStyle w:val="Hyperlink"/>
            <w:lang w:val="pt-PT"/>
          </w:rPr>
          <w:t>consumer</w:t>
        </w:r>
        <w:r>
          <w:rPr>
            <w:rStyle w:val="Hyperlink"/>
            <w:lang w:val="ru-RU"/>
          </w:rPr>
          <w:t>-</w:t>
        </w:r>
        <w:r>
          <w:rPr>
            <w:rStyle w:val="Hyperlink"/>
            <w:lang w:val="pt-PT"/>
          </w:rPr>
          <w:t>marketing</w:t>
        </w:r>
        <w:r>
          <w:rPr>
            <w:rStyle w:val="Hyperlink"/>
            <w:lang w:val="ru-RU"/>
          </w:rPr>
          <w:t>/</w:t>
        </w:r>
        <w:r>
          <w:rPr>
            <w:rStyle w:val="Hyperlink"/>
            <w:lang w:val="pt-PT"/>
          </w:rPr>
          <w:t>news</w:t>
        </w:r>
        <w:r>
          <w:rPr>
            <w:rStyle w:val="Hyperlink"/>
            <w:lang w:val="ru-RU"/>
          </w:rPr>
          <w:t>/150713_</w:t>
        </w:r>
        <w:r>
          <w:rPr>
            <w:rStyle w:val="Hyperlink"/>
            <w:lang w:val="pt-PT"/>
          </w:rPr>
          <w:t>en</w:t>
        </w:r>
        <w:r>
          <w:rPr>
            <w:rStyle w:val="Hyperlink"/>
            <w:lang w:val="ru-RU"/>
          </w:rPr>
          <w:t>.</w:t>
        </w:r>
        <w:r>
          <w:rPr>
            <w:rStyle w:val="Hyperlink"/>
            <w:lang w:val="pt-PT"/>
          </w:rPr>
          <w:t>htm</w:t>
        </w:r>
      </w:hyperlink>
      <w:r>
        <w:rPr>
          <w:lang w:val="ru-RU"/>
        </w:rPr>
        <w:t>.</w:t>
      </w:r>
    </w:p>
  </w:footnote>
  <w:footnote w:id="35">
    <w:p w:rsidR="006F5B6C" w:rsidRDefault="00284F4D">
      <w:pPr>
        <w:pStyle w:val="FootnoteText"/>
        <w:rPr>
          <w:lang w:val="ru-RU"/>
        </w:rPr>
      </w:pPr>
      <w:r>
        <w:rPr>
          <w:rStyle w:val="FootnoteReference"/>
        </w:rPr>
        <w:footnoteRef/>
      </w:r>
      <w:r>
        <w:rPr>
          <w:lang w:val="ru-RU"/>
        </w:rPr>
        <w:tab/>
      </w:r>
      <w:r>
        <w:rPr>
          <w:lang w:val="bg-BG"/>
        </w:rPr>
        <w:t xml:space="preserve">Директива </w:t>
      </w:r>
      <w:hyperlink r:id="rId31" w:history="1">
        <w:r>
          <w:rPr>
            <w:rStyle w:val="Hyperlink"/>
            <w:lang w:val="ru-RU"/>
          </w:rPr>
          <w:t>2011/24/ЕС</w:t>
        </w:r>
      </w:hyperlink>
      <w:r>
        <w:rPr>
          <w:lang w:val="ru-RU"/>
        </w:rPr>
        <w:t>.</w:t>
      </w:r>
    </w:p>
  </w:footnote>
  <w:footnote w:id="36">
    <w:p w:rsidR="006F5B6C" w:rsidRDefault="00284F4D">
      <w:pPr>
        <w:pStyle w:val="FootnoteText"/>
        <w:rPr>
          <w:lang w:val="ru-RU"/>
        </w:rPr>
      </w:pPr>
      <w:r>
        <w:rPr>
          <w:rStyle w:val="FootnoteReference"/>
        </w:rPr>
        <w:footnoteRef/>
      </w:r>
      <w:r>
        <w:rPr>
          <w:lang w:val="ru-RU"/>
        </w:rPr>
        <w:tab/>
      </w:r>
      <w:r>
        <w:rPr>
          <w:lang w:val="bg-BG"/>
        </w:rPr>
        <w:t xml:space="preserve">Директива </w:t>
      </w:r>
      <w:hyperlink r:id="rId32" w:history="1">
        <w:r>
          <w:rPr>
            <w:rStyle w:val="Hyperlink"/>
            <w:lang w:val="ru-RU"/>
          </w:rPr>
          <w:t>2004/23/ЕО</w:t>
        </w:r>
      </w:hyperlink>
      <w:r>
        <w:rPr>
          <w:lang w:val="ru-RU"/>
        </w:rPr>
        <w:t>.</w:t>
      </w:r>
    </w:p>
  </w:footnote>
  <w:footnote w:id="37">
    <w:p w:rsidR="006F5B6C" w:rsidRDefault="00284F4D">
      <w:pPr>
        <w:pStyle w:val="FootnoteText"/>
        <w:rPr>
          <w:lang w:val="ru-RU"/>
        </w:rPr>
      </w:pPr>
      <w:r>
        <w:rPr>
          <w:rStyle w:val="FootnoteReference"/>
        </w:rPr>
        <w:footnoteRef/>
      </w:r>
      <w:r>
        <w:rPr>
          <w:lang w:val="ru-RU"/>
        </w:rPr>
        <w:tab/>
      </w:r>
      <w:r>
        <w:rPr>
          <w:lang w:val="bg-BG"/>
        </w:rPr>
        <w:t xml:space="preserve">Директиви </w:t>
      </w:r>
      <w:hyperlink r:id="rId33" w:history="1">
        <w:r>
          <w:rPr>
            <w:rStyle w:val="Hyperlink"/>
            <w:lang w:val="ru-RU"/>
          </w:rPr>
          <w:t>1999/74/ЕО</w:t>
        </w:r>
      </w:hyperlink>
      <w:r>
        <w:rPr>
          <w:lang w:val="bg-BG"/>
        </w:rPr>
        <w:t xml:space="preserve"> и </w:t>
      </w:r>
      <w:hyperlink r:id="rId34" w:history="1">
        <w:r>
          <w:rPr>
            <w:rStyle w:val="Hyperlink"/>
            <w:lang w:val="ru-RU"/>
          </w:rPr>
          <w:t>2008/120/ЕО</w:t>
        </w:r>
      </w:hyperlink>
      <w:r>
        <w:rPr>
          <w:lang w:val="ru-RU"/>
        </w:rPr>
        <w:t>.</w:t>
      </w:r>
    </w:p>
  </w:footnote>
  <w:footnote w:id="38">
    <w:p w:rsidR="006F5B6C" w:rsidRDefault="00284F4D">
      <w:pPr>
        <w:pStyle w:val="FootnoteText"/>
        <w:rPr>
          <w:lang w:val="ru-RU"/>
        </w:rPr>
      </w:pPr>
      <w:r>
        <w:rPr>
          <w:rStyle w:val="FootnoteReference"/>
        </w:rPr>
        <w:footnoteRef/>
      </w:r>
      <w:r>
        <w:rPr>
          <w:lang w:val="ru-RU"/>
        </w:rPr>
        <w:tab/>
      </w:r>
      <w:r>
        <w:rPr>
          <w:lang w:val="bg-BG"/>
        </w:rPr>
        <w:t xml:space="preserve">Директива </w:t>
      </w:r>
      <w:hyperlink r:id="rId35" w:history="1">
        <w:r>
          <w:rPr>
            <w:rStyle w:val="Hyperlink"/>
            <w:lang w:val="ru-RU"/>
          </w:rPr>
          <w:t>2012/34</w:t>
        </w:r>
      </w:hyperlink>
      <w:r>
        <w:rPr>
          <w:lang w:val="ru-RU"/>
        </w:rPr>
        <w:t>.</w:t>
      </w:r>
    </w:p>
  </w:footnote>
  <w:footnote w:id="39">
    <w:p w:rsidR="006F5B6C" w:rsidRDefault="00284F4D">
      <w:pPr>
        <w:pStyle w:val="FootnoteText"/>
        <w:rPr>
          <w:lang w:val="ru-RU"/>
        </w:rPr>
      </w:pPr>
      <w:r>
        <w:rPr>
          <w:rStyle w:val="FootnoteReference"/>
        </w:rPr>
        <w:footnoteRef/>
      </w:r>
      <w:r>
        <w:rPr>
          <w:lang w:val="ru-RU"/>
        </w:rPr>
        <w:tab/>
      </w:r>
      <w:r>
        <w:rPr>
          <w:lang w:val="bg-BG"/>
        </w:rPr>
        <w:t xml:space="preserve">Директива </w:t>
      </w:r>
      <w:hyperlink r:id="rId36" w:history="1">
        <w:r>
          <w:rPr>
            <w:rStyle w:val="Hyperlink"/>
            <w:lang w:val="ru-RU"/>
          </w:rPr>
          <w:t>2004/52/ЕО</w:t>
        </w:r>
      </w:hyperlink>
      <w:r>
        <w:rPr>
          <w:lang w:val="ru-RU"/>
        </w:rPr>
        <w:t>.</w:t>
      </w:r>
    </w:p>
  </w:footnote>
  <w:footnote w:id="40">
    <w:p w:rsidR="006F5B6C" w:rsidRDefault="00284F4D">
      <w:pPr>
        <w:pStyle w:val="FootnoteText"/>
        <w:rPr>
          <w:lang w:val="ru-RU"/>
        </w:rPr>
      </w:pPr>
      <w:r>
        <w:rPr>
          <w:rStyle w:val="FootnoteReference"/>
        </w:rPr>
        <w:footnoteRef/>
      </w:r>
      <w:r>
        <w:rPr>
          <w:lang w:val="ru-RU"/>
        </w:rPr>
        <w:tab/>
      </w:r>
      <w:r>
        <w:rPr>
          <w:lang w:val="bg-BG"/>
        </w:rPr>
        <w:t xml:space="preserve">Директива </w:t>
      </w:r>
      <w:hyperlink r:id="rId37" w:history="1">
        <w:r>
          <w:rPr>
            <w:rStyle w:val="Hyperlink"/>
            <w:lang w:val="ru-RU"/>
          </w:rPr>
          <w:t>2006/126/ЕО</w:t>
        </w:r>
      </w:hyperlink>
      <w:r>
        <w:rPr>
          <w:lang w:val="ru-RU"/>
        </w:rPr>
        <w:t>.</w:t>
      </w:r>
    </w:p>
  </w:footnote>
  <w:footnote w:id="41">
    <w:p w:rsidR="006F5B6C" w:rsidRDefault="00284F4D">
      <w:pPr>
        <w:pStyle w:val="FootnoteText"/>
        <w:rPr>
          <w:lang w:val="ru-RU"/>
        </w:rPr>
      </w:pPr>
      <w:r>
        <w:rPr>
          <w:rStyle w:val="FootnoteReference"/>
        </w:rPr>
        <w:footnoteRef/>
      </w:r>
      <w:r>
        <w:rPr>
          <w:lang w:val="ru-RU"/>
        </w:rPr>
        <w:tab/>
      </w:r>
      <w:hyperlink r:id="rId38" w:history="1">
        <w:r>
          <w:rPr>
            <w:rStyle w:val="Hyperlink"/>
            <w:lang w:val="pt-PT"/>
          </w:rPr>
          <w:t>IP</w:t>
        </w:r>
        <w:r>
          <w:rPr>
            <w:rStyle w:val="Hyperlink"/>
            <w:lang w:val="ru-RU"/>
          </w:rPr>
          <w:t>/11/1551</w:t>
        </w:r>
      </w:hyperlink>
      <w:r>
        <w:rPr>
          <w:lang w:val="ru-RU"/>
        </w:rPr>
        <w:t>.</w:t>
      </w:r>
    </w:p>
  </w:footnote>
  <w:footnote w:id="42">
    <w:p w:rsidR="006F5B6C" w:rsidRDefault="00284F4D">
      <w:pPr>
        <w:pStyle w:val="FootnoteText"/>
        <w:rPr>
          <w:lang w:val="ru-RU"/>
        </w:rPr>
      </w:pPr>
      <w:r>
        <w:rPr>
          <w:rStyle w:val="FootnoteReference"/>
        </w:rPr>
        <w:footnoteRef/>
      </w:r>
      <w:r>
        <w:rPr>
          <w:lang w:val="ru-RU"/>
        </w:rPr>
        <w:tab/>
      </w:r>
      <w:hyperlink r:id="rId39" w:history="1">
        <w:r>
          <w:rPr>
            <w:rStyle w:val="Hyperlink"/>
            <w:lang w:val="pt-PT"/>
          </w:rPr>
          <w:t>IP</w:t>
        </w:r>
        <w:r>
          <w:rPr>
            <w:rStyle w:val="Hyperlink"/>
            <w:lang w:val="ru-RU"/>
          </w:rPr>
          <w:t>/12/340</w:t>
        </w:r>
      </w:hyperlink>
      <w:r>
        <w:rPr>
          <w:lang w:val="ru-RU"/>
        </w:rPr>
        <w:t>.</w:t>
      </w:r>
    </w:p>
  </w:footnote>
  <w:footnote w:id="43">
    <w:p w:rsidR="006F5B6C" w:rsidRDefault="00284F4D">
      <w:pPr>
        <w:pStyle w:val="FootnoteText"/>
        <w:rPr>
          <w:lang w:val="ru-RU"/>
        </w:rPr>
      </w:pPr>
      <w:r>
        <w:rPr>
          <w:rStyle w:val="FootnoteReference"/>
        </w:rPr>
        <w:footnoteRef/>
      </w:r>
      <w:r>
        <w:rPr>
          <w:lang w:val="ru-RU"/>
        </w:rPr>
        <w:tab/>
      </w:r>
      <w:hyperlink r:id="rId40" w:history="1">
        <w:r>
          <w:rPr>
            <w:rStyle w:val="Hyperlink"/>
            <w:lang w:val="pt-PT"/>
          </w:rPr>
          <w:t>IP</w:t>
        </w:r>
        <w:r>
          <w:rPr>
            <w:rStyle w:val="Hyperlink"/>
            <w:lang w:val="ru-RU"/>
          </w:rPr>
          <w:t>/14/31</w:t>
        </w:r>
      </w:hyperlink>
      <w:r>
        <w:rPr>
          <w:lang w:val="ru-RU"/>
        </w:rPr>
        <w:t>.</w:t>
      </w:r>
    </w:p>
  </w:footnote>
  <w:footnote w:id="44">
    <w:p w:rsidR="006F5B6C" w:rsidRDefault="00284F4D">
      <w:pPr>
        <w:pStyle w:val="FootnoteText"/>
        <w:rPr>
          <w:lang w:val="ru-RU"/>
        </w:rPr>
      </w:pPr>
      <w:r>
        <w:rPr>
          <w:rStyle w:val="FootnoteReference"/>
        </w:rPr>
        <w:footnoteRef/>
      </w:r>
      <w:r>
        <w:rPr>
          <w:lang w:val="ru-RU"/>
        </w:rPr>
        <w:tab/>
      </w:r>
      <w:r>
        <w:rPr>
          <w:lang w:val="bg-BG"/>
        </w:rPr>
        <w:t xml:space="preserve">Директива </w:t>
      </w:r>
      <w:hyperlink r:id="rId41" w:history="1">
        <w:r>
          <w:rPr>
            <w:rStyle w:val="Hyperlink"/>
            <w:lang w:val="ru-RU"/>
          </w:rPr>
          <w:t>2014/59/ЕС</w:t>
        </w:r>
      </w:hyperlink>
      <w:r>
        <w:rPr>
          <w:lang w:val="ru-RU"/>
        </w:rPr>
        <w:t>.</w:t>
      </w:r>
    </w:p>
  </w:footnote>
  <w:footnote w:id="45">
    <w:p w:rsidR="006F5B6C" w:rsidRDefault="00284F4D">
      <w:pPr>
        <w:pStyle w:val="FootnoteText"/>
        <w:rPr>
          <w:lang w:val="ru-RU"/>
        </w:rPr>
      </w:pPr>
      <w:r>
        <w:rPr>
          <w:rStyle w:val="FootnoteReference"/>
        </w:rPr>
        <w:footnoteRef/>
      </w:r>
      <w:r>
        <w:rPr>
          <w:lang w:val="ru-RU"/>
        </w:rPr>
        <w:tab/>
      </w:r>
      <w:r>
        <w:rPr>
          <w:lang w:val="bg-BG"/>
        </w:rPr>
        <w:t xml:space="preserve">Директива </w:t>
      </w:r>
      <w:hyperlink r:id="rId42" w:history="1">
        <w:r>
          <w:rPr>
            <w:rStyle w:val="Hyperlink"/>
            <w:lang w:val="ru-RU"/>
          </w:rPr>
          <w:t>2014/49/ЕС</w:t>
        </w:r>
      </w:hyperlink>
      <w:r>
        <w:rPr>
          <w:lang w:val="ru-RU"/>
        </w:rPr>
        <w:t>.</w:t>
      </w:r>
    </w:p>
  </w:footnote>
  <w:footnote w:id="46">
    <w:p w:rsidR="006F5B6C" w:rsidRDefault="00284F4D">
      <w:pPr>
        <w:pStyle w:val="FootnoteText"/>
        <w:rPr>
          <w:lang w:val="ru-RU"/>
        </w:rPr>
      </w:pPr>
      <w:r>
        <w:rPr>
          <w:rStyle w:val="FootnoteReference"/>
        </w:rPr>
        <w:footnoteRef/>
      </w:r>
      <w:r>
        <w:rPr>
          <w:lang w:val="ru-RU"/>
        </w:rPr>
        <w:tab/>
      </w:r>
      <w:r>
        <w:rPr>
          <w:lang w:val="bg-BG"/>
        </w:rPr>
        <w:t xml:space="preserve">Директива </w:t>
      </w:r>
      <w:hyperlink r:id="rId43" w:history="1">
        <w:r>
          <w:rPr>
            <w:rStyle w:val="Hyperlink"/>
            <w:lang w:val="ru-RU"/>
          </w:rPr>
          <w:t>2013/34/ЕС</w:t>
        </w:r>
      </w:hyperlink>
      <w:r>
        <w:rPr>
          <w:lang w:val="ru-RU"/>
        </w:rPr>
        <w:t>.</w:t>
      </w:r>
    </w:p>
  </w:footnote>
  <w:footnote w:id="47">
    <w:p w:rsidR="006F5B6C" w:rsidRDefault="00284F4D">
      <w:pPr>
        <w:pStyle w:val="FootnoteText"/>
        <w:rPr>
          <w:lang w:val="ru-RU"/>
        </w:rPr>
      </w:pPr>
      <w:r>
        <w:rPr>
          <w:rStyle w:val="FootnoteReference"/>
        </w:rPr>
        <w:footnoteRef/>
      </w:r>
      <w:r>
        <w:rPr>
          <w:lang w:val="ru-RU"/>
        </w:rPr>
        <w:tab/>
      </w:r>
      <w:r>
        <w:rPr>
          <w:lang w:val="bg-BG"/>
        </w:rPr>
        <w:t xml:space="preserve">Директива </w:t>
      </w:r>
      <w:hyperlink r:id="rId44" w:history="1">
        <w:r>
          <w:rPr>
            <w:rStyle w:val="Hyperlink"/>
            <w:lang w:val="ru-RU"/>
          </w:rPr>
          <w:t>2013/36/ЕС</w:t>
        </w:r>
      </w:hyperlink>
      <w:r>
        <w:rPr>
          <w:lang w:val="ru-RU"/>
        </w:rPr>
        <w:t>.</w:t>
      </w:r>
    </w:p>
  </w:footnote>
  <w:footnote w:id="48">
    <w:p w:rsidR="006F5B6C" w:rsidRDefault="00284F4D">
      <w:pPr>
        <w:pStyle w:val="FootnoteText"/>
        <w:rPr>
          <w:lang w:val="ru-RU"/>
        </w:rPr>
      </w:pPr>
      <w:r>
        <w:rPr>
          <w:rStyle w:val="FootnoteReference"/>
        </w:rPr>
        <w:footnoteRef/>
      </w:r>
      <w:r>
        <w:rPr>
          <w:lang w:val="ru-RU"/>
        </w:rPr>
        <w:tab/>
      </w:r>
      <w:r>
        <w:rPr>
          <w:lang w:val="bg-BG"/>
        </w:rPr>
        <w:t xml:space="preserve">Директива </w:t>
      </w:r>
      <w:hyperlink r:id="rId45" w:history="1">
        <w:r>
          <w:rPr>
            <w:rStyle w:val="Hyperlink"/>
            <w:lang w:val="ru-RU"/>
          </w:rPr>
          <w:t>2011/89/ЕС</w:t>
        </w:r>
      </w:hyperlink>
      <w:r>
        <w:rPr>
          <w:lang w:val="ru-RU"/>
        </w:rPr>
        <w:t>.</w:t>
      </w:r>
    </w:p>
  </w:footnote>
  <w:footnote w:id="49">
    <w:p w:rsidR="006F5B6C" w:rsidRDefault="00284F4D">
      <w:pPr>
        <w:pStyle w:val="FootnoteText"/>
        <w:rPr>
          <w:lang w:val="ru-RU"/>
        </w:rPr>
      </w:pPr>
      <w:r>
        <w:rPr>
          <w:rStyle w:val="FootnoteReference"/>
        </w:rPr>
        <w:footnoteRef/>
      </w:r>
      <w:r>
        <w:rPr>
          <w:lang w:val="ru-RU"/>
        </w:rPr>
        <w:tab/>
      </w:r>
      <w:r>
        <w:rPr>
          <w:lang w:val="bg-BG"/>
        </w:rPr>
        <w:t xml:space="preserve">Директиви </w:t>
      </w:r>
      <w:hyperlink r:id="rId46" w:history="1">
        <w:r>
          <w:rPr>
            <w:rStyle w:val="Hyperlink"/>
            <w:lang w:val="ru-RU"/>
          </w:rPr>
          <w:t>2009/138/ЕО</w:t>
        </w:r>
      </w:hyperlink>
      <w:r>
        <w:rPr>
          <w:lang w:val="bg-BG"/>
        </w:rPr>
        <w:t xml:space="preserve"> и </w:t>
      </w:r>
      <w:hyperlink r:id="rId47" w:history="1">
        <w:r>
          <w:rPr>
            <w:rStyle w:val="Hyperlink"/>
            <w:lang w:val="ru-RU"/>
          </w:rPr>
          <w:t>2014/51/ЕС</w:t>
        </w:r>
      </w:hyperlink>
      <w:r>
        <w:rPr>
          <w:lang w:val="ru-RU"/>
        </w:rPr>
        <w:t>.</w:t>
      </w:r>
    </w:p>
  </w:footnote>
  <w:footnote w:id="50">
    <w:p w:rsidR="006F5B6C" w:rsidRDefault="00284F4D">
      <w:pPr>
        <w:pStyle w:val="FootnoteText"/>
        <w:rPr>
          <w:lang w:val="ru-RU"/>
        </w:rPr>
      </w:pPr>
      <w:r>
        <w:rPr>
          <w:rStyle w:val="FootnoteReference"/>
        </w:rPr>
        <w:footnoteRef/>
      </w:r>
      <w:r>
        <w:rPr>
          <w:lang w:val="ru-RU"/>
        </w:rPr>
        <w:tab/>
      </w:r>
      <w:r>
        <w:rPr>
          <w:lang w:val="bg-BG"/>
        </w:rPr>
        <w:t xml:space="preserve">Директива </w:t>
      </w:r>
      <w:hyperlink r:id="rId48" w:history="1">
        <w:r>
          <w:rPr>
            <w:rStyle w:val="Hyperlink"/>
            <w:lang w:val="ru-RU"/>
          </w:rPr>
          <w:t>2011/61/ЕС</w:t>
        </w:r>
      </w:hyperlink>
      <w:r>
        <w:rPr>
          <w:lang w:val="ru-RU"/>
        </w:rPr>
        <w:t>.</w:t>
      </w:r>
    </w:p>
  </w:footnote>
  <w:footnote w:id="51">
    <w:p w:rsidR="006F5B6C" w:rsidRDefault="00284F4D">
      <w:pPr>
        <w:pStyle w:val="FootnoteText"/>
        <w:rPr>
          <w:lang w:val="ru-RU"/>
        </w:rPr>
      </w:pPr>
      <w:r>
        <w:rPr>
          <w:rStyle w:val="FootnoteReference"/>
        </w:rPr>
        <w:footnoteRef/>
      </w:r>
      <w:r>
        <w:rPr>
          <w:lang w:val="ru-RU"/>
        </w:rPr>
        <w:tab/>
      </w:r>
      <w:r>
        <w:rPr>
          <w:lang w:val="bg-BG"/>
        </w:rPr>
        <w:t xml:space="preserve">Директиви </w:t>
      </w:r>
      <w:hyperlink r:id="rId49" w:history="1">
        <w:r>
          <w:rPr>
            <w:rStyle w:val="Hyperlink"/>
            <w:lang w:val="ru-RU"/>
          </w:rPr>
          <w:t>2013/14/ЕС</w:t>
        </w:r>
      </w:hyperlink>
      <w:r>
        <w:rPr>
          <w:lang w:val="bg-BG"/>
        </w:rPr>
        <w:t xml:space="preserve"> и </w:t>
      </w:r>
      <w:hyperlink r:id="rId50" w:history="1">
        <w:r>
          <w:rPr>
            <w:rStyle w:val="Hyperlink"/>
            <w:lang w:val="ru-RU"/>
          </w:rPr>
          <w:t>2013/50/ЕС</w:t>
        </w:r>
      </w:hyperlink>
      <w:r>
        <w:rPr>
          <w:lang w:val="ru-RU"/>
        </w:rPr>
        <w:t>.</w:t>
      </w:r>
    </w:p>
  </w:footnote>
  <w:footnote w:id="52">
    <w:p w:rsidR="006F5B6C" w:rsidRDefault="00284F4D">
      <w:pPr>
        <w:pStyle w:val="FootnoteText"/>
        <w:rPr>
          <w:lang w:val="ru-RU"/>
        </w:rPr>
      </w:pPr>
      <w:r>
        <w:rPr>
          <w:rStyle w:val="FootnoteReference"/>
        </w:rPr>
        <w:footnoteRef/>
      </w:r>
      <w:r>
        <w:rPr>
          <w:lang w:val="ru-RU"/>
        </w:rPr>
        <w:tab/>
      </w:r>
      <w:r>
        <w:rPr>
          <w:lang w:val="bg-BG"/>
        </w:rPr>
        <w:t xml:space="preserve">Директива </w:t>
      </w:r>
      <w:hyperlink r:id="rId51" w:history="1">
        <w:r>
          <w:rPr>
            <w:rStyle w:val="Hyperlink"/>
            <w:lang w:val="ru-RU"/>
          </w:rPr>
          <w:t>2004/38/ЕО</w:t>
        </w:r>
      </w:hyperlink>
      <w:r>
        <w:rPr>
          <w:lang w:val="ru-RU"/>
        </w:rPr>
        <w:t>.</w:t>
      </w:r>
    </w:p>
  </w:footnote>
  <w:footnote w:id="53">
    <w:p w:rsidR="006F5B6C" w:rsidRDefault="00284F4D">
      <w:pPr>
        <w:pStyle w:val="FootnoteText"/>
        <w:rPr>
          <w:lang w:val="ru-RU"/>
        </w:rPr>
      </w:pPr>
      <w:r>
        <w:rPr>
          <w:rStyle w:val="FootnoteReference"/>
        </w:rPr>
        <w:footnoteRef/>
      </w:r>
      <w:r>
        <w:rPr>
          <w:lang w:val="ru-RU"/>
        </w:rPr>
        <w:tab/>
      </w:r>
      <w:r>
        <w:rPr>
          <w:lang w:val="bg-BG"/>
        </w:rPr>
        <w:t xml:space="preserve">Директива </w:t>
      </w:r>
      <w:hyperlink r:id="rId52" w:history="1">
        <w:r>
          <w:rPr>
            <w:rStyle w:val="Hyperlink"/>
            <w:lang w:val="ru-RU"/>
          </w:rPr>
          <w:t>2011/99/ЕС</w:t>
        </w:r>
      </w:hyperlink>
      <w:r>
        <w:rPr>
          <w:lang w:val="ru-RU"/>
        </w:rPr>
        <w:t>.</w:t>
      </w:r>
    </w:p>
  </w:footnote>
  <w:footnote w:id="54">
    <w:p w:rsidR="006F5B6C" w:rsidRDefault="00284F4D">
      <w:pPr>
        <w:pStyle w:val="FootnoteText"/>
        <w:rPr>
          <w:lang w:val="ru-RU"/>
        </w:rPr>
      </w:pPr>
      <w:r>
        <w:rPr>
          <w:rStyle w:val="FootnoteReference"/>
        </w:rPr>
        <w:footnoteRef/>
      </w:r>
      <w:r>
        <w:rPr>
          <w:lang w:val="ru-RU"/>
        </w:rPr>
        <w:tab/>
      </w:r>
      <w:r>
        <w:rPr>
          <w:lang w:val="bg-BG"/>
        </w:rPr>
        <w:t xml:space="preserve">Директива </w:t>
      </w:r>
      <w:hyperlink r:id="rId53" w:history="1">
        <w:r>
          <w:rPr>
            <w:rStyle w:val="Hyperlink"/>
            <w:lang w:val="ru-RU"/>
          </w:rPr>
          <w:t>2012/29/ЕС</w:t>
        </w:r>
      </w:hyperlink>
      <w:r>
        <w:rPr>
          <w:lang w:val="ru-RU"/>
        </w:rPr>
        <w:t>.</w:t>
      </w:r>
    </w:p>
  </w:footnote>
  <w:footnote w:id="55">
    <w:p w:rsidR="006F5B6C" w:rsidRDefault="00284F4D">
      <w:pPr>
        <w:pStyle w:val="FootnoteText"/>
        <w:rPr>
          <w:lang w:val="ru-RU"/>
        </w:rPr>
      </w:pPr>
      <w:r>
        <w:rPr>
          <w:rStyle w:val="FootnoteReference"/>
        </w:rPr>
        <w:footnoteRef/>
      </w:r>
      <w:r>
        <w:rPr>
          <w:lang w:val="ru-RU"/>
        </w:rPr>
        <w:tab/>
      </w:r>
      <w:r>
        <w:rPr>
          <w:lang w:val="bg-BG"/>
        </w:rPr>
        <w:t xml:space="preserve">Директива </w:t>
      </w:r>
      <w:hyperlink r:id="rId54" w:history="1">
        <w:r>
          <w:rPr>
            <w:rStyle w:val="Hyperlink"/>
            <w:lang w:val="ru-RU"/>
          </w:rPr>
          <w:t>2010/64/ЕС</w:t>
        </w:r>
      </w:hyperlink>
      <w:r>
        <w:rPr>
          <w:lang w:val="bg-BG"/>
        </w:rPr>
        <w:t xml:space="preserve"> и Директива </w:t>
      </w:r>
      <w:hyperlink r:id="rId55" w:history="1">
        <w:r>
          <w:rPr>
            <w:rStyle w:val="Hyperlink"/>
            <w:lang w:val="ru-RU"/>
          </w:rPr>
          <w:t>2012/13/ЕС</w:t>
        </w:r>
      </w:hyperlink>
      <w:r>
        <w:rPr>
          <w:lang w:val="ru-RU"/>
        </w:rPr>
        <w:t>.</w:t>
      </w:r>
    </w:p>
  </w:footnote>
  <w:footnote w:id="56">
    <w:p w:rsidR="006F5B6C" w:rsidRDefault="00284F4D">
      <w:pPr>
        <w:pStyle w:val="FootnoteText"/>
        <w:rPr>
          <w:lang w:val="ru-RU"/>
        </w:rPr>
      </w:pPr>
      <w:r>
        <w:rPr>
          <w:rStyle w:val="FootnoteReference"/>
        </w:rPr>
        <w:footnoteRef/>
      </w:r>
      <w:r>
        <w:rPr>
          <w:lang w:val="ru-RU"/>
        </w:rPr>
        <w:tab/>
      </w:r>
      <w:r>
        <w:rPr>
          <w:bCs/>
          <w:lang w:val="bg-BG"/>
        </w:rPr>
        <w:t>Регламент</w:t>
      </w:r>
      <w:r>
        <w:rPr>
          <w:lang w:val="bg-BG"/>
        </w:rPr>
        <w:t> </w:t>
      </w:r>
      <w:r>
        <w:rPr>
          <w:lang w:val="ru-RU"/>
        </w:rPr>
        <w:t>(</w:t>
      </w:r>
      <w:r>
        <w:rPr>
          <w:lang w:val="bg-BG"/>
        </w:rPr>
        <w:t>ЕО</w:t>
      </w:r>
      <w:r>
        <w:rPr>
          <w:lang w:val="ru-RU"/>
        </w:rPr>
        <w:t>)</w:t>
      </w:r>
      <w:r>
        <w:rPr>
          <w:lang w:val="bg-BG"/>
        </w:rPr>
        <w:t> </w:t>
      </w:r>
      <w:r>
        <w:rPr>
          <w:lang w:val="ru-RU"/>
        </w:rPr>
        <w:t>№</w:t>
      </w:r>
      <w:r>
        <w:rPr>
          <w:lang w:val="bg-BG"/>
        </w:rPr>
        <w:t> </w:t>
      </w:r>
      <w:hyperlink r:id="rId56" w:history="1">
        <w:r>
          <w:rPr>
            <w:rStyle w:val="Hyperlink"/>
            <w:lang w:val="ru-RU"/>
          </w:rPr>
          <w:t>2201/2003</w:t>
        </w:r>
      </w:hyperlink>
      <w:r>
        <w:rPr>
          <w:lang w:val="ru-RU"/>
        </w:rPr>
        <w:t xml:space="preserve">. </w:t>
      </w:r>
    </w:p>
  </w:footnote>
  <w:footnote w:id="57">
    <w:p w:rsidR="006F5B6C" w:rsidRDefault="00284F4D">
      <w:pPr>
        <w:pStyle w:val="FootnoteText"/>
        <w:rPr>
          <w:lang w:val="ru-RU"/>
        </w:rPr>
      </w:pPr>
      <w:r>
        <w:rPr>
          <w:rStyle w:val="FootnoteReference"/>
        </w:rPr>
        <w:footnoteRef/>
      </w:r>
      <w:r>
        <w:rPr>
          <w:lang w:val="ru-RU"/>
        </w:rPr>
        <w:tab/>
      </w:r>
      <w:hyperlink r:id="rId57" w:history="1">
        <w:r>
          <w:rPr>
            <w:rStyle w:val="Hyperlink"/>
            <w:lang w:val="bg-BG"/>
          </w:rPr>
          <w:t>Становище</w:t>
        </w:r>
        <w:r>
          <w:rPr>
            <w:rStyle w:val="Hyperlink"/>
            <w:lang w:val="ru-RU"/>
          </w:rPr>
          <w:t xml:space="preserve"> 1/13</w:t>
        </w:r>
      </w:hyperlink>
      <w:r>
        <w:rPr>
          <w:lang w:val="ru-RU"/>
        </w:rPr>
        <w:t>.</w:t>
      </w:r>
    </w:p>
  </w:footnote>
  <w:footnote w:id="58">
    <w:p w:rsidR="006F5B6C" w:rsidRDefault="00284F4D">
      <w:pPr>
        <w:pStyle w:val="FootnoteText"/>
        <w:rPr>
          <w:lang w:val="ru-RU"/>
        </w:rPr>
      </w:pPr>
      <w:r>
        <w:rPr>
          <w:rStyle w:val="FootnoteReference"/>
        </w:rPr>
        <w:footnoteRef/>
      </w:r>
      <w:r>
        <w:rPr>
          <w:lang w:val="ru-RU"/>
        </w:rPr>
        <w:tab/>
      </w:r>
      <w:r>
        <w:rPr>
          <w:lang w:val="bg-BG"/>
        </w:rPr>
        <w:t xml:space="preserve">Решение по дело </w:t>
      </w:r>
      <w:r>
        <w:t>Maximilian</w:t>
      </w:r>
      <w:r>
        <w:rPr>
          <w:lang w:val="ru-RU"/>
        </w:rPr>
        <w:t xml:space="preserve"> </w:t>
      </w:r>
      <w:r>
        <w:t>Schrems</w:t>
      </w:r>
      <w:r>
        <w:rPr>
          <w:lang w:val="ru-RU"/>
        </w:rPr>
        <w:t>/</w:t>
      </w:r>
      <w:r>
        <w:t>Data</w:t>
      </w:r>
      <w:r>
        <w:rPr>
          <w:lang w:val="ru-RU"/>
        </w:rPr>
        <w:t xml:space="preserve"> </w:t>
      </w:r>
      <w:r>
        <w:t>Protection</w:t>
      </w:r>
      <w:r>
        <w:rPr>
          <w:lang w:val="ru-RU"/>
        </w:rPr>
        <w:t xml:space="preserve"> </w:t>
      </w:r>
      <w:r>
        <w:t>Commissioner</w:t>
      </w:r>
      <w:r>
        <w:rPr>
          <w:lang w:val="ru-RU"/>
        </w:rPr>
        <w:t xml:space="preserve">, </w:t>
      </w:r>
      <w:hyperlink r:id="rId58" w:history="1">
        <w:r>
          <w:rPr>
            <w:rStyle w:val="Hyperlink"/>
          </w:rPr>
          <w:t>C</w:t>
        </w:r>
        <w:r>
          <w:rPr>
            <w:rStyle w:val="Hyperlink"/>
            <w:lang w:val="ru-RU"/>
          </w:rPr>
          <w:t>-362/14</w:t>
        </w:r>
      </w:hyperlink>
      <w:r>
        <w:rPr>
          <w:lang w:val="ru-RU"/>
        </w:rPr>
        <w:t>.</w:t>
      </w:r>
    </w:p>
  </w:footnote>
  <w:footnote w:id="59">
    <w:p w:rsidR="006F5B6C" w:rsidRDefault="00284F4D">
      <w:pPr>
        <w:pStyle w:val="FootnoteText"/>
        <w:rPr>
          <w:lang w:val="ru-RU"/>
        </w:rPr>
      </w:pPr>
      <w:r>
        <w:rPr>
          <w:rStyle w:val="FootnoteReference"/>
        </w:rPr>
        <w:footnoteRef/>
      </w:r>
      <w:r>
        <w:rPr>
          <w:lang w:val="ru-RU"/>
        </w:rPr>
        <w:tab/>
      </w:r>
      <w:r>
        <w:rPr>
          <w:lang w:val="bg-BG"/>
        </w:rPr>
        <w:t xml:space="preserve">Решение на Комисията </w:t>
      </w:r>
      <w:hyperlink r:id="rId59" w:history="1">
        <w:r>
          <w:rPr>
            <w:rStyle w:val="Hyperlink"/>
            <w:lang w:val="ru-RU"/>
          </w:rPr>
          <w:t>2000/520/ЕО</w:t>
        </w:r>
      </w:hyperlink>
      <w:r>
        <w:rPr>
          <w:lang w:val="ru-RU"/>
        </w:rPr>
        <w:t>.</w:t>
      </w:r>
    </w:p>
  </w:footnote>
  <w:footnote w:id="60">
    <w:p w:rsidR="006F5B6C" w:rsidRDefault="00284F4D">
      <w:pPr>
        <w:pStyle w:val="FootnoteText"/>
        <w:rPr>
          <w:lang w:val="ru-RU"/>
        </w:rPr>
      </w:pPr>
      <w:r>
        <w:rPr>
          <w:rStyle w:val="FootnoteReference"/>
        </w:rPr>
        <w:footnoteRef/>
      </w:r>
      <w:r>
        <w:rPr>
          <w:lang w:val="ru-RU"/>
        </w:rPr>
        <w:tab/>
      </w:r>
      <w:r>
        <w:rPr>
          <w:lang w:val="bg-BG"/>
        </w:rPr>
        <w:t xml:space="preserve">Директива </w:t>
      </w:r>
      <w:hyperlink r:id="rId60" w:history="1">
        <w:r>
          <w:rPr>
            <w:rStyle w:val="Hyperlink"/>
            <w:lang w:val="ru-RU"/>
          </w:rPr>
          <w:t>95/46/ЕО</w:t>
        </w:r>
      </w:hyperlink>
      <w:r>
        <w:rPr>
          <w:lang w:val="ru-RU"/>
        </w:rPr>
        <w:t>.</w:t>
      </w:r>
    </w:p>
  </w:footnote>
  <w:footnote w:id="61">
    <w:p w:rsidR="006F5B6C" w:rsidRDefault="00284F4D">
      <w:pPr>
        <w:pStyle w:val="FootnoteText"/>
        <w:rPr>
          <w:lang w:val="bg-BG"/>
        </w:rPr>
      </w:pPr>
      <w:r>
        <w:rPr>
          <w:rStyle w:val="FootnoteReference"/>
        </w:rPr>
        <w:footnoteRef/>
      </w:r>
      <w:r>
        <w:rPr>
          <w:lang w:val="ru-RU"/>
        </w:rPr>
        <w:t xml:space="preserve"> </w:t>
      </w:r>
      <w:r>
        <w:rPr>
          <w:lang w:val="bg-BG"/>
        </w:rPr>
        <w:tab/>
      </w:r>
      <w:hyperlink r:id="rId61" w:history="1">
        <w:r>
          <w:rPr>
            <w:rStyle w:val="Hyperlink"/>
            <w:lang w:val="ru-RU"/>
          </w:rPr>
          <w:t>Директива 2000/43/</w:t>
        </w:r>
        <w:r>
          <w:rPr>
            <w:rStyle w:val="Hyperlink"/>
            <w:lang w:val="pt-PT"/>
          </w:rPr>
          <w:t>E</w:t>
        </w:r>
        <w:r>
          <w:rPr>
            <w:rStyle w:val="Hyperlink"/>
            <w:lang w:val="ru-RU"/>
          </w:rPr>
          <w:t>О</w:t>
        </w:r>
      </w:hyperlink>
    </w:p>
  </w:footnote>
  <w:footnote w:id="62">
    <w:p w:rsidR="006F5B6C" w:rsidRDefault="00284F4D">
      <w:pPr>
        <w:pStyle w:val="FootnoteText"/>
        <w:rPr>
          <w:lang w:val="ru-RU"/>
        </w:rPr>
      </w:pPr>
      <w:r>
        <w:rPr>
          <w:rStyle w:val="FootnoteReference"/>
        </w:rPr>
        <w:footnoteRef/>
      </w:r>
      <w:r>
        <w:rPr>
          <w:lang w:val="ru-RU"/>
        </w:rPr>
        <w:tab/>
      </w:r>
      <w:hyperlink r:id="rId62" w:history="1">
        <w:r>
          <w:rPr>
            <w:rStyle w:val="Hyperlink"/>
            <w:lang w:val="pt-PT"/>
          </w:rPr>
          <w:t>COM</w:t>
        </w:r>
        <w:r>
          <w:rPr>
            <w:rStyle w:val="Hyperlink"/>
            <w:lang w:val="ru-RU"/>
          </w:rPr>
          <w:t xml:space="preserve">(2015)185 </w:t>
        </w:r>
        <w:r>
          <w:rPr>
            <w:rStyle w:val="Hyperlink"/>
            <w:lang w:val="pt-PT"/>
          </w:rPr>
          <w:t>final</w:t>
        </w:r>
      </w:hyperlink>
      <w:r>
        <w:rPr>
          <w:lang w:val="ru-RU"/>
        </w:rPr>
        <w:t>.</w:t>
      </w:r>
    </w:p>
  </w:footnote>
  <w:footnote w:id="63">
    <w:p w:rsidR="006F5B6C" w:rsidRDefault="00284F4D">
      <w:pPr>
        <w:pStyle w:val="FootnoteText"/>
        <w:rPr>
          <w:lang w:val="ru-RU"/>
        </w:rPr>
      </w:pPr>
      <w:r>
        <w:rPr>
          <w:rStyle w:val="FootnoteReference"/>
        </w:rPr>
        <w:footnoteRef/>
      </w:r>
      <w:r>
        <w:rPr>
          <w:lang w:val="ru-RU"/>
        </w:rPr>
        <w:tab/>
      </w:r>
      <w:r>
        <w:rPr>
          <w:lang w:val="bg-BG"/>
        </w:rPr>
        <w:t>Регламент </w:t>
      </w:r>
      <w:r>
        <w:rPr>
          <w:lang w:val="ru-RU"/>
        </w:rPr>
        <w:t>(</w:t>
      </w:r>
      <w:r>
        <w:rPr>
          <w:lang w:val="bg-BG"/>
        </w:rPr>
        <w:t>ЕС</w:t>
      </w:r>
      <w:r>
        <w:rPr>
          <w:lang w:val="ru-RU"/>
        </w:rPr>
        <w:t>)</w:t>
      </w:r>
      <w:r>
        <w:rPr>
          <w:lang w:val="bg-BG"/>
        </w:rPr>
        <w:t> </w:t>
      </w:r>
      <w:r>
        <w:rPr>
          <w:lang w:val="ru-RU"/>
        </w:rPr>
        <w:t>№</w:t>
      </w:r>
      <w:r>
        <w:rPr>
          <w:lang w:val="bg-BG"/>
        </w:rPr>
        <w:t> </w:t>
      </w:r>
      <w:hyperlink r:id="rId63" w:history="1">
        <w:r>
          <w:rPr>
            <w:rStyle w:val="Hyperlink"/>
            <w:lang w:val="ru-RU"/>
          </w:rPr>
          <w:t>98/2013</w:t>
        </w:r>
      </w:hyperlink>
      <w:r>
        <w:rPr>
          <w:rStyle w:val="Hyperlink"/>
          <w:lang w:val="ru-RU"/>
        </w:rPr>
        <w:t>.</w:t>
      </w:r>
    </w:p>
  </w:footnote>
  <w:footnote w:id="64">
    <w:p w:rsidR="006F5B6C" w:rsidRDefault="00284F4D">
      <w:pPr>
        <w:pStyle w:val="FootnoteText"/>
        <w:rPr>
          <w:lang w:val="ru-RU"/>
        </w:rPr>
      </w:pPr>
      <w:r>
        <w:rPr>
          <w:rStyle w:val="FootnoteReference"/>
        </w:rPr>
        <w:footnoteRef/>
      </w:r>
      <w:r>
        <w:rPr>
          <w:lang w:val="ru-RU"/>
        </w:rPr>
        <w:tab/>
      </w:r>
      <w:r>
        <w:rPr>
          <w:lang w:val="bg-BG"/>
        </w:rPr>
        <w:t xml:space="preserve">Директива </w:t>
      </w:r>
      <w:hyperlink r:id="rId64" w:history="1">
        <w:r>
          <w:rPr>
            <w:rStyle w:val="Hyperlink"/>
            <w:lang w:val="ru-RU"/>
          </w:rPr>
          <w:t>2011/36/ЕС</w:t>
        </w:r>
      </w:hyperlink>
      <w:r>
        <w:rPr>
          <w:lang w:val="ru-RU"/>
        </w:rPr>
        <w:t>.</w:t>
      </w:r>
    </w:p>
  </w:footnote>
  <w:footnote w:id="65">
    <w:p w:rsidR="006F5B6C" w:rsidRDefault="00284F4D">
      <w:pPr>
        <w:pStyle w:val="FootnoteText"/>
        <w:rPr>
          <w:lang w:val="ru-RU"/>
        </w:rPr>
      </w:pPr>
      <w:r>
        <w:rPr>
          <w:rStyle w:val="FootnoteReference"/>
        </w:rPr>
        <w:footnoteRef/>
      </w:r>
      <w:r>
        <w:rPr>
          <w:lang w:val="ru-RU"/>
        </w:rPr>
        <w:tab/>
      </w:r>
      <w:r>
        <w:rPr>
          <w:lang w:val="bg-BG"/>
        </w:rPr>
        <w:t xml:space="preserve">Директива </w:t>
      </w:r>
      <w:hyperlink r:id="rId65" w:history="1">
        <w:r>
          <w:rPr>
            <w:rStyle w:val="Hyperlink"/>
            <w:lang w:val="ru-RU"/>
          </w:rPr>
          <w:t>2011/93/ЕС</w:t>
        </w:r>
      </w:hyperlink>
      <w:r>
        <w:rPr>
          <w:lang w:val="ru-RU"/>
        </w:rPr>
        <w:t>.</w:t>
      </w:r>
    </w:p>
  </w:footnote>
  <w:footnote w:id="66">
    <w:p w:rsidR="006F5B6C" w:rsidRDefault="00284F4D">
      <w:pPr>
        <w:pStyle w:val="FootnoteText"/>
        <w:rPr>
          <w:lang w:val="ru-RU"/>
        </w:rPr>
      </w:pPr>
      <w:r>
        <w:rPr>
          <w:rStyle w:val="FootnoteReference"/>
        </w:rPr>
        <w:footnoteRef/>
      </w:r>
      <w:r>
        <w:rPr>
          <w:lang w:val="ru-RU"/>
        </w:rPr>
        <w:tab/>
      </w:r>
      <w:r>
        <w:rPr>
          <w:lang w:val="bg-BG"/>
        </w:rPr>
        <w:t xml:space="preserve">Директива </w:t>
      </w:r>
      <w:hyperlink r:id="rId66" w:history="1">
        <w:r>
          <w:rPr>
            <w:rStyle w:val="Hyperlink"/>
            <w:lang w:val="ru-RU"/>
          </w:rPr>
          <w:t>2013/40/ЕС</w:t>
        </w:r>
      </w:hyperlink>
      <w:r>
        <w:rPr>
          <w:lang w:val="ru-RU"/>
        </w:rPr>
        <w:t>.</w:t>
      </w:r>
    </w:p>
  </w:footnote>
  <w:footnote w:id="67">
    <w:p w:rsidR="006F5B6C" w:rsidRDefault="00284F4D">
      <w:pPr>
        <w:pStyle w:val="FootnoteText"/>
        <w:rPr>
          <w:rStyle w:val="FootnoteReference"/>
          <w:lang w:val="ru-RU"/>
        </w:rPr>
      </w:pPr>
      <w:r>
        <w:rPr>
          <w:rStyle w:val="FootnoteReference"/>
        </w:rPr>
        <w:footnoteRef/>
      </w:r>
      <w:r>
        <w:rPr>
          <w:lang w:val="ru-RU"/>
        </w:rPr>
        <w:tab/>
      </w:r>
      <w:hyperlink r:id="rId67" w:history="1">
        <w:r>
          <w:rPr>
            <w:rStyle w:val="Hyperlink"/>
            <w:lang w:val="pt-PT"/>
          </w:rPr>
          <w:t>COM</w:t>
        </w:r>
        <w:r>
          <w:rPr>
            <w:rStyle w:val="Hyperlink"/>
            <w:lang w:val="ru-RU"/>
          </w:rPr>
          <w:t>(2015)</w:t>
        </w:r>
        <w:r>
          <w:rPr>
            <w:rStyle w:val="Hyperlink"/>
            <w:lang w:val="bg-BG"/>
          </w:rPr>
          <w:t xml:space="preserve"> </w:t>
        </w:r>
        <w:r>
          <w:rPr>
            <w:rStyle w:val="Hyperlink"/>
            <w:lang w:val="ru-RU"/>
          </w:rPr>
          <w:t xml:space="preserve">240 </w:t>
        </w:r>
        <w:r>
          <w:rPr>
            <w:rStyle w:val="Hyperlink"/>
            <w:lang w:val="pt-PT"/>
          </w:rPr>
          <w:t>final</w:t>
        </w:r>
      </w:hyperlink>
      <w:r>
        <w:rPr>
          <w:lang w:val="ru-RU"/>
        </w:rPr>
        <w:t>.</w:t>
      </w:r>
    </w:p>
  </w:footnote>
  <w:footnote w:id="68">
    <w:p w:rsidR="006F5B6C" w:rsidRDefault="00284F4D">
      <w:pPr>
        <w:pStyle w:val="FootnoteText"/>
        <w:rPr>
          <w:lang w:val="ru-RU"/>
        </w:rPr>
      </w:pPr>
      <w:r>
        <w:rPr>
          <w:rStyle w:val="FootnoteReference"/>
        </w:rPr>
        <w:footnoteRef/>
      </w:r>
      <w:r>
        <w:rPr>
          <w:lang w:val="ru-RU"/>
        </w:rPr>
        <w:tab/>
      </w:r>
      <w:r>
        <w:rPr>
          <w:lang w:val="bg-BG"/>
        </w:rPr>
        <w:t xml:space="preserve">Директива </w:t>
      </w:r>
      <w:hyperlink r:id="rId68" w:history="1">
        <w:r>
          <w:rPr>
            <w:rStyle w:val="Hyperlink"/>
            <w:lang w:val="ru-RU"/>
          </w:rPr>
          <w:t>2013/32/ЕС</w:t>
        </w:r>
      </w:hyperlink>
      <w:r>
        <w:rPr>
          <w:lang w:val="ru-RU"/>
        </w:rPr>
        <w:t>.</w:t>
      </w:r>
    </w:p>
  </w:footnote>
  <w:footnote w:id="69">
    <w:p w:rsidR="006F5B6C" w:rsidRDefault="00284F4D">
      <w:pPr>
        <w:pStyle w:val="FootnoteText"/>
        <w:rPr>
          <w:lang w:val="ru-RU"/>
        </w:rPr>
      </w:pPr>
      <w:r>
        <w:rPr>
          <w:rStyle w:val="FootnoteReference"/>
        </w:rPr>
        <w:footnoteRef/>
      </w:r>
      <w:r>
        <w:rPr>
          <w:lang w:val="ru-RU"/>
        </w:rPr>
        <w:tab/>
      </w:r>
      <w:r>
        <w:rPr>
          <w:lang w:val="bg-BG"/>
        </w:rPr>
        <w:t xml:space="preserve">Директива </w:t>
      </w:r>
      <w:hyperlink r:id="rId69" w:history="1">
        <w:r>
          <w:rPr>
            <w:rStyle w:val="Hyperlink"/>
            <w:lang w:val="ru-RU"/>
          </w:rPr>
          <w:t>2013/33/ЕС</w:t>
        </w:r>
      </w:hyperlink>
      <w:r>
        <w:rPr>
          <w:lang w:val="ru-RU"/>
        </w:rPr>
        <w:t>.</w:t>
      </w:r>
    </w:p>
  </w:footnote>
  <w:footnote w:id="70">
    <w:p w:rsidR="006F5B6C" w:rsidRDefault="00284F4D">
      <w:pPr>
        <w:pStyle w:val="FootnoteText"/>
        <w:rPr>
          <w:lang w:val="ru-RU"/>
        </w:rPr>
      </w:pPr>
      <w:r>
        <w:rPr>
          <w:rStyle w:val="FootnoteReference"/>
        </w:rPr>
        <w:footnoteRef/>
      </w:r>
      <w:r>
        <w:rPr>
          <w:lang w:val="ru-RU"/>
        </w:rPr>
        <w:tab/>
      </w:r>
      <w:r>
        <w:rPr>
          <w:lang w:val="bg-BG"/>
        </w:rPr>
        <w:t xml:space="preserve">Директива </w:t>
      </w:r>
      <w:hyperlink r:id="rId70" w:history="1">
        <w:r>
          <w:rPr>
            <w:rStyle w:val="Hyperlink"/>
            <w:lang w:val="ru-RU"/>
          </w:rPr>
          <w:t>2011/95/ЕС</w:t>
        </w:r>
      </w:hyperlink>
      <w:r>
        <w:rPr>
          <w:lang w:val="ru-RU"/>
        </w:rPr>
        <w:t>.</w:t>
      </w:r>
    </w:p>
  </w:footnote>
  <w:footnote w:id="71">
    <w:p w:rsidR="006F5B6C" w:rsidRDefault="00284F4D">
      <w:pPr>
        <w:pStyle w:val="FootnoteText"/>
        <w:rPr>
          <w:lang w:val="ru-RU"/>
        </w:rPr>
      </w:pPr>
      <w:r>
        <w:rPr>
          <w:rStyle w:val="FootnoteReference"/>
        </w:rPr>
        <w:footnoteRef/>
      </w:r>
      <w:r>
        <w:rPr>
          <w:lang w:val="ru-RU"/>
        </w:rPr>
        <w:tab/>
      </w:r>
      <w:r>
        <w:rPr>
          <w:lang w:val="bg-BG"/>
        </w:rPr>
        <w:t>Регламент </w:t>
      </w:r>
      <w:r>
        <w:rPr>
          <w:lang w:val="ru-RU"/>
        </w:rPr>
        <w:t>(</w:t>
      </w:r>
      <w:r>
        <w:rPr>
          <w:lang w:val="bg-BG"/>
        </w:rPr>
        <w:t>ЕС</w:t>
      </w:r>
      <w:r>
        <w:rPr>
          <w:lang w:val="ru-RU"/>
        </w:rPr>
        <w:t>)</w:t>
      </w:r>
      <w:r>
        <w:rPr>
          <w:lang w:val="bg-BG"/>
        </w:rPr>
        <w:t> </w:t>
      </w:r>
      <w:r>
        <w:rPr>
          <w:lang w:val="ru-RU"/>
        </w:rPr>
        <w:t>№</w:t>
      </w:r>
      <w:r>
        <w:rPr>
          <w:lang w:val="bg-BG"/>
        </w:rPr>
        <w:t> </w:t>
      </w:r>
      <w:hyperlink r:id="rId71" w:history="1">
        <w:r>
          <w:rPr>
            <w:rStyle w:val="Hyperlink"/>
            <w:lang w:val="ru-RU"/>
          </w:rPr>
          <w:t>603/2013</w:t>
        </w:r>
      </w:hyperlink>
      <w:r>
        <w:rPr>
          <w:lang w:val="ru-RU"/>
        </w:rPr>
        <w:t>.</w:t>
      </w:r>
    </w:p>
  </w:footnote>
  <w:footnote w:id="72">
    <w:p w:rsidR="006F5B6C" w:rsidRDefault="00284F4D">
      <w:pPr>
        <w:pStyle w:val="FootnoteText"/>
        <w:rPr>
          <w:lang w:val="ru-RU"/>
        </w:rPr>
      </w:pPr>
      <w:r>
        <w:rPr>
          <w:rStyle w:val="FootnoteReference"/>
        </w:rPr>
        <w:footnoteRef/>
      </w:r>
      <w:r>
        <w:rPr>
          <w:lang w:val="ru-RU"/>
        </w:rPr>
        <w:tab/>
      </w:r>
      <w:r>
        <w:rPr>
          <w:lang w:val="bg-BG"/>
        </w:rPr>
        <w:t xml:space="preserve">Директива </w:t>
      </w:r>
      <w:hyperlink r:id="rId72" w:history="1">
        <w:r>
          <w:rPr>
            <w:rStyle w:val="Hyperlink"/>
            <w:lang w:val="ru-RU"/>
          </w:rPr>
          <w:t>2008/115/ЕО</w:t>
        </w:r>
      </w:hyperlink>
      <w:r>
        <w:rPr>
          <w:lang w:val="ru-RU"/>
        </w:rPr>
        <w:t>.</w:t>
      </w:r>
    </w:p>
  </w:footnote>
  <w:footnote w:id="73">
    <w:p w:rsidR="006F5B6C" w:rsidRDefault="00284F4D">
      <w:pPr>
        <w:pStyle w:val="FootnoteText"/>
        <w:rPr>
          <w:lang w:val="pt-PT"/>
        </w:rPr>
      </w:pPr>
      <w:r>
        <w:rPr>
          <w:rStyle w:val="FootnoteReference"/>
        </w:rPr>
        <w:footnoteRef/>
      </w:r>
      <w:r>
        <w:rPr>
          <w:lang w:val="pt-PT"/>
        </w:rPr>
        <w:tab/>
      </w:r>
      <w:hyperlink r:id="rId73" w:history="1">
        <w:r>
          <w:rPr>
            <w:rStyle w:val="Hyperlink"/>
            <w:lang w:val="pt-PT"/>
          </w:rPr>
          <w:t>COM(2015)</w:t>
        </w:r>
        <w:r>
          <w:rPr>
            <w:rStyle w:val="Hyperlink"/>
            <w:lang w:val="bg-BG"/>
          </w:rPr>
          <w:t xml:space="preserve"> </w:t>
        </w:r>
        <w:r>
          <w:rPr>
            <w:rStyle w:val="Hyperlink"/>
            <w:lang w:val="pt-PT"/>
          </w:rPr>
          <w:t>490 final</w:t>
        </w:r>
      </w:hyperlink>
      <w:r>
        <w:rPr>
          <w:lang w:val="bg-BG"/>
        </w:rPr>
        <w:t xml:space="preserve"> и </w:t>
      </w:r>
      <w:hyperlink r:id="rId74" w:history="1">
        <w:r>
          <w:rPr>
            <w:rStyle w:val="Hyperlink"/>
            <w:lang w:val="pt-PT"/>
          </w:rPr>
          <w:t>COM(2015)</w:t>
        </w:r>
        <w:r>
          <w:rPr>
            <w:rStyle w:val="Hyperlink"/>
            <w:lang w:val="bg-BG"/>
          </w:rPr>
          <w:t xml:space="preserve"> </w:t>
        </w:r>
        <w:r>
          <w:rPr>
            <w:rStyle w:val="Hyperlink"/>
            <w:lang w:val="pt-PT"/>
          </w:rPr>
          <w:t>510 final</w:t>
        </w:r>
      </w:hyperlink>
      <w:r>
        <w:rPr>
          <w:lang w:val="pt-PT"/>
        </w:rPr>
        <w:t>.</w:t>
      </w:r>
    </w:p>
  </w:footnote>
  <w:footnote w:id="74">
    <w:p w:rsidR="006F5B6C" w:rsidRDefault="00284F4D">
      <w:pPr>
        <w:pStyle w:val="FootnoteText"/>
        <w:rPr>
          <w:lang w:val="bg-BG"/>
        </w:rPr>
      </w:pPr>
      <w:r>
        <w:rPr>
          <w:rStyle w:val="FootnoteReference"/>
        </w:rPr>
        <w:footnoteRef/>
      </w:r>
      <w:r>
        <w:rPr>
          <w:lang w:val="ru-RU"/>
        </w:rPr>
        <w:t xml:space="preserve"> </w:t>
      </w:r>
      <w:r>
        <w:rPr>
          <w:lang w:val="bg-BG"/>
        </w:rPr>
        <w:tab/>
        <w:t>Дело № C-427/07, Комисия/Ирландия, точка 107</w:t>
      </w:r>
    </w:p>
  </w:footnote>
  <w:footnote w:id="75">
    <w:p w:rsidR="006F5B6C" w:rsidRDefault="00284F4D">
      <w:pPr>
        <w:pStyle w:val="FootnoteText"/>
        <w:rPr>
          <w:lang w:val="ru-RU"/>
        </w:rPr>
      </w:pPr>
      <w:r>
        <w:rPr>
          <w:rStyle w:val="FootnoteReference"/>
        </w:rPr>
        <w:footnoteRef/>
      </w:r>
      <w:r>
        <w:rPr>
          <w:lang w:val="ru-RU"/>
        </w:rPr>
        <w:tab/>
      </w:r>
      <w:r>
        <w:rPr>
          <w:lang w:val="bg-BG"/>
        </w:rPr>
        <w:t>Предложение за Директива на Европейския парламент и на Съвета за сближаване на законовите, подзаконовите и административните разпоредби на държавите членки по отношение на изискванията за достъпност за продукти и услуги</w:t>
      </w:r>
      <w:r>
        <w:rPr>
          <w:lang w:val="ru-RU"/>
        </w:rPr>
        <w:t xml:space="preserve">, </w:t>
      </w:r>
      <w:hyperlink r:id="rId75" w:history="1">
        <w:r>
          <w:rPr>
            <w:rStyle w:val="Hyperlink"/>
            <w:lang w:val="pt-PT"/>
          </w:rPr>
          <w:t>COM</w:t>
        </w:r>
        <w:r>
          <w:rPr>
            <w:rStyle w:val="Hyperlink"/>
            <w:lang w:val="ru-RU"/>
          </w:rPr>
          <w:t>(2015)</w:t>
        </w:r>
        <w:r>
          <w:rPr>
            <w:rStyle w:val="Hyperlink"/>
            <w:lang w:val="bg-BG"/>
          </w:rPr>
          <w:t xml:space="preserve"> </w:t>
        </w:r>
        <w:r>
          <w:rPr>
            <w:rStyle w:val="Hyperlink"/>
            <w:lang w:val="ru-RU"/>
          </w:rPr>
          <w:t>615</w:t>
        </w:r>
      </w:hyperlink>
      <w:r>
        <w:rPr>
          <w:iCs/>
          <w:lang w:val="ru-RU" w:eastAsia="nl-BE"/>
        </w:rPr>
        <w:t>.</w:t>
      </w:r>
    </w:p>
  </w:footnote>
  <w:footnote w:id="76">
    <w:p w:rsidR="006F5B6C" w:rsidRDefault="00284F4D">
      <w:pPr>
        <w:pStyle w:val="FootnoteText"/>
        <w:rPr>
          <w:lang w:val="ru-RU"/>
        </w:rPr>
      </w:pPr>
      <w:r>
        <w:rPr>
          <w:rStyle w:val="FootnoteReference"/>
        </w:rPr>
        <w:footnoteRef/>
      </w:r>
      <w:r>
        <w:rPr>
          <w:lang w:val="ru-RU"/>
        </w:rPr>
        <w:tab/>
      </w:r>
      <w:hyperlink r:id="rId76" w:history="1">
        <w:r>
          <w:rPr>
            <w:rStyle w:val="Hyperlink"/>
            <w:lang w:val="pt-PT"/>
          </w:rPr>
          <w:t>IP</w:t>
        </w:r>
        <w:r>
          <w:rPr>
            <w:rStyle w:val="Hyperlink"/>
            <w:lang w:val="ru-RU"/>
          </w:rPr>
          <w:t>/15/6203</w:t>
        </w:r>
      </w:hyperlink>
      <w:r>
        <w:rPr>
          <w:rStyle w:val="Hyperlink"/>
          <w:lang w:val="ru-RU"/>
        </w:rPr>
        <w:t>.</w:t>
      </w:r>
    </w:p>
  </w:footnote>
  <w:footnote w:id="77">
    <w:p w:rsidR="006F5B6C" w:rsidRDefault="00284F4D">
      <w:pPr>
        <w:pStyle w:val="FootnoteText"/>
        <w:rPr>
          <w:lang w:val="ru-RU"/>
        </w:rPr>
      </w:pPr>
      <w:r>
        <w:rPr>
          <w:rStyle w:val="FootnoteReference"/>
        </w:rPr>
        <w:footnoteRef/>
      </w:r>
      <w:r>
        <w:rPr>
          <w:lang w:val="ru-RU"/>
        </w:rPr>
        <w:tab/>
      </w:r>
      <w:r>
        <w:rPr>
          <w:lang w:val="bg-BG"/>
        </w:rPr>
        <w:t xml:space="preserve">Директива </w:t>
      </w:r>
      <w:hyperlink r:id="rId77" w:history="1">
        <w:r>
          <w:rPr>
            <w:rStyle w:val="Hyperlink"/>
            <w:lang w:val="ru-RU"/>
          </w:rPr>
          <w:t>2008/98/ЕО</w:t>
        </w:r>
      </w:hyperlink>
    </w:p>
  </w:footnote>
  <w:footnote w:id="78">
    <w:p w:rsidR="006F5B6C" w:rsidRDefault="00284F4D">
      <w:pPr>
        <w:pStyle w:val="FootnoteText"/>
        <w:rPr>
          <w:lang w:val="ru-RU"/>
        </w:rPr>
      </w:pPr>
      <w:r>
        <w:rPr>
          <w:rStyle w:val="FootnoteReference"/>
        </w:rPr>
        <w:footnoteRef/>
      </w:r>
      <w:r>
        <w:rPr>
          <w:lang w:val="ru-RU"/>
        </w:rPr>
        <w:tab/>
      </w:r>
      <w:r>
        <w:rPr>
          <w:lang w:val="bg-BG"/>
        </w:rPr>
        <w:t xml:space="preserve">Директива </w:t>
      </w:r>
      <w:hyperlink r:id="rId78" w:history="1">
        <w:r>
          <w:rPr>
            <w:rStyle w:val="Hyperlink"/>
            <w:lang w:val="ru-RU"/>
          </w:rPr>
          <w:t>94/62/ЕО</w:t>
        </w:r>
      </w:hyperlink>
      <w:r>
        <w:rPr>
          <w:lang w:val="ru-RU"/>
        </w:rPr>
        <w:t>.</w:t>
      </w:r>
    </w:p>
  </w:footnote>
  <w:footnote w:id="79">
    <w:p w:rsidR="006F5B6C" w:rsidRDefault="00284F4D">
      <w:pPr>
        <w:pStyle w:val="FootnoteText"/>
        <w:rPr>
          <w:lang w:val="ru-RU"/>
        </w:rPr>
      </w:pPr>
      <w:r>
        <w:rPr>
          <w:rStyle w:val="FootnoteReference"/>
        </w:rPr>
        <w:footnoteRef/>
      </w:r>
      <w:r>
        <w:rPr>
          <w:lang w:val="ru-RU"/>
        </w:rPr>
        <w:tab/>
      </w:r>
      <w:r>
        <w:rPr>
          <w:lang w:val="bg-BG"/>
        </w:rPr>
        <w:t xml:space="preserve">Директива </w:t>
      </w:r>
      <w:hyperlink r:id="rId79" w:history="1">
        <w:r>
          <w:rPr>
            <w:rStyle w:val="Hyperlink"/>
            <w:lang w:val="ru-RU"/>
          </w:rPr>
          <w:t>1999/31/ЕО</w:t>
        </w:r>
      </w:hyperlink>
      <w:r>
        <w:rPr>
          <w:lang w:val="ru-RU"/>
        </w:rPr>
        <w:t>.</w:t>
      </w:r>
    </w:p>
  </w:footnote>
  <w:footnote w:id="80">
    <w:p w:rsidR="006F5B6C" w:rsidRDefault="00284F4D">
      <w:pPr>
        <w:pStyle w:val="FootnoteText"/>
        <w:rPr>
          <w:lang w:val="ru-RU"/>
        </w:rPr>
      </w:pPr>
      <w:r>
        <w:rPr>
          <w:rStyle w:val="FootnoteReference"/>
        </w:rPr>
        <w:footnoteRef/>
      </w:r>
      <w:r>
        <w:rPr>
          <w:lang w:val="ru-RU"/>
        </w:rPr>
        <w:tab/>
      </w:r>
      <w:r>
        <w:rPr>
          <w:lang w:val="bg-BG"/>
        </w:rPr>
        <w:t xml:space="preserve">Директива </w:t>
      </w:r>
      <w:hyperlink r:id="rId80" w:history="1">
        <w:r>
          <w:rPr>
            <w:rStyle w:val="Hyperlink"/>
            <w:lang w:val="ru-RU"/>
          </w:rPr>
          <w:t>2000/53/ЕО</w:t>
        </w:r>
      </w:hyperlink>
      <w:r>
        <w:rPr>
          <w:lang w:val="ru-RU"/>
        </w:rPr>
        <w:t>.</w:t>
      </w:r>
    </w:p>
  </w:footnote>
  <w:footnote w:id="81">
    <w:p w:rsidR="006F5B6C" w:rsidRDefault="00284F4D">
      <w:pPr>
        <w:pStyle w:val="FootnoteText"/>
        <w:rPr>
          <w:lang w:val="ru-RU"/>
        </w:rPr>
      </w:pPr>
      <w:r>
        <w:rPr>
          <w:rStyle w:val="FootnoteReference"/>
        </w:rPr>
        <w:footnoteRef/>
      </w:r>
      <w:r>
        <w:rPr>
          <w:lang w:val="ru-RU"/>
        </w:rPr>
        <w:tab/>
      </w:r>
      <w:r>
        <w:rPr>
          <w:lang w:val="bg-BG"/>
        </w:rPr>
        <w:t xml:space="preserve">Директива </w:t>
      </w:r>
      <w:hyperlink r:id="rId81" w:history="1">
        <w:r>
          <w:rPr>
            <w:rStyle w:val="Hyperlink"/>
            <w:lang w:val="ru-RU"/>
          </w:rPr>
          <w:t>2006/66/ЕО</w:t>
        </w:r>
      </w:hyperlink>
      <w:r>
        <w:rPr>
          <w:lang w:val="ru-RU"/>
        </w:rPr>
        <w:t>.</w:t>
      </w:r>
    </w:p>
  </w:footnote>
  <w:footnote w:id="82">
    <w:p w:rsidR="006F5B6C" w:rsidRDefault="00284F4D">
      <w:pPr>
        <w:pStyle w:val="FootnoteText"/>
        <w:rPr>
          <w:lang w:val="ru-RU"/>
        </w:rPr>
      </w:pPr>
      <w:r>
        <w:rPr>
          <w:rStyle w:val="FootnoteReference"/>
        </w:rPr>
        <w:footnoteRef/>
      </w:r>
      <w:r>
        <w:rPr>
          <w:lang w:val="ru-RU"/>
        </w:rPr>
        <w:tab/>
      </w:r>
      <w:r>
        <w:rPr>
          <w:lang w:val="bg-BG"/>
        </w:rPr>
        <w:t xml:space="preserve">Директива </w:t>
      </w:r>
      <w:hyperlink r:id="rId82" w:history="1">
        <w:r>
          <w:rPr>
            <w:rStyle w:val="Hyperlink"/>
            <w:lang w:val="ru-RU"/>
          </w:rPr>
          <w:t>2012/19/ЕО</w:t>
        </w:r>
      </w:hyperlink>
      <w:r>
        <w:rPr>
          <w:lang w:val="ru-RU"/>
        </w:rPr>
        <w:t>.</w:t>
      </w:r>
    </w:p>
  </w:footnote>
  <w:footnote w:id="83">
    <w:p w:rsidR="006F5B6C" w:rsidRDefault="00284F4D">
      <w:pPr>
        <w:pStyle w:val="FootnoteText"/>
        <w:rPr>
          <w:lang w:val="ru-RU"/>
        </w:rPr>
      </w:pPr>
      <w:r>
        <w:rPr>
          <w:rStyle w:val="FootnoteReference"/>
        </w:rPr>
        <w:footnoteRef/>
      </w:r>
      <w:r>
        <w:rPr>
          <w:lang w:val="ru-RU"/>
        </w:rPr>
        <w:tab/>
      </w:r>
      <w:r>
        <w:rPr>
          <w:lang w:val="bg-BG"/>
        </w:rPr>
        <w:t>Политиката се съдържа в</w:t>
      </w:r>
      <w:r>
        <w:rPr>
          <w:lang w:val="ru-RU"/>
        </w:rPr>
        <w:t xml:space="preserve"> 1)</w:t>
      </w:r>
      <w:r>
        <w:rPr>
          <w:lang w:val="bg-BG"/>
        </w:rPr>
        <w:t xml:space="preserve"> Съвместна политическа декларация от </w:t>
      </w:r>
      <w:r>
        <w:rPr>
          <w:lang w:val="ru-RU"/>
        </w:rPr>
        <w:t>28</w:t>
      </w:r>
      <w:r>
        <w:rPr>
          <w:lang w:val="bg-BG"/>
        </w:rPr>
        <w:t> септември </w:t>
      </w:r>
      <w:r>
        <w:rPr>
          <w:lang w:val="ru-RU"/>
        </w:rPr>
        <w:t>2011</w:t>
      </w:r>
      <w:r>
        <w:rPr>
          <w:lang w:val="bg-BG"/>
        </w:rPr>
        <w:t xml:space="preserve"> г. на Комисията и на държавите членки относно обяснителните документи </w:t>
      </w:r>
      <w:r>
        <w:rPr>
          <w:lang w:val="ru-RU"/>
        </w:rPr>
        <w:t>(</w:t>
      </w:r>
      <w:hyperlink r:id="rId83" w:history="1">
        <w:r>
          <w:rPr>
            <w:rStyle w:val="Hyperlink"/>
            <w:lang w:val="ru-RU"/>
          </w:rPr>
          <w:t>ОВ 2011/</w:t>
        </w:r>
        <w:r>
          <w:rPr>
            <w:rStyle w:val="Hyperlink"/>
            <w:lang w:val="pt-PT"/>
          </w:rPr>
          <w:t>C</w:t>
        </w:r>
        <w:r>
          <w:rPr>
            <w:rStyle w:val="Hyperlink"/>
            <w:lang w:val="ru-RU"/>
          </w:rPr>
          <w:t xml:space="preserve"> 369/02</w:t>
        </w:r>
      </w:hyperlink>
      <w:r>
        <w:rPr>
          <w:lang w:val="ru-RU"/>
        </w:rPr>
        <w:t xml:space="preserve">) </w:t>
      </w:r>
      <w:r>
        <w:rPr>
          <w:lang w:val="bg-BG"/>
        </w:rPr>
        <w:t>и</w:t>
      </w:r>
      <w:r>
        <w:rPr>
          <w:lang w:val="ru-RU"/>
        </w:rPr>
        <w:t xml:space="preserve"> 2)</w:t>
      </w:r>
      <w:r>
        <w:rPr>
          <w:lang w:val="bg-BG"/>
        </w:rPr>
        <w:t xml:space="preserve"> Съвместна политическа декларация от 27 октомври 2011 г. на Европейския парламент, на Съвета и на Комисията относно обяснителните документи </w:t>
      </w:r>
      <w:r>
        <w:rPr>
          <w:lang w:val="ru-RU"/>
        </w:rPr>
        <w:t>(</w:t>
      </w:r>
      <w:hyperlink r:id="rId84" w:history="1">
        <w:r>
          <w:rPr>
            <w:rStyle w:val="Hyperlink"/>
            <w:lang w:val="ru-RU"/>
          </w:rPr>
          <w:t>ОВ 2011/</w:t>
        </w:r>
        <w:r>
          <w:rPr>
            <w:rStyle w:val="Hyperlink"/>
            <w:lang w:val="pt-PT"/>
          </w:rPr>
          <w:t>C</w:t>
        </w:r>
        <w:r>
          <w:rPr>
            <w:rStyle w:val="Hyperlink"/>
            <w:lang w:val="ru-RU"/>
          </w:rPr>
          <w:t xml:space="preserve"> 369/03</w:t>
        </w:r>
      </w:hyperlink>
      <w:r>
        <w:rPr>
          <w:lang w:val="ru-RU"/>
        </w:rPr>
        <w:t>).</w:t>
      </w:r>
    </w:p>
  </w:footnote>
  <w:footnote w:id="84">
    <w:p w:rsidR="006F5B6C" w:rsidRDefault="00284F4D">
      <w:pPr>
        <w:pStyle w:val="FootnoteText"/>
        <w:rPr>
          <w:lang w:val="bg-BG"/>
        </w:rPr>
      </w:pPr>
      <w:r>
        <w:rPr>
          <w:rStyle w:val="FootnoteReference"/>
        </w:rPr>
        <w:footnoteRef/>
      </w:r>
      <w:r>
        <w:rPr>
          <w:lang w:val="ru-RU"/>
        </w:rPr>
        <w:tab/>
      </w:r>
      <w:r>
        <w:rPr>
          <w:lang w:val="bg-BG"/>
        </w:rPr>
        <w:t>Стандартното съображение в такива директиви гласи, както следва</w:t>
      </w:r>
      <w:r>
        <w:rPr>
          <w:lang w:val="ru-RU"/>
        </w:rPr>
        <w:t xml:space="preserve">: </w:t>
      </w:r>
      <w:r>
        <w:rPr>
          <w:lang w:val="bg-BG"/>
        </w:rPr>
        <w:t>държавите членки „</w:t>
      </w:r>
      <w:r>
        <w:rPr>
          <w:lang w:val="ru-RU"/>
        </w:rPr>
        <w:t>се</w:t>
      </w:r>
      <w:r>
        <w:rPr>
          <w:lang w:val="bg-BG"/>
        </w:rPr>
        <w:t xml:space="preserve"> задължават да приложат към съобщението за мерките за транспониране един или повече обяснителни документи под формата на таблици за съответствие или други документи, изпълняващи същата функция“. Комисията трябва да „обосновава за всеки отделен случай, при представянето на съответните предложения, необходимостта и пропорционалността, свързани с предоставянето на тези документи“.</w:t>
      </w:r>
    </w:p>
  </w:footnote>
  <w:footnote w:id="85">
    <w:p w:rsidR="006F5B6C" w:rsidRDefault="00284F4D">
      <w:pPr>
        <w:pStyle w:val="FootnoteText"/>
        <w:rPr>
          <w:lang w:val="ru-RU"/>
        </w:rPr>
      </w:pPr>
      <w:r>
        <w:rPr>
          <w:rStyle w:val="FootnoteReference"/>
        </w:rPr>
        <w:footnoteRef/>
      </w:r>
      <w:r>
        <w:rPr>
          <w:lang w:val="ru-RU"/>
        </w:rPr>
        <w:tab/>
      </w:r>
      <w:r>
        <w:rPr>
          <w:lang w:val="bg-BG"/>
        </w:rPr>
        <w:t xml:space="preserve">По отношение на някои от тези </w:t>
      </w:r>
      <w:r>
        <w:rPr>
          <w:lang w:val="ru-RU"/>
        </w:rPr>
        <w:t>56</w:t>
      </w:r>
      <w:r>
        <w:rPr>
          <w:lang w:val="bg-BG"/>
        </w:rPr>
        <w:t> директиви някои държави членки разполагат с преходен период, а други държави не са засегнати от мярката</w:t>
      </w:r>
      <w:r>
        <w:rPr>
          <w:lang w:val="ru-RU"/>
        </w:rPr>
        <w:t>.</w:t>
      </w:r>
    </w:p>
  </w:footnote>
  <w:footnote w:id="86">
    <w:p w:rsidR="006F5B6C" w:rsidRDefault="00284F4D">
      <w:pPr>
        <w:pStyle w:val="FootnoteText"/>
        <w:rPr>
          <w:lang w:val="ru-RU"/>
        </w:rPr>
      </w:pPr>
      <w:r>
        <w:rPr>
          <w:rStyle w:val="FootnoteReference"/>
        </w:rPr>
        <w:footnoteRef/>
      </w:r>
      <w:r>
        <w:rPr>
          <w:lang w:val="ru-RU"/>
        </w:rPr>
        <w:tab/>
      </w:r>
      <w:r>
        <w:rPr>
          <w:lang w:val="bg-BG"/>
        </w:rPr>
        <w:t xml:space="preserve">Директиви </w:t>
      </w:r>
      <w:hyperlink r:id="rId85" w:history="1">
        <w:r>
          <w:rPr>
            <w:rStyle w:val="Hyperlink"/>
            <w:lang w:val="ru-RU"/>
          </w:rPr>
          <w:t>2012/18/ЕС</w:t>
        </w:r>
      </w:hyperlink>
      <w:r>
        <w:rPr>
          <w:lang w:val="ru-RU"/>
        </w:rPr>
        <w:t xml:space="preserve"> (</w:t>
      </w:r>
      <w:r>
        <w:rPr>
          <w:lang w:val="bg-BG"/>
        </w:rPr>
        <w:t>околна среда</w:t>
      </w:r>
      <w:r>
        <w:rPr>
          <w:lang w:val="ru-RU"/>
        </w:rPr>
        <w:t xml:space="preserve">), </w:t>
      </w:r>
      <w:hyperlink r:id="rId86" w:history="1">
        <w:r>
          <w:rPr>
            <w:rStyle w:val="Hyperlink"/>
            <w:lang w:val="ru-RU"/>
          </w:rPr>
          <w:t>2013/39/ЕС</w:t>
        </w:r>
      </w:hyperlink>
      <w:r>
        <w:rPr>
          <w:lang w:val="ru-RU"/>
        </w:rPr>
        <w:t xml:space="preserve"> (</w:t>
      </w:r>
      <w:r>
        <w:rPr>
          <w:lang w:val="bg-BG"/>
        </w:rPr>
        <w:t>околна среда</w:t>
      </w:r>
      <w:r>
        <w:rPr>
          <w:lang w:val="ru-RU"/>
        </w:rPr>
        <w:t xml:space="preserve">), </w:t>
      </w:r>
      <w:hyperlink r:id="rId87" w:history="1">
        <w:r>
          <w:rPr>
            <w:rStyle w:val="Hyperlink"/>
            <w:lang w:val="ru-RU"/>
          </w:rPr>
          <w:t>2013/34/ЕС</w:t>
        </w:r>
      </w:hyperlink>
      <w:r>
        <w:rPr>
          <w:lang w:val="ru-RU"/>
        </w:rPr>
        <w:t xml:space="preserve"> (</w:t>
      </w:r>
      <w:r>
        <w:rPr>
          <w:lang w:val="bg-BG"/>
        </w:rPr>
        <w:t>финансови пазари</w:t>
      </w:r>
      <w:r>
        <w:rPr>
          <w:lang w:val="ru-RU"/>
        </w:rPr>
        <w:t xml:space="preserve">), </w:t>
      </w:r>
      <w:hyperlink r:id="rId88" w:history="1">
        <w:r>
          <w:rPr>
            <w:rStyle w:val="Hyperlink"/>
            <w:lang w:val="ru-RU"/>
          </w:rPr>
          <w:t>2013/50/ЕС</w:t>
        </w:r>
      </w:hyperlink>
      <w:r>
        <w:rPr>
          <w:lang w:val="ru-RU"/>
        </w:rPr>
        <w:t xml:space="preserve"> (</w:t>
      </w:r>
      <w:r>
        <w:rPr>
          <w:lang w:val="bg-BG"/>
        </w:rPr>
        <w:t>финансови пазари</w:t>
      </w:r>
      <w:r>
        <w:rPr>
          <w:lang w:val="ru-RU"/>
        </w:rPr>
        <w:t xml:space="preserve">), </w:t>
      </w:r>
      <w:hyperlink r:id="rId89" w:history="1">
        <w:r>
          <w:rPr>
            <w:rStyle w:val="Hyperlink"/>
            <w:lang w:val="ru-RU"/>
          </w:rPr>
          <w:t>2014/49/ЕС</w:t>
        </w:r>
      </w:hyperlink>
      <w:r>
        <w:rPr>
          <w:lang w:val="ru-RU"/>
        </w:rPr>
        <w:t xml:space="preserve"> (</w:t>
      </w:r>
      <w:r>
        <w:rPr>
          <w:lang w:val="bg-BG"/>
        </w:rPr>
        <w:t>финансови пазари</w:t>
      </w:r>
      <w:r>
        <w:rPr>
          <w:lang w:val="ru-RU"/>
        </w:rPr>
        <w:t xml:space="preserve">), </w:t>
      </w:r>
      <w:hyperlink r:id="rId90" w:history="1">
        <w:r>
          <w:rPr>
            <w:rStyle w:val="Hyperlink"/>
            <w:lang w:val="ru-RU"/>
          </w:rPr>
          <w:t>2014/51/ЕС</w:t>
        </w:r>
      </w:hyperlink>
      <w:r>
        <w:rPr>
          <w:lang w:val="ru-RU"/>
        </w:rPr>
        <w:t xml:space="preserve"> (</w:t>
      </w:r>
      <w:r>
        <w:rPr>
          <w:lang w:val="bg-BG"/>
        </w:rPr>
        <w:t>финансови пазари</w:t>
      </w:r>
      <w:r>
        <w:rPr>
          <w:lang w:val="ru-RU"/>
        </w:rPr>
        <w:t xml:space="preserve">), </w:t>
      </w:r>
      <w:hyperlink r:id="rId91" w:history="1">
        <w:r>
          <w:rPr>
            <w:rStyle w:val="Hyperlink"/>
            <w:lang w:val="ru-RU"/>
          </w:rPr>
          <w:t>2013/32/ЕС</w:t>
        </w:r>
      </w:hyperlink>
      <w:r>
        <w:rPr>
          <w:lang w:val="ru-RU"/>
        </w:rPr>
        <w:t xml:space="preserve"> (</w:t>
      </w:r>
      <w:r>
        <w:rPr>
          <w:lang w:val="bg-BG"/>
        </w:rPr>
        <w:t>вътрешни работи</w:t>
      </w:r>
      <w:r>
        <w:rPr>
          <w:lang w:val="ru-RU"/>
        </w:rPr>
        <w:t xml:space="preserve">), </w:t>
      </w:r>
      <w:hyperlink r:id="rId92" w:history="1">
        <w:r>
          <w:rPr>
            <w:rStyle w:val="Hyperlink"/>
            <w:lang w:val="ru-RU"/>
          </w:rPr>
          <w:t>2013/33/ЕС</w:t>
        </w:r>
      </w:hyperlink>
      <w:r>
        <w:rPr>
          <w:lang w:val="ru-RU"/>
        </w:rPr>
        <w:t xml:space="preserve"> (</w:t>
      </w:r>
      <w:r>
        <w:rPr>
          <w:lang w:val="bg-BG"/>
        </w:rPr>
        <w:t>вътрешни работи</w:t>
      </w:r>
      <w:r>
        <w:rPr>
          <w:lang w:val="ru-RU"/>
        </w:rPr>
        <w:t xml:space="preserve">), </w:t>
      </w:r>
      <w:hyperlink r:id="rId93" w:history="1">
        <w:r>
          <w:rPr>
            <w:rStyle w:val="Hyperlink"/>
            <w:lang w:val="ru-RU"/>
          </w:rPr>
          <w:t>2013/11/ЕС</w:t>
        </w:r>
      </w:hyperlink>
      <w:r>
        <w:rPr>
          <w:lang w:val="ru-RU"/>
        </w:rPr>
        <w:t xml:space="preserve"> (</w:t>
      </w:r>
      <w:r>
        <w:rPr>
          <w:lang w:val="bg-BG"/>
        </w:rPr>
        <w:t>правосъдие</w:t>
      </w:r>
      <w:r>
        <w:rPr>
          <w:lang w:val="ru-RU"/>
        </w:rPr>
        <w:t xml:space="preserve">), </w:t>
      </w:r>
      <w:hyperlink r:id="rId94" w:history="1">
        <w:r>
          <w:rPr>
            <w:rStyle w:val="Hyperlink"/>
            <w:lang w:val="ru-RU"/>
          </w:rPr>
          <w:t>2012/34/ЕС</w:t>
        </w:r>
      </w:hyperlink>
      <w:r>
        <w:rPr>
          <w:lang w:val="ru-RU"/>
        </w:rPr>
        <w:t xml:space="preserve"> (</w:t>
      </w:r>
      <w:r>
        <w:rPr>
          <w:lang w:val="bg-BG"/>
        </w:rPr>
        <w:t>транспорт</w:t>
      </w:r>
      <w:r>
        <w:rPr>
          <w:lang w:val="ru-RU"/>
        </w:rPr>
        <w:t xml:space="preserve">) </w:t>
      </w:r>
      <w:r>
        <w:rPr>
          <w:lang w:val="bg-BG"/>
        </w:rPr>
        <w:t xml:space="preserve">и </w:t>
      </w:r>
      <w:hyperlink r:id="rId95" w:history="1">
        <w:r>
          <w:rPr>
            <w:rStyle w:val="Hyperlink"/>
            <w:lang w:val="ru-RU"/>
          </w:rPr>
          <w:t>2014/85/ЕС</w:t>
        </w:r>
      </w:hyperlink>
      <w:r>
        <w:rPr>
          <w:lang w:val="ru-RU"/>
        </w:rPr>
        <w:t xml:space="preserve"> (</w:t>
      </w:r>
      <w:r>
        <w:rPr>
          <w:lang w:val="bg-BG"/>
        </w:rPr>
        <w:t>транспорт</w:t>
      </w:r>
      <w:r>
        <w:rPr>
          <w:lang w:val="ru-RU"/>
        </w:rPr>
        <w:t>).</w:t>
      </w:r>
    </w:p>
  </w:footnote>
  <w:footnote w:id="87">
    <w:p w:rsidR="006F5B6C" w:rsidRDefault="00284F4D">
      <w:pPr>
        <w:pStyle w:val="FootnoteText"/>
        <w:rPr>
          <w:lang w:val="ru-RU"/>
        </w:rPr>
      </w:pPr>
      <w:r>
        <w:rPr>
          <w:rStyle w:val="FootnoteReference"/>
        </w:rPr>
        <w:footnoteRef/>
      </w:r>
      <w:r>
        <w:rPr>
          <w:lang w:val="ru-RU"/>
        </w:rPr>
        <w:tab/>
      </w:r>
      <w:r>
        <w:rPr>
          <w:lang w:val="bg-BG"/>
        </w:rPr>
        <w:t xml:space="preserve">Директива </w:t>
      </w:r>
      <w:hyperlink r:id="rId96" w:history="1">
        <w:r>
          <w:rPr>
            <w:rStyle w:val="Hyperlink"/>
            <w:lang w:val="ru-RU"/>
          </w:rPr>
          <w:t>2012/18/ЕС</w:t>
        </w:r>
      </w:hyperlink>
      <w:r>
        <w:rPr>
          <w:lang w:val="ru-RU"/>
        </w:rPr>
        <w:t>.</w:t>
      </w:r>
    </w:p>
  </w:footnote>
  <w:footnote w:id="88">
    <w:p w:rsidR="006F5B6C" w:rsidRDefault="00284F4D">
      <w:pPr>
        <w:pStyle w:val="FootnoteText"/>
        <w:rPr>
          <w:lang w:val="ru-RU"/>
        </w:rPr>
      </w:pPr>
      <w:r>
        <w:rPr>
          <w:rStyle w:val="FootnoteReference"/>
        </w:rPr>
        <w:footnoteRef/>
      </w:r>
      <w:r>
        <w:rPr>
          <w:lang w:val="ru-RU"/>
        </w:rPr>
        <w:tab/>
      </w:r>
      <w:r>
        <w:rPr>
          <w:lang w:val="bg-BG"/>
        </w:rPr>
        <w:t xml:space="preserve">Директива </w:t>
      </w:r>
      <w:hyperlink r:id="rId97" w:history="1">
        <w:r>
          <w:rPr>
            <w:rStyle w:val="Hyperlink"/>
            <w:lang w:val="ru-RU"/>
          </w:rPr>
          <w:t>2013/39/ЕС</w:t>
        </w:r>
      </w:hyperlink>
      <w:r>
        <w:rPr>
          <w:lang w:val="ru-RU"/>
        </w:rPr>
        <w:t>.</w:t>
      </w:r>
    </w:p>
  </w:footnote>
  <w:footnote w:id="89">
    <w:p w:rsidR="006F5B6C" w:rsidRDefault="00284F4D">
      <w:pPr>
        <w:pStyle w:val="FootnoteText"/>
        <w:rPr>
          <w:lang w:val="ru-RU"/>
        </w:rPr>
      </w:pPr>
      <w:r>
        <w:rPr>
          <w:rStyle w:val="FootnoteReference"/>
        </w:rPr>
        <w:footnoteRef/>
      </w:r>
      <w:r>
        <w:rPr>
          <w:lang w:val="ru-RU"/>
        </w:rPr>
        <w:tab/>
      </w:r>
      <w:r>
        <w:rPr>
          <w:lang w:val="bg-BG"/>
        </w:rPr>
        <w:t xml:space="preserve">Директива </w:t>
      </w:r>
      <w:hyperlink r:id="rId98" w:history="1">
        <w:r>
          <w:rPr>
            <w:rStyle w:val="Hyperlink"/>
            <w:lang w:val="ru-RU"/>
          </w:rPr>
          <w:t>2013/34/ЕС</w:t>
        </w:r>
      </w:hyperlink>
      <w:r>
        <w:rPr>
          <w:lang w:val="ru-RU"/>
        </w:rPr>
        <w:t>.</w:t>
      </w:r>
    </w:p>
  </w:footnote>
  <w:footnote w:id="90">
    <w:p w:rsidR="006F5B6C" w:rsidRDefault="00284F4D">
      <w:pPr>
        <w:pStyle w:val="FootnoteText"/>
        <w:rPr>
          <w:lang w:val="ru-RU"/>
        </w:rPr>
      </w:pPr>
      <w:r>
        <w:rPr>
          <w:rStyle w:val="FootnoteReference"/>
        </w:rPr>
        <w:footnoteRef/>
      </w:r>
      <w:r>
        <w:rPr>
          <w:lang w:val="ru-RU"/>
        </w:rPr>
        <w:tab/>
      </w:r>
      <w:r>
        <w:rPr>
          <w:lang w:val="bg-BG"/>
        </w:rPr>
        <w:t xml:space="preserve">Директива </w:t>
      </w:r>
      <w:hyperlink r:id="rId99" w:history="1">
        <w:r>
          <w:rPr>
            <w:rStyle w:val="Hyperlink"/>
            <w:lang w:val="ru-RU"/>
          </w:rPr>
          <w:t>2013/50/ЕС</w:t>
        </w:r>
      </w:hyperlink>
      <w:r>
        <w:rPr>
          <w:lang w:val="ru-RU"/>
        </w:rPr>
        <w:t>.</w:t>
      </w:r>
    </w:p>
  </w:footnote>
  <w:footnote w:id="91">
    <w:p w:rsidR="006F5B6C" w:rsidRDefault="00284F4D">
      <w:pPr>
        <w:pStyle w:val="FootnoteText"/>
        <w:rPr>
          <w:lang w:val="ru-RU"/>
        </w:rPr>
      </w:pPr>
      <w:r>
        <w:rPr>
          <w:rStyle w:val="FootnoteReference"/>
        </w:rPr>
        <w:footnoteRef/>
      </w:r>
      <w:r>
        <w:rPr>
          <w:lang w:val="ru-RU"/>
        </w:rPr>
        <w:tab/>
      </w:r>
      <w:r>
        <w:rPr>
          <w:lang w:val="bg-BG"/>
        </w:rPr>
        <w:t xml:space="preserve">Директива </w:t>
      </w:r>
      <w:hyperlink r:id="rId100" w:history="1">
        <w:r>
          <w:rPr>
            <w:rStyle w:val="Hyperlink"/>
            <w:lang w:val="ru-RU"/>
          </w:rPr>
          <w:t>2014/49/ЕС</w:t>
        </w:r>
      </w:hyperlink>
      <w:r>
        <w:rPr>
          <w:lang w:val="ru-RU"/>
        </w:rPr>
        <w:t>.</w:t>
      </w:r>
    </w:p>
  </w:footnote>
  <w:footnote w:id="92">
    <w:p w:rsidR="006F5B6C" w:rsidRDefault="00284F4D">
      <w:pPr>
        <w:pStyle w:val="FootnoteText"/>
        <w:rPr>
          <w:lang w:val="ru-RU"/>
        </w:rPr>
      </w:pPr>
      <w:r>
        <w:rPr>
          <w:rStyle w:val="FootnoteReference"/>
        </w:rPr>
        <w:footnoteRef/>
      </w:r>
      <w:r>
        <w:rPr>
          <w:lang w:val="ru-RU"/>
        </w:rPr>
        <w:tab/>
      </w:r>
      <w:r>
        <w:rPr>
          <w:lang w:val="bg-BG"/>
        </w:rPr>
        <w:t xml:space="preserve">Директива </w:t>
      </w:r>
      <w:hyperlink r:id="rId101" w:history="1">
        <w:r>
          <w:rPr>
            <w:rStyle w:val="Hyperlink"/>
            <w:lang w:val="ru-RU"/>
          </w:rPr>
          <w:t>2014/51/ЕС</w:t>
        </w:r>
      </w:hyperlink>
      <w:r>
        <w:rPr>
          <w:lang w:val="ru-RU"/>
        </w:rPr>
        <w:t>.</w:t>
      </w:r>
    </w:p>
  </w:footnote>
  <w:footnote w:id="93">
    <w:p w:rsidR="006F5B6C" w:rsidRDefault="00284F4D">
      <w:pPr>
        <w:pStyle w:val="FootnoteText"/>
        <w:rPr>
          <w:lang w:val="ru-RU"/>
        </w:rPr>
      </w:pPr>
      <w:r>
        <w:rPr>
          <w:rStyle w:val="FootnoteReference"/>
        </w:rPr>
        <w:footnoteRef/>
      </w:r>
      <w:r>
        <w:rPr>
          <w:lang w:val="ru-RU"/>
        </w:rPr>
        <w:tab/>
      </w:r>
      <w:r>
        <w:rPr>
          <w:lang w:val="bg-BG"/>
        </w:rPr>
        <w:t xml:space="preserve">Директиви </w:t>
      </w:r>
      <w:hyperlink r:id="rId102" w:history="1">
        <w:r>
          <w:rPr>
            <w:rStyle w:val="Hyperlink"/>
            <w:lang w:val="ru-RU"/>
          </w:rPr>
          <w:t>2009/138/ЕО</w:t>
        </w:r>
      </w:hyperlink>
      <w:r>
        <w:rPr>
          <w:lang w:val="bg-BG"/>
        </w:rPr>
        <w:t xml:space="preserve"> и </w:t>
      </w:r>
      <w:hyperlink r:id="rId103" w:history="1">
        <w:r>
          <w:rPr>
            <w:rStyle w:val="Hyperlink"/>
            <w:lang w:val="ru-RU"/>
          </w:rPr>
          <w:t>2003/71/ЕО</w:t>
        </w:r>
      </w:hyperlink>
      <w:r>
        <w:rPr>
          <w:lang w:val="ru-RU"/>
        </w:rPr>
        <w:t>.</w:t>
      </w:r>
    </w:p>
  </w:footnote>
  <w:footnote w:id="94">
    <w:p w:rsidR="006F5B6C" w:rsidRDefault="00284F4D">
      <w:pPr>
        <w:pStyle w:val="FootnoteText"/>
        <w:rPr>
          <w:lang w:val="ru-RU"/>
        </w:rPr>
      </w:pPr>
      <w:r>
        <w:rPr>
          <w:rStyle w:val="FootnoteReference"/>
        </w:rPr>
        <w:footnoteRef/>
      </w:r>
      <w:r>
        <w:rPr>
          <w:lang w:val="ru-RU"/>
        </w:rPr>
        <w:tab/>
      </w:r>
      <w:r>
        <w:rPr>
          <w:lang w:val="bg-BG"/>
        </w:rPr>
        <w:t xml:space="preserve">Директива </w:t>
      </w:r>
      <w:hyperlink r:id="rId104" w:history="1">
        <w:r>
          <w:rPr>
            <w:rStyle w:val="Hyperlink"/>
            <w:lang w:val="ru-RU"/>
          </w:rPr>
          <w:t>2012/34/ЕС</w:t>
        </w:r>
      </w:hyperlink>
      <w:r>
        <w:rPr>
          <w:lang w:val="ru-RU"/>
        </w:rPr>
        <w:t>.</w:t>
      </w:r>
    </w:p>
  </w:footnote>
  <w:footnote w:id="95">
    <w:p w:rsidR="006F5B6C" w:rsidRDefault="00284F4D">
      <w:pPr>
        <w:pStyle w:val="FootnoteText"/>
        <w:rPr>
          <w:lang w:val="ru-RU"/>
        </w:rPr>
      </w:pPr>
      <w:r>
        <w:rPr>
          <w:rStyle w:val="FootnoteReference"/>
        </w:rPr>
        <w:footnoteRef/>
      </w:r>
      <w:r>
        <w:rPr>
          <w:lang w:val="ru-RU"/>
        </w:rPr>
        <w:tab/>
      </w:r>
      <w:r>
        <w:rPr>
          <w:lang w:val="bg-BG"/>
        </w:rPr>
        <w:t xml:space="preserve">Директива </w:t>
      </w:r>
      <w:hyperlink r:id="rId105" w:history="1">
        <w:r>
          <w:rPr>
            <w:rStyle w:val="Hyperlink"/>
            <w:lang w:val="ru-RU"/>
          </w:rPr>
          <w:t>2014/85/ЕС</w:t>
        </w:r>
      </w:hyperlink>
      <w:r>
        <w:rPr>
          <w:lang w:val="ru-RU"/>
        </w:rPr>
        <w:t>.</w:t>
      </w:r>
    </w:p>
  </w:footnote>
  <w:footnote w:id="96">
    <w:p w:rsidR="006F5B6C" w:rsidRDefault="00284F4D">
      <w:pPr>
        <w:pStyle w:val="FootnoteText"/>
        <w:rPr>
          <w:lang w:val="ru-RU"/>
        </w:rPr>
      </w:pPr>
      <w:r>
        <w:rPr>
          <w:rStyle w:val="FootnoteReference"/>
        </w:rPr>
        <w:footnoteRef/>
      </w:r>
      <w:r>
        <w:rPr>
          <w:lang w:val="ru-RU"/>
        </w:rPr>
        <w:tab/>
      </w:r>
      <w:r>
        <w:rPr>
          <w:lang w:val="bg-BG"/>
        </w:rPr>
        <w:t xml:space="preserve">Директива </w:t>
      </w:r>
      <w:hyperlink r:id="rId106" w:history="1">
        <w:r>
          <w:rPr>
            <w:rStyle w:val="Hyperlink"/>
            <w:lang w:val="ru-RU"/>
          </w:rPr>
          <w:t>2013/32/ЕС</w:t>
        </w:r>
      </w:hyperlink>
      <w:r>
        <w:rPr>
          <w:lang w:val="ru-RU"/>
        </w:rPr>
        <w:t>.</w:t>
      </w:r>
    </w:p>
  </w:footnote>
  <w:footnote w:id="97">
    <w:p w:rsidR="006F5B6C" w:rsidRDefault="00284F4D">
      <w:pPr>
        <w:pStyle w:val="FootnoteText"/>
        <w:rPr>
          <w:lang w:val="ru-RU"/>
        </w:rPr>
      </w:pPr>
      <w:r>
        <w:rPr>
          <w:rStyle w:val="FootnoteReference"/>
        </w:rPr>
        <w:footnoteRef/>
      </w:r>
      <w:r>
        <w:rPr>
          <w:lang w:val="ru-RU"/>
        </w:rPr>
        <w:tab/>
      </w:r>
      <w:r>
        <w:rPr>
          <w:lang w:val="bg-BG"/>
        </w:rPr>
        <w:t xml:space="preserve">Директива </w:t>
      </w:r>
      <w:hyperlink r:id="rId107" w:history="1">
        <w:r>
          <w:rPr>
            <w:rStyle w:val="Hyperlink"/>
            <w:lang w:val="ru-RU"/>
          </w:rPr>
          <w:t>2013/33/ЕС</w:t>
        </w:r>
      </w:hyperlink>
      <w:r>
        <w:rPr>
          <w:lang w:val="ru-RU"/>
        </w:rPr>
        <w:t>.</w:t>
      </w:r>
    </w:p>
  </w:footnote>
  <w:footnote w:id="98">
    <w:p w:rsidR="006F5B6C" w:rsidRDefault="00284F4D">
      <w:pPr>
        <w:pStyle w:val="FootnoteText"/>
        <w:rPr>
          <w:lang w:val="ru-RU"/>
        </w:rPr>
      </w:pPr>
      <w:r>
        <w:rPr>
          <w:rStyle w:val="FootnoteReference"/>
        </w:rPr>
        <w:footnoteRef/>
      </w:r>
      <w:r>
        <w:rPr>
          <w:lang w:val="ru-RU"/>
        </w:rPr>
        <w:tab/>
      </w:r>
      <w:r>
        <w:rPr>
          <w:lang w:val="bg-BG"/>
        </w:rPr>
        <w:t xml:space="preserve">Директива </w:t>
      </w:r>
      <w:hyperlink r:id="rId108" w:history="1">
        <w:r>
          <w:rPr>
            <w:rStyle w:val="Hyperlink"/>
            <w:lang w:val="ru-RU"/>
          </w:rPr>
          <w:t>2013/11/ЕС</w:t>
        </w:r>
      </w:hyperlink>
      <w:r>
        <w:rPr>
          <w:lang w:val="ru-RU"/>
        </w:rPr>
        <w:t>.</w:t>
      </w:r>
    </w:p>
  </w:footnote>
  <w:footnote w:id="99">
    <w:p w:rsidR="006F5B6C" w:rsidRDefault="00284F4D">
      <w:pPr>
        <w:pStyle w:val="FootnoteText"/>
        <w:rPr>
          <w:lang w:val="bg-BG"/>
        </w:rPr>
      </w:pPr>
      <w:r>
        <w:rPr>
          <w:rStyle w:val="FootnoteReference"/>
        </w:rPr>
        <w:footnoteRef/>
      </w:r>
      <w:r>
        <w:rPr>
          <w:lang w:val="ru-RU"/>
        </w:rPr>
        <w:tab/>
      </w:r>
      <w:r>
        <w:rPr>
          <w:lang w:val="bg-BG"/>
        </w:rPr>
        <w:t>Съобщение на Комисията до Съвета и до Европейския парламент относно осъвременяване на начина, по който се осъществяват контактите с жалбоподателя във връзка с прилагането на законодателството на Съюза</w:t>
      </w:r>
      <w:r>
        <w:rPr>
          <w:lang w:val="ru-RU"/>
        </w:rPr>
        <w:t xml:space="preserve">, </w:t>
      </w:r>
      <w:hyperlink r:id="rId109" w:history="1">
        <w:r>
          <w:rPr>
            <w:rStyle w:val="Hyperlink"/>
            <w:lang w:val="pt-PT"/>
          </w:rPr>
          <w:t>COM</w:t>
        </w:r>
        <w:r>
          <w:rPr>
            <w:rStyle w:val="Hyperlink"/>
            <w:lang w:val="ru-RU"/>
          </w:rPr>
          <w:t>(2012)</w:t>
        </w:r>
        <w:r>
          <w:rPr>
            <w:rStyle w:val="Hyperlink"/>
            <w:lang w:val="bg-BG"/>
          </w:rPr>
          <w:t xml:space="preserve"> </w:t>
        </w:r>
        <w:r>
          <w:rPr>
            <w:rStyle w:val="Hyperlink"/>
            <w:lang w:val="ru-RU"/>
          </w:rPr>
          <w:t xml:space="preserve">154 </w:t>
        </w:r>
        <w:r>
          <w:rPr>
            <w:rStyle w:val="Hyperlink"/>
            <w:lang w:val="pt-PT"/>
          </w:rPr>
          <w:t>final</w:t>
        </w:r>
      </w:hyperlink>
      <w:r>
        <w:rPr>
          <w:color w:val="0000FF"/>
          <w:lang w:val="ru-RU"/>
        </w:rPr>
        <w:t>.</w:t>
      </w:r>
    </w:p>
  </w:footnote>
  <w:footnote w:id="100">
    <w:p w:rsidR="006F5B6C" w:rsidRDefault="00284F4D">
      <w:pPr>
        <w:pStyle w:val="FootnoteText"/>
        <w:rPr>
          <w:lang w:val="ru-RU"/>
        </w:rPr>
      </w:pPr>
      <w:r>
        <w:rPr>
          <w:rStyle w:val="FootnoteReference"/>
          <w:rFonts w:ascii="Verdana" w:hAnsi="Verdana"/>
        </w:rPr>
        <w:footnoteRef/>
      </w:r>
      <w:r>
        <w:rPr>
          <w:rFonts w:ascii="Verdana" w:hAnsi="Verdana"/>
          <w:lang w:val="ru-RU"/>
        </w:rPr>
        <w:tab/>
      </w:r>
      <w:r>
        <w:rPr>
          <w:lang w:val="bg-BG"/>
        </w:rPr>
        <w:t xml:space="preserve">От сбора на неприключените преписки по жалби към края на 2014 г. и новите жалби, заведени през </w:t>
      </w:r>
      <w:r>
        <w:rPr>
          <w:lang w:val="ru-RU"/>
        </w:rPr>
        <w:t>2015</w:t>
      </w:r>
      <w:r>
        <w:rPr>
          <w:lang w:val="bg-BG"/>
        </w:rPr>
        <w:t> г.</w:t>
      </w:r>
      <w:r>
        <w:rPr>
          <w:lang w:val="ru-RU"/>
        </w:rPr>
        <w:t xml:space="preserve"> (2963+3450=6413), </w:t>
      </w:r>
      <w:r>
        <w:rPr>
          <w:lang w:val="bg-BG"/>
        </w:rPr>
        <w:t xml:space="preserve">е изваден броят на жалбите, разглеждани през 2015 г., за да се получи броят на неприключените жалби към края на </w:t>
      </w:r>
      <w:r>
        <w:rPr>
          <w:lang w:val="ru-RU"/>
        </w:rPr>
        <w:t>2015</w:t>
      </w:r>
      <w:r>
        <w:rPr>
          <w:lang w:val="bg-BG"/>
        </w:rPr>
        <w:t> г.</w:t>
      </w:r>
      <w:r>
        <w:rPr>
          <w:lang w:val="ru-RU"/>
        </w:rPr>
        <w:t xml:space="preserve"> (6413-3315=3098).</w:t>
      </w:r>
    </w:p>
  </w:footnote>
  <w:footnote w:id="101">
    <w:p w:rsidR="006F5B6C" w:rsidRDefault="00284F4D">
      <w:pPr>
        <w:pStyle w:val="FootnoteText"/>
        <w:rPr>
          <w:lang w:val="ru-RU"/>
        </w:rPr>
      </w:pPr>
      <w:r>
        <w:rPr>
          <w:rStyle w:val="FootnoteReference"/>
        </w:rPr>
        <w:footnoteRef/>
      </w:r>
      <w:r>
        <w:rPr>
          <w:lang w:val="ru-RU"/>
        </w:rPr>
        <w:tab/>
      </w:r>
      <w:r>
        <w:rPr>
          <w:lang w:val="bg-BG"/>
        </w:rPr>
        <w:t xml:space="preserve">Директива </w:t>
      </w:r>
      <w:hyperlink r:id="rId110" w:history="1">
        <w:r>
          <w:rPr>
            <w:rStyle w:val="Hyperlink"/>
            <w:lang w:val="ru-RU"/>
          </w:rPr>
          <w:t>2003/4/ЕО</w:t>
        </w:r>
      </w:hyperlink>
      <w:r>
        <w:rPr>
          <w:lang w:val="ru-RU"/>
        </w:rPr>
        <w:t>.</w:t>
      </w:r>
    </w:p>
  </w:footnote>
  <w:footnote w:id="102">
    <w:p w:rsidR="006F5B6C" w:rsidRDefault="00284F4D">
      <w:pPr>
        <w:pStyle w:val="FootnoteText"/>
        <w:rPr>
          <w:lang w:val="ru-RU"/>
        </w:rPr>
      </w:pPr>
      <w:r>
        <w:rPr>
          <w:rStyle w:val="FootnoteReference"/>
        </w:rPr>
        <w:footnoteRef/>
      </w:r>
      <w:r>
        <w:rPr>
          <w:lang w:val="ru-RU"/>
        </w:rPr>
        <w:tab/>
      </w:r>
      <w:r>
        <w:rPr>
          <w:lang w:val="bg-BG"/>
        </w:rPr>
        <w:t xml:space="preserve">Директива </w:t>
      </w:r>
      <w:hyperlink r:id="rId111" w:history="1">
        <w:r>
          <w:rPr>
            <w:rStyle w:val="Hyperlink"/>
            <w:lang w:val="ru-RU"/>
          </w:rPr>
          <w:t>2001/42/ЕО</w:t>
        </w:r>
      </w:hyperlink>
      <w:r>
        <w:rPr>
          <w:lang w:val="ru-RU"/>
        </w:rPr>
        <w:t>.</w:t>
      </w:r>
    </w:p>
  </w:footnote>
  <w:footnote w:id="103">
    <w:p w:rsidR="006F5B6C" w:rsidRDefault="00284F4D">
      <w:pPr>
        <w:pStyle w:val="FootnoteText"/>
        <w:rPr>
          <w:lang w:val="ru-RU"/>
        </w:rPr>
      </w:pPr>
      <w:r>
        <w:rPr>
          <w:rStyle w:val="FootnoteReference"/>
        </w:rPr>
        <w:footnoteRef/>
      </w:r>
      <w:r>
        <w:rPr>
          <w:lang w:val="ru-RU"/>
        </w:rPr>
        <w:tab/>
      </w:r>
      <w:r>
        <w:rPr>
          <w:lang w:val="bg-BG"/>
        </w:rPr>
        <w:t xml:space="preserve">Директива </w:t>
      </w:r>
      <w:hyperlink r:id="rId112" w:history="1">
        <w:r>
          <w:rPr>
            <w:rStyle w:val="Hyperlink"/>
            <w:lang w:val="ru-RU"/>
          </w:rPr>
          <w:t>2003/4/ЕО</w:t>
        </w:r>
      </w:hyperlink>
      <w:r>
        <w:rPr>
          <w:lang w:val="ru-RU"/>
        </w:rPr>
        <w:t>.</w:t>
      </w:r>
    </w:p>
  </w:footnote>
  <w:footnote w:id="104">
    <w:p w:rsidR="006F5B6C" w:rsidRDefault="00284F4D">
      <w:pPr>
        <w:pStyle w:val="FootnoteText"/>
        <w:rPr>
          <w:strike/>
          <w:lang w:val="ru-RU"/>
        </w:rPr>
      </w:pPr>
      <w:r>
        <w:rPr>
          <w:rStyle w:val="FootnoteReference"/>
          <w:rFonts w:ascii="Verdana" w:hAnsi="Verdana"/>
        </w:rPr>
        <w:footnoteRef/>
      </w:r>
      <w:r>
        <w:rPr>
          <w:rFonts w:ascii="Verdana" w:hAnsi="Verdana"/>
          <w:lang w:val="ru-RU"/>
        </w:rPr>
        <w:tab/>
      </w:r>
      <w:r>
        <w:rPr>
          <w:lang w:val="bg-BG"/>
        </w:rPr>
        <w:t xml:space="preserve">От сбора на броя на неприключените преписки в </w:t>
      </w:r>
      <w:r>
        <w:rPr>
          <w:lang w:val="pt-PT"/>
        </w:rPr>
        <w:t>EU</w:t>
      </w:r>
      <w:r>
        <w:rPr>
          <w:lang w:val="ru-RU"/>
        </w:rPr>
        <w:t xml:space="preserve"> </w:t>
      </w:r>
      <w:r>
        <w:rPr>
          <w:lang w:val="pt-PT"/>
        </w:rPr>
        <w:t>Pilot</w:t>
      </w:r>
      <w:r>
        <w:rPr>
          <w:lang w:val="ru-RU"/>
        </w:rPr>
        <w:t xml:space="preserve"> </w:t>
      </w:r>
      <w:r>
        <w:rPr>
          <w:lang w:val="bg-BG"/>
        </w:rPr>
        <w:t xml:space="preserve">към края на 2014 г. и на новите преписки, образувани през 2015 г. </w:t>
      </w:r>
      <w:r>
        <w:rPr>
          <w:lang w:val="ru-RU"/>
        </w:rPr>
        <w:t xml:space="preserve">(1348+881=2229), </w:t>
      </w:r>
      <w:r>
        <w:rPr>
          <w:lang w:val="bg-BG"/>
        </w:rPr>
        <w:t xml:space="preserve">е изваден броят на обработените преписки през 2015 г., за да се получи броят на неприключените преписки към края на 2015 г. </w:t>
      </w:r>
      <w:r>
        <w:rPr>
          <w:lang w:val="ru-RU"/>
        </w:rPr>
        <w:t>(2229-969=1260).</w:t>
      </w:r>
    </w:p>
  </w:footnote>
  <w:footnote w:id="105">
    <w:p w:rsidR="006F5B6C" w:rsidRDefault="00284F4D">
      <w:pPr>
        <w:pStyle w:val="FootnoteText"/>
        <w:rPr>
          <w:lang w:val="bg-BG"/>
        </w:rPr>
      </w:pPr>
      <w:r>
        <w:rPr>
          <w:rStyle w:val="FootnoteReference"/>
        </w:rPr>
        <w:footnoteRef/>
      </w:r>
      <w:r>
        <w:rPr>
          <w:lang w:val="ru-RU"/>
        </w:rPr>
        <w:tab/>
      </w:r>
      <w:r>
        <w:rPr>
          <w:lang w:val="bg-BG"/>
        </w:rPr>
        <w:t>Посочените цифри се отнасят за всички производства за установяване на неизпълнение на задължения независимо от това какво е довело до тях (т.е. жалба, собствена инициатива на Комисията или ненавременно транспониране на директиви от държави членки).</w:t>
      </w:r>
    </w:p>
  </w:footnote>
  <w:footnote w:id="106">
    <w:p w:rsidR="006F5B6C" w:rsidRDefault="00284F4D">
      <w:pPr>
        <w:pStyle w:val="FootnoteText"/>
        <w:rPr>
          <w:lang w:val="ru-RU"/>
        </w:rPr>
      </w:pPr>
      <w:r>
        <w:rPr>
          <w:rStyle w:val="FootnoteReference"/>
        </w:rPr>
        <w:footnoteRef/>
      </w:r>
      <w:r>
        <w:rPr>
          <w:lang w:val="ru-RU"/>
        </w:rPr>
        <w:tab/>
      </w:r>
      <w:r>
        <w:rPr>
          <w:lang w:val="bg-BG"/>
        </w:rPr>
        <w:t>Решение по дело Комисия/Италия</w:t>
      </w:r>
      <w:r>
        <w:rPr>
          <w:lang w:val="ru-RU"/>
        </w:rPr>
        <w:t xml:space="preserve">, </w:t>
      </w:r>
      <w:hyperlink r:id="rId113" w:history="1">
        <w:r>
          <w:rPr>
            <w:rStyle w:val="Hyperlink"/>
            <w:lang w:val="pt-PT"/>
          </w:rPr>
          <w:t>C</w:t>
        </w:r>
        <w:r>
          <w:rPr>
            <w:rStyle w:val="Hyperlink"/>
            <w:lang w:val="ru-RU"/>
          </w:rPr>
          <w:t>-653/13</w:t>
        </w:r>
      </w:hyperlink>
      <w:r>
        <w:rPr>
          <w:lang w:val="ru-RU"/>
        </w:rPr>
        <w:t xml:space="preserve"> (</w:t>
      </w:r>
      <w:r>
        <w:rPr>
          <w:lang w:val="bg-BG"/>
        </w:rPr>
        <w:t>еднократно платима сума в размер на</w:t>
      </w:r>
      <w:r>
        <w:rPr>
          <w:lang w:val="ru-RU"/>
        </w:rPr>
        <w:t xml:space="preserve"> 20</w:t>
      </w:r>
      <w:r>
        <w:rPr>
          <w:lang w:val="bg-BG"/>
        </w:rPr>
        <w:t> милиона евро</w:t>
      </w:r>
      <w:r>
        <w:rPr>
          <w:lang w:val="ru-RU"/>
        </w:rPr>
        <w:t>;</w:t>
      </w:r>
      <w:r>
        <w:rPr>
          <w:lang w:val="bg-BG"/>
        </w:rPr>
        <w:t xml:space="preserve"> периодична имуществена санкция</w:t>
      </w:r>
      <w:r>
        <w:rPr>
          <w:lang w:val="ru-RU"/>
        </w:rPr>
        <w:t>:120</w:t>
      </w:r>
      <w:r>
        <w:rPr>
          <w:lang w:val="bg-BG"/>
        </w:rPr>
        <w:t> </w:t>
      </w:r>
      <w:r>
        <w:rPr>
          <w:lang w:val="ru-RU"/>
        </w:rPr>
        <w:t>000</w:t>
      </w:r>
      <w:r>
        <w:rPr>
          <w:lang w:val="bg-BG"/>
        </w:rPr>
        <w:t> </w:t>
      </w:r>
      <w:r>
        <w:rPr>
          <w:lang w:val="pt-PT"/>
        </w:rPr>
        <w:t>EUR</w:t>
      </w:r>
      <w:r>
        <w:rPr>
          <w:lang w:val="ru-RU"/>
        </w:rPr>
        <w:t xml:space="preserve"> </w:t>
      </w:r>
      <w:r>
        <w:rPr>
          <w:lang w:val="bg-BG"/>
        </w:rPr>
        <w:t>за всеки ден на неизпълнение на съдебното решение по член 258 от ДФЕС</w:t>
      </w:r>
      <w:r>
        <w:rPr>
          <w:lang w:val="ru-RU"/>
        </w:rPr>
        <w:t xml:space="preserve">); </w:t>
      </w:r>
      <w:r>
        <w:rPr>
          <w:lang w:val="bg-BG"/>
        </w:rPr>
        <w:t>Решение по дело Комисия/Италия</w:t>
      </w:r>
      <w:r>
        <w:rPr>
          <w:lang w:val="ru-RU"/>
        </w:rPr>
        <w:t xml:space="preserve">, </w:t>
      </w:r>
      <w:hyperlink r:id="rId114" w:history="1">
        <w:r>
          <w:rPr>
            <w:rStyle w:val="Hyperlink"/>
            <w:lang w:val="pt-PT"/>
          </w:rPr>
          <w:t>C</w:t>
        </w:r>
        <w:r>
          <w:rPr>
            <w:rStyle w:val="Hyperlink"/>
            <w:lang w:val="ru-RU"/>
          </w:rPr>
          <w:t>-367/14</w:t>
        </w:r>
      </w:hyperlink>
      <w:r>
        <w:rPr>
          <w:rStyle w:val="Hyperlink"/>
          <w:lang w:val="ru-RU"/>
        </w:rPr>
        <w:t xml:space="preserve"> (</w:t>
      </w:r>
      <w:r>
        <w:rPr>
          <w:lang w:val="bg-BG"/>
        </w:rPr>
        <w:t>еднократно платима сума в размер на</w:t>
      </w:r>
      <w:r>
        <w:rPr>
          <w:lang w:val="ru-RU"/>
        </w:rPr>
        <w:t xml:space="preserve"> 30</w:t>
      </w:r>
      <w:r>
        <w:rPr>
          <w:lang w:val="bg-BG"/>
        </w:rPr>
        <w:t> милиона евро</w:t>
      </w:r>
      <w:r>
        <w:rPr>
          <w:lang w:val="ru-RU"/>
        </w:rPr>
        <w:t xml:space="preserve">; </w:t>
      </w:r>
      <w:r>
        <w:rPr>
          <w:lang w:val="bg-BG"/>
        </w:rPr>
        <w:t>периодична имуществена санкция</w:t>
      </w:r>
      <w:r>
        <w:rPr>
          <w:lang w:val="ru-RU"/>
        </w:rPr>
        <w:t xml:space="preserve">: </w:t>
      </w:r>
      <w:r>
        <w:rPr>
          <w:lang w:val="bg-BG"/>
        </w:rPr>
        <w:t>12 милиона евро за всеки шестмесечен период на неизпълнение на съдебното решение по член </w:t>
      </w:r>
      <w:r>
        <w:rPr>
          <w:lang w:val="ru-RU"/>
        </w:rPr>
        <w:t xml:space="preserve">258 </w:t>
      </w:r>
      <w:r>
        <w:rPr>
          <w:lang w:val="bg-BG"/>
        </w:rPr>
        <w:t>от ДФЕС</w:t>
      </w:r>
      <w:r>
        <w:rPr>
          <w:lang w:val="ru-RU"/>
        </w:rPr>
        <w:t>).</w:t>
      </w:r>
    </w:p>
  </w:footnote>
  <w:footnote w:id="107">
    <w:p w:rsidR="006F5B6C" w:rsidRDefault="00284F4D">
      <w:pPr>
        <w:pStyle w:val="FootnoteText"/>
        <w:rPr>
          <w:lang w:val="ru-RU"/>
        </w:rPr>
      </w:pPr>
      <w:r>
        <w:rPr>
          <w:rStyle w:val="FootnoteReference"/>
        </w:rPr>
        <w:footnoteRef/>
      </w:r>
      <w:r>
        <w:rPr>
          <w:lang w:val="ru-RU"/>
        </w:rPr>
        <w:tab/>
      </w:r>
      <w:r>
        <w:rPr>
          <w:lang w:val="bg-BG"/>
        </w:rPr>
        <w:t>Решение по дело Комисия/Гърция</w:t>
      </w:r>
      <w:r>
        <w:rPr>
          <w:lang w:val="ru-RU"/>
        </w:rPr>
        <w:t xml:space="preserve">, </w:t>
      </w:r>
      <w:hyperlink r:id="rId115" w:history="1">
        <w:r>
          <w:rPr>
            <w:rStyle w:val="Hyperlink"/>
            <w:lang w:val="pt-PT"/>
          </w:rPr>
          <w:t>C</w:t>
        </w:r>
        <w:r>
          <w:rPr>
            <w:rStyle w:val="Hyperlink"/>
            <w:lang w:val="ru-RU"/>
          </w:rPr>
          <w:t>-167/14</w:t>
        </w:r>
      </w:hyperlink>
      <w:r>
        <w:rPr>
          <w:rStyle w:val="Hyperlink"/>
          <w:lang w:val="ru-RU"/>
        </w:rPr>
        <w:t xml:space="preserve"> (</w:t>
      </w:r>
      <w:r>
        <w:rPr>
          <w:lang w:val="bg-BG"/>
        </w:rPr>
        <w:t>еднократно платима сума в размер на 10 милиона евро</w:t>
      </w:r>
      <w:r>
        <w:rPr>
          <w:lang w:val="ru-RU"/>
        </w:rPr>
        <w:t xml:space="preserve">; </w:t>
      </w:r>
      <w:r>
        <w:rPr>
          <w:lang w:val="bg-BG"/>
        </w:rPr>
        <w:t>периодична имуществена санкция</w:t>
      </w:r>
      <w:r>
        <w:rPr>
          <w:lang w:val="ru-RU"/>
        </w:rPr>
        <w:t xml:space="preserve">: </w:t>
      </w:r>
      <w:r>
        <w:rPr>
          <w:lang w:val="bg-BG"/>
        </w:rPr>
        <w:t>3,</w:t>
      </w:r>
      <w:r>
        <w:rPr>
          <w:lang w:val="ru-RU"/>
        </w:rPr>
        <w:t>64</w:t>
      </w:r>
      <w:r>
        <w:rPr>
          <w:lang w:val="bg-BG"/>
        </w:rPr>
        <w:t> милиона евро за всеки шестмесечен период на неизпълнение на съдебното решение по член </w:t>
      </w:r>
      <w:r>
        <w:rPr>
          <w:lang w:val="ru-RU"/>
        </w:rPr>
        <w:t xml:space="preserve">258 </w:t>
      </w:r>
      <w:r>
        <w:rPr>
          <w:lang w:val="bg-BG"/>
        </w:rPr>
        <w:t>от ДФЕС</w:t>
      </w:r>
      <w:r>
        <w:rPr>
          <w:lang w:val="ru-RU"/>
        </w:rPr>
        <w:t>).</w:t>
      </w:r>
    </w:p>
  </w:footnote>
  <w:footnote w:id="108">
    <w:p w:rsidR="006F5B6C" w:rsidRDefault="00284F4D">
      <w:pPr>
        <w:pStyle w:val="FootnoteText"/>
        <w:rPr>
          <w:b/>
          <w:lang w:val="ru-RU"/>
        </w:rPr>
      </w:pPr>
      <w:r>
        <w:rPr>
          <w:rStyle w:val="FootnoteReference"/>
        </w:rPr>
        <w:footnoteRef/>
      </w:r>
      <w:r>
        <w:rPr>
          <w:lang w:val="ru-RU"/>
        </w:rPr>
        <w:tab/>
      </w:r>
      <w:r>
        <w:rPr>
          <w:lang w:val="bg-BG"/>
        </w:rPr>
        <w:t xml:space="preserve">Директива </w:t>
      </w:r>
      <w:hyperlink r:id="rId116" w:history="1">
        <w:r>
          <w:rPr>
            <w:rStyle w:val="Hyperlink"/>
            <w:lang w:val="ru-RU"/>
          </w:rPr>
          <w:t>2014/59/ЕС</w:t>
        </w:r>
      </w:hyperlink>
      <w:r>
        <w:rPr>
          <w:lang w:val="ru-RU"/>
        </w:rPr>
        <w:t>.</w:t>
      </w:r>
    </w:p>
  </w:footnote>
  <w:footnote w:id="109">
    <w:p w:rsidR="006F5B6C" w:rsidRDefault="00284F4D">
      <w:pPr>
        <w:pStyle w:val="FootnoteText"/>
        <w:rPr>
          <w:lang w:val="ru-RU"/>
        </w:rPr>
      </w:pPr>
      <w:r>
        <w:rPr>
          <w:rStyle w:val="FootnoteReference"/>
        </w:rPr>
        <w:footnoteRef/>
      </w:r>
      <w:r>
        <w:rPr>
          <w:lang w:val="ru-RU"/>
        </w:rPr>
        <w:tab/>
      </w:r>
      <w:r>
        <w:rPr>
          <w:lang w:val="bg-BG"/>
        </w:rPr>
        <w:t xml:space="preserve">Директива </w:t>
      </w:r>
      <w:hyperlink r:id="rId117" w:history="1">
        <w:r>
          <w:rPr>
            <w:rStyle w:val="Hyperlink"/>
            <w:lang w:val="ru-RU"/>
          </w:rPr>
          <w:t>2014/51/ЕС</w:t>
        </w:r>
      </w:hyperlink>
      <w:r>
        <w:rPr>
          <w:lang w:val="ru-RU"/>
        </w:rPr>
        <w:t>.</w:t>
      </w:r>
    </w:p>
  </w:footnote>
  <w:footnote w:id="110">
    <w:p w:rsidR="006F5B6C" w:rsidRDefault="00284F4D">
      <w:pPr>
        <w:pStyle w:val="FootnoteText"/>
        <w:rPr>
          <w:lang w:val="ru-RU"/>
        </w:rPr>
      </w:pPr>
      <w:r>
        <w:rPr>
          <w:rStyle w:val="FootnoteReference"/>
        </w:rPr>
        <w:footnoteRef/>
      </w:r>
      <w:r>
        <w:rPr>
          <w:lang w:val="ru-RU"/>
        </w:rPr>
        <w:tab/>
      </w:r>
      <w:r>
        <w:rPr>
          <w:lang w:val="bg-BG"/>
        </w:rPr>
        <w:t xml:space="preserve">Директива </w:t>
      </w:r>
      <w:hyperlink r:id="rId118" w:history="1">
        <w:r>
          <w:rPr>
            <w:rStyle w:val="Hyperlink"/>
            <w:lang w:val="ru-RU"/>
          </w:rPr>
          <w:t>2009/138/ЕО</w:t>
        </w:r>
      </w:hyperlink>
      <w:r>
        <w:rPr>
          <w:lang w:val="ru-RU"/>
        </w:rPr>
        <w:t>.</w:t>
      </w:r>
    </w:p>
  </w:footnote>
  <w:footnote w:id="111">
    <w:p w:rsidR="006F5B6C" w:rsidRDefault="00284F4D">
      <w:pPr>
        <w:pStyle w:val="FootnoteText"/>
        <w:rPr>
          <w:lang w:val="ru-RU"/>
        </w:rPr>
      </w:pPr>
      <w:r>
        <w:rPr>
          <w:rStyle w:val="FootnoteReference"/>
        </w:rPr>
        <w:footnoteRef/>
      </w:r>
      <w:r>
        <w:rPr>
          <w:lang w:val="ru-RU"/>
        </w:rPr>
        <w:tab/>
      </w:r>
      <w:r>
        <w:rPr>
          <w:lang w:val="bg-BG"/>
        </w:rPr>
        <w:t xml:space="preserve">Директива </w:t>
      </w:r>
      <w:hyperlink r:id="rId119" w:history="1">
        <w:r>
          <w:rPr>
            <w:rStyle w:val="Hyperlink"/>
            <w:lang w:val="ru-RU"/>
          </w:rPr>
          <w:t>2012/18/ЕС</w:t>
        </w:r>
      </w:hyperlink>
      <w:r>
        <w:rPr>
          <w:lang w:val="ru-RU"/>
        </w:rPr>
        <w:t>.</w:t>
      </w:r>
    </w:p>
  </w:footnote>
  <w:footnote w:id="112">
    <w:p w:rsidR="006F5B6C" w:rsidRDefault="00284F4D">
      <w:pPr>
        <w:pStyle w:val="FootnoteText"/>
        <w:rPr>
          <w:lang w:val="ru-RU"/>
        </w:rPr>
      </w:pPr>
      <w:r>
        <w:rPr>
          <w:rStyle w:val="FootnoteReference"/>
        </w:rPr>
        <w:footnoteRef/>
      </w:r>
      <w:r>
        <w:rPr>
          <w:lang w:val="ru-RU"/>
        </w:rPr>
        <w:tab/>
      </w:r>
      <w:r>
        <w:rPr>
          <w:lang w:val="bg-BG"/>
        </w:rPr>
        <w:t xml:space="preserve">Директива </w:t>
      </w:r>
      <w:hyperlink r:id="rId120" w:history="1">
        <w:r>
          <w:rPr>
            <w:rStyle w:val="Hyperlink"/>
            <w:lang w:val="ru-RU"/>
          </w:rPr>
          <w:t>2012/34/ЕС</w:t>
        </w:r>
      </w:hyperlink>
      <w:r>
        <w:rPr>
          <w:lang w:val="ru-RU"/>
        </w:rPr>
        <w:t>.</w:t>
      </w:r>
    </w:p>
  </w:footnote>
  <w:footnote w:id="113">
    <w:p w:rsidR="006F5B6C" w:rsidRDefault="00284F4D">
      <w:pPr>
        <w:pStyle w:val="FootnoteText"/>
        <w:rPr>
          <w:lang w:val="bg-BG"/>
        </w:rPr>
      </w:pPr>
      <w:r>
        <w:rPr>
          <w:rStyle w:val="FootnoteReference"/>
        </w:rPr>
        <w:footnoteRef/>
      </w:r>
      <w:r>
        <w:rPr>
          <w:lang w:val="ru-RU"/>
        </w:rPr>
        <w:tab/>
      </w:r>
      <w:r>
        <w:rPr>
          <w:iCs/>
          <w:lang w:val="bg-BG"/>
        </w:rPr>
        <w:t xml:space="preserve">ОВ </w:t>
      </w:r>
      <w:r>
        <w:rPr>
          <w:iCs/>
          <w:lang w:val="pt-PT"/>
        </w:rPr>
        <w:t>C</w:t>
      </w:r>
      <w:r>
        <w:rPr>
          <w:iCs/>
          <w:lang w:val="ru-RU"/>
        </w:rPr>
        <w:t xml:space="preserve"> 12, 15.1.2011</w:t>
      </w:r>
      <w:r>
        <w:rPr>
          <w:iCs/>
          <w:lang w:val="bg-BG"/>
        </w:rPr>
        <w:t> г.</w:t>
      </w:r>
      <w:r>
        <w:rPr>
          <w:iCs/>
          <w:lang w:val="ru-RU"/>
        </w:rPr>
        <w:t>,</w:t>
      </w:r>
      <w:r>
        <w:rPr>
          <w:iCs/>
          <w:lang w:val="bg-BG"/>
        </w:rPr>
        <w:t> стр</w:t>
      </w:r>
      <w:r>
        <w:rPr>
          <w:iCs/>
          <w:lang w:val="ru-RU"/>
        </w:rPr>
        <w:t>. 1—5.</w:t>
      </w:r>
    </w:p>
  </w:footnote>
  <w:footnote w:id="114">
    <w:p w:rsidR="006F5B6C" w:rsidRDefault="00284F4D">
      <w:pPr>
        <w:pStyle w:val="FootnoteText"/>
        <w:rPr>
          <w:b/>
          <w:lang w:val="bg-BG"/>
        </w:rPr>
      </w:pPr>
      <w:r>
        <w:rPr>
          <w:rStyle w:val="FootnoteReference"/>
        </w:rPr>
        <w:footnoteRef/>
      </w:r>
      <w:r>
        <w:rPr>
          <w:lang w:val="ru-RU"/>
        </w:rPr>
        <w:tab/>
      </w:r>
      <w:r>
        <w:rPr>
          <w:lang w:val="bg-BG"/>
        </w:rPr>
        <w:t>Решение по дело Комисия/Полша</w:t>
      </w:r>
      <w:r>
        <w:rPr>
          <w:lang w:val="ru-RU"/>
        </w:rPr>
        <w:t xml:space="preserve">, </w:t>
      </w:r>
      <w:hyperlink r:id="rId121" w:history="1">
        <w:r>
          <w:rPr>
            <w:rStyle w:val="Hyperlink"/>
            <w:lang w:val="pt-PT"/>
          </w:rPr>
          <w:t>C</w:t>
        </w:r>
        <w:r>
          <w:rPr>
            <w:rStyle w:val="Hyperlink"/>
            <w:lang w:val="ru-RU"/>
          </w:rPr>
          <w:t>-545/15</w:t>
        </w:r>
      </w:hyperlink>
      <w:r>
        <w:rPr>
          <w:rStyle w:val="Hyperlink"/>
          <w:lang w:val="ru-RU"/>
        </w:rPr>
        <w:t>.</w:t>
      </w:r>
      <w:r>
        <w:rPr>
          <w:rStyle w:val="Hyperlink"/>
          <w:lang w:val="bg-BG"/>
        </w:rPr>
        <w:t xml:space="preserve"> </w:t>
      </w:r>
      <w:r>
        <w:rPr>
          <w:lang w:val="bg-BG"/>
        </w:rPr>
        <w:t>Комисията сезира Съда с иск срещу Полша за нетранспониране на Директивата относно отпадъците от електрическо и електронно оборудване в нейната цялост</w:t>
      </w:r>
      <w:r>
        <w:rPr>
          <w:lang w:val="ru-RU"/>
        </w:rPr>
        <w:t>.</w:t>
      </w:r>
      <w:r>
        <w:rPr>
          <w:lang w:val="bg-BG"/>
        </w:rPr>
        <w:t xml:space="preserve"> Тя предложи дневна имуществена санкция в размер на 71 610 </w:t>
      </w:r>
      <w:r>
        <w:rPr>
          <w:lang w:val="en-US"/>
        </w:rPr>
        <w:t>EUR</w:t>
      </w:r>
      <w:r>
        <w:rPr>
          <w:lang w:val="bg-BG"/>
        </w:rPr>
        <w:t xml:space="preserve">; решение по дело Комисия/Полша, </w:t>
      </w:r>
      <w:hyperlink r:id="rId122" w:history="1">
        <w:r>
          <w:rPr>
            <w:rStyle w:val="Hyperlink"/>
          </w:rPr>
          <w:t>C</w:t>
        </w:r>
        <w:r>
          <w:rPr>
            <w:rStyle w:val="Hyperlink"/>
            <w:lang w:val="bg-BG"/>
          </w:rPr>
          <w:t>-683/15</w:t>
        </w:r>
      </w:hyperlink>
      <w:r>
        <w:rPr>
          <w:rStyle w:val="Hyperlink"/>
          <w:lang w:val="bg-BG"/>
        </w:rPr>
        <w:t xml:space="preserve">. </w:t>
      </w:r>
      <w:r>
        <w:rPr>
          <w:lang w:val="bg-BG"/>
        </w:rPr>
        <w:t>Комисията сезира Съда с иск срещу Полша за нетранспониране на Директивата за създаване на рамка за възстановяване и преструктуриране на кредитни институции и инвестиционни посредници в нейната цялост. Тя предложи дневна имуществена санкция в размер на 51 456</w:t>
      </w:r>
      <w:r>
        <w:t> EUR</w:t>
      </w:r>
      <w:r>
        <w:rPr>
          <w:lang w:val="bg-BG"/>
        </w:rPr>
        <w:t>.</w:t>
      </w:r>
    </w:p>
  </w:footnote>
  <w:footnote w:id="115">
    <w:p w:rsidR="006F5B6C" w:rsidRDefault="00284F4D">
      <w:pPr>
        <w:pStyle w:val="FootnoteText"/>
        <w:rPr>
          <w:lang w:val="bg-BG"/>
        </w:rPr>
      </w:pPr>
      <w:r>
        <w:rPr>
          <w:rStyle w:val="FootnoteReference"/>
        </w:rPr>
        <w:footnoteRef/>
      </w:r>
      <w:r>
        <w:rPr>
          <w:lang w:val="bg-BG"/>
        </w:rPr>
        <w:tab/>
        <w:t xml:space="preserve">Решение по дело Комисия/Германия, </w:t>
      </w:r>
      <w:hyperlink r:id="rId123" w:history="1">
        <w:r>
          <w:rPr>
            <w:rStyle w:val="Hyperlink"/>
          </w:rPr>
          <w:t>C</w:t>
        </w:r>
        <w:r>
          <w:rPr>
            <w:rStyle w:val="Hyperlink"/>
            <w:lang w:val="bg-BG"/>
          </w:rPr>
          <w:t>–546/15</w:t>
        </w:r>
      </w:hyperlink>
      <w:r>
        <w:rPr>
          <w:lang w:val="bg-BG"/>
        </w:rPr>
        <w:t>. Комисията сезира Съда с иск срещу Германия за нетранспониране на Директивата относно отпадъците от електрическо и електронно оборудване в нейната цялост. Тя предложи дневна имуществена санкция в размер на 210 078 </w:t>
      </w:r>
      <w:r>
        <w:rPr>
          <w:lang w:val="en-US"/>
        </w:rPr>
        <w:t>EUR</w:t>
      </w:r>
      <w:r>
        <w:rPr>
          <w:lang w:val="bg-BG"/>
        </w:rPr>
        <w:t>.</w:t>
      </w:r>
    </w:p>
  </w:footnote>
  <w:footnote w:id="116">
    <w:p w:rsidR="006F5B6C" w:rsidRDefault="00284F4D">
      <w:pPr>
        <w:pStyle w:val="FootnoteText"/>
        <w:rPr>
          <w:lang w:val="bg-BG"/>
        </w:rPr>
      </w:pPr>
      <w:r>
        <w:rPr>
          <w:rStyle w:val="FootnoteReference"/>
        </w:rPr>
        <w:footnoteRef/>
      </w:r>
      <w:r>
        <w:rPr>
          <w:lang w:val="bg-BG"/>
        </w:rPr>
        <w:tab/>
        <w:t xml:space="preserve">Решение по дело Комисия/Гърция, </w:t>
      </w:r>
      <w:hyperlink r:id="rId124" w:history="1">
        <w:r>
          <w:rPr>
            <w:rStyle w:val="Hyperlink"/>
          </w:rPr>
          <w:t>C</w:t>
        </w:r>
        <w:r>
          <w:rPr>
            <w:rStyle w:val="Hyperlink"/>
            <w:lang w:val="bg-BG"/>
          </w:rPr>
          <w:t>-540/15</w:t>
        </w:r>
      </w:hyperlink>
      <w:r>
        <w:rPr>
          <w:lang w:val="bg-BG"/>
        </w:rPr>
        <w:t>. Комисията сезира Съда с иск срещу Гърция за нетранспониране на Директивата за енергийната ефективност в нейната цялост. Тя предложи дневна имуществена санкция в размер на 29 145,6 </w:t>
      </w:r>
      <w:r>
        <w:rPr>
          <w:lang w:val="en-US"/>
        </w:rPr>
        <w:t>EUR</w:t>
      </w:r>
      <w:r>
        <w:rPr>
          <w:lang w:val="bg-BG"/>
        </w:rPr>
        <w:t>.</w:t>
      </w:r>
    </w:p>
  </w:footnote>
  <w:footnote w:id="117">
    <w:p w:rsidR="006F5B6C" w:rsidRDefault="00284F4D">
      <w:pPr>
        <w:pStyle w:val="FootnoteText"/>
        <w:rPr>
          <w:lang w:val="bg-BG"/>
        </w:rPr>
      </w:pPr>
      <w:r>
        <w:rPr>
          <w:rStyle w:val="FootnoteReference"/>
        </w:rPr>
        <w:footnoteRef/>
      </w:r>
      <w:r>
        <w:rPr>
          <w:lang w:val="bg-BG"/>
        </w:rPr>
        <w:tab/>
        <w:t xml:space="preserve">Решение по дело Комисия/Люксембург, </w:t>
      </w:r>
      <w:hyperlink r:id="rId125" w:history="1">
        <w:r>
          <w:rPr>
            <w:rStyle w:val="Hyperlink"/>
          </w:rPr>
          <w:t>C</w:t>
        </w:r>
        <w:r>
          <w:rPr>
            <w:rStyle w:val="Hyperlink"/>
            <w:lang w:val="bg-BG"/>
          </w:rPr>
          <w:t>-684/15</w:t>
        </w:r>
      </w:hyperlink>
      <w:r>
        <w:rPr>
          <w:lang w:val="bg-BG"/>
        </w:rPr>
        <w:t>. Комисията сезира Съда с иск срещу Люксембург за нетранспониране на Директивата за създаване на рамка за възстановяване и преструктуриране на кредитни институции и инвестиционни посредници в нейната цялост. Тя предложи дневна имуществена санкция в размер на 6 700 </w:t>
      </w:r>
      <w:r>
        <w:rPr>
          <w:lang w:val="en-US"/>
        </w:rPr>
        <w:t>EUR</w:t>
      </w:r>
      <w:r>
        <w:rPr>
          <w:lang w:val="bg-BG"/>
        </w:rPr>
        <w:t>.</w:t>
      </w:r>
    </w:p>
  </w:footnote>
  <w:footnote w:id="118">
    <w:p w:rsidR="006F5B6C" w:rsidRDefault="00284F4D">
      <w:pPr>
        <w:pStyle w:val="FootnoteText"/>
        <w:rPr>
          <w:lang w:val="bg-BG"/>
        </w:rPr>
      </w:pPr>
      <w:r>
        <w:rPr>
          <w:rStyle w:val="FootnoteReference"/>
        </w:rPr>
        <w:footnoteRef/>
      </w:r>
      <w:r>
        <w:rPr>
          <w:lang w:val="bg-BG"/>
        </w:rPr>
        <w:tab/>
        <w:t xml:space="preserve">Решение по дело Комисия/Словения, </w:t>
      </w:r>
      <w:hyperlink r:id="rId126" w:history="1">
        <w:r>
          <w:rPr>
            <w:rStyle w:val="Hyperlink"/>
          </w:rPr>
          <w:t>C</w:t>
        </w:r>
        <w:r>
          <w:rPr>
            <w:rStyle w:val="Hyperlink"/>
            <w:lang w:val="bg-BG"/>
          </w:rPr>
          <w:t>-357/15</w:t>
        </w:r>
      </w:hyperlink>
      <w:r>
        <w:rPr>
          <w:lang w:val="bg-BG"/>
        </w:rPr>
        <w:t>. Комисията сезира Съда с иск срещу Словения за нетранспониране на Директивата относно отпадъците от електрическо и електронно оборудване в нейната цялост. Тя предложи дневна имуществена санкция в размер на 8 408,4 </w:t>
      </w:r>
      <w:r>
        <w:rPr>
          <w:lang w:val="en-US"/>
        </w:rPr>
        <w:t>EUR</w:t>
      </w:r>
      <w:r>
        <w:rPr>
          <w:lang w:val="bg-BG"/>
        </w:rPr>
        <w:t>.</w:t>
      </w:r>
    </w:p>
  </w:footnote>
  <w:footnote w:id="119">
    <w:p w:rsidR="006F5B6C" w:rsidRDefault="00284F4D">
      <w:pPr>
        <w:pStyle w:val="FootnoteText"/>
        <w:rPr>
          <w:lang w:val="bg-BG"/>
        </w:rPr>
      </w:pPr>
      <w:r>
        <w:rPr>
          <w:rStyle w:val="FootnoteReference"/>
        </w:rPr>
        <w:footnoteRef/>
      </w:r>
      <w:r>
        <w:rPr>
          <w:lang w:val="bg-BG"/>
        </w:rPr>
        <w:tab/>
        <w:t xml:space="preserve">Директива </w:t>
      </w:r>
      <w:hyperlink r:id="rId127" w:history="1">
        <w:r>
          <w:rPr>
            <w:rStyle w:val="Hyperlink"/>
            <w:lang w:val="bg-BG"/>
          </w:rPr>
          <w:t>2012/19/ЕС</w:t>
        </w:r>
      </w:hyperlink>
      <w:r>
        <w:rPr>
          <w:lang w:val="bg-BG"/>
        </w:rPr>
        <w:t>.</w:t>
      </w:r>
    </w:p>
  </w:footnote>
  <w:footnote w:id="120">
    <w:p w:rsidR="006F5B6C" w:rsidRDefault="00284F4D">
      <w:pPr>
        <w:pStyle w:val="FootnoteText"/>
        <w:rPr>
          <w:lang w:val="bg-BG"/>
        </w:rPr>
      </w:pPr>
      <w:r>
        <w:rPr>
          <w:rStyle w:val="FootnoteReference"/>
        </w:rPr>
        <w:footnoteRef/>
      </w:r>
      <w:r>
        <w:rPr>
          <w:lang w:val="bg-BG"/>
        </w:rPr>
        <w:tab/>
        <w:t xml:space="preserve">Решение по дело Комисия/Полша, </w:t>
      </w:r>
      <w:hyperlink r:id="rId128" w:history="1">
        <w:r>
          <w:rPr>
            <w:rStyle w:val="Hyperlink"/>
          </w:rPr>
          <w:t>C</w:t>
        </w:r>
        <w:r>
          <w:rPr>
            <w:rStyle w:val="Hyperlink"/>
            <w:lang w:val="bg-BG"/>
          </w:rPr>
          <w:t>-320/13</w:t>
        </w:r>
      </w:hyperlink>
      <w:r>
        <w:rPr>
          <w:lang w:val="bg-BG"/>
        </w:rPr>
        <w:t xml:space="preserve">, </w:t>
      </w:r>
      <w:hyperlink r:id="rId129" w:history="1">
        <w:r>
          <w:rPr>
            <w:rStyle w:val="Hyperlink"/>
          </w:rPr>
          <w:t>IP</w:t>
        </w:r>
        <w:r>
          <w:rPr>
            <w:rStyle w:val="Hyperlink"/>
            <w:lang w:val="bg-BG"/>
          </w:rPr>
          <w:t>/15/4499</w:t>
        </w:r>
      </w:hyperlink>
      <w:r>
        <w:rPr>
          <w:lang w:val="bg-BG"/>
        </w:rPr>
        <w:t>.</w:t>
      </w:r>
    </w:p>
  </w:footnote>
  <w:footnote w:id="121">
    <w:p w:rsidR="006F5B6C" w:rsidRDefault="00284F4D">
      <w:pPr>
        <w:pStyle w:val="FootnoteText"/>
      </w:pPr>
      <w:r>
        <w:rPr>
          <w:rStyle w:val="FootnoteReference"/>
        </w:rPr>
        <w:footnoteRef/>
      </w:r>
      <w:r>
        <w:tab/>
      </w:r>
      <w:hyperlink r:id="rId130" w:history="1">
        <w:r>
          <w:rPr>
            <w:rStyle w:val="Hyperlink"/>
          </w:rPr>
          <w:t>ОВ C12, 15.1.2011 г., стр.1—5</w:t>
        </w:r>
      </w:hyperlink>
      <w:r>
        <w:t>.</w:t>
      </w:r>
    </w:p>
  </w:footnote>
  <w:footnote w:id="122">
    <w:p w:rsidR="006F5B6C" w:rsidRDefault="00284F4D">
      <w:pPr>
        <w:pStyle w:val="FootnoteText"/>
      </w:pPr>
      <w:r>
        <w:rPr>
          <w:rStyle w:val="FootnoteReference"/>
        </w:rPr>
        <w:footnoteRef/>
      </w:r>
      <w:r>
        <w:tab/>
      </w:r>
      <w:hyperlink r:id="rId131" w:history="1">
        <w:r>
          <w:rPr>
            <w:rStyle w:val="Hyperlink"/>
          </w:rPr>
          <w:t>IP/15/4499</w:t>
        </w:r>
      </w:hyperlink>
      <w:r>
        <w:rPr>
          <w:rStyle w:val="Hyperlink"/>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B6C" w:rsidRDefault="006F5B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B6C" w:rsidRDefault="006F5B6C">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B6C" w:rsidRDefault="006F5B6C">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B6C" w:rsidRDefault="006F5B6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B6C" w:rsidRDefault="00284F4D">
    <w:pPr>
      <w:pStyle w:val="Koptekstmetarcering"/>
      <w:tabs>
        <w:tab w:val="left" w:pos="5032"/>
      </w:tabs>
      <w:jc w:val="center"/>
      <w:rPr>
        <w:lang w:val="en-GB"/>
      </w:rPr>
    </w:pPr>
    <w:r>
      <w:rPr>
        <w:lang w:val="en-GB"/>
      </w:rPr>
      <w:t>Table of contents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B6C" w:rsidRDefault="009349CD">
    <w:pPr>
      <w:tabs>
        <w:tab w:val="center" w:pos="4153"/>
        <w:tab w:val="left" w:pos="7513"/>
        <w:tab w:val="right" w:pos="8306"/>
      </w:tabs>
      <w:spacing w:after="0"/>
      <w:ind w:left="4153" w:hanging="4153"/>
      <w:jc w:val="center"/>
      <w:rPr>
        <w:rFonts w:ascii="Arial" w:hAnsi="Arial"/>
        <w:sz w:val="22"/>
      </w:rPr>
    </w:pPr>
    <w:r>
      <w:rPr>
        <w:rFonts w:ascii="Arial" w:hAnsi="Arial"/>
        <w:noProof/>
        <w:sz w:val="22"/>
        <w:lang w:val="en-US"/>
      </w:rPr>
      <w:pict>
        <v:rect id="Rectangle 13" o:spid="_x0000_s2057" style="position:absolute;left:0;text-align:left;margin-left:379.1pt;margin-top:23.65pt;width:144.5pt;height:17.25pt;z-index:25165824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" fillcolor="#004194" stroked="f" strokeweight="2pt">
          <v:path arrowok="t"/>
        </v:rect>
      </w:pict>
    </w:r>
    <w:r>
      <w:rPr>
        <w:rFonts w:ascii="Arial" w:hAnsi="Arial"/>
        <w:noProof/>
        <w:sz w:val="22"/>
        <w:lang w:val="en-US"/>
      </w:rPr>
      <w:pict>
        <v:rect id="Rectangle 14" o:spid="_x0000_s2056" style="position:absolute;left:0;text-align:left;margin-left:-70.9pt;margin-top:23.65pt;width:142pt;height:17.25pt;z-index:25165824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" fillcolor="#004194" stroked="f" strokeweight="2pt">
          <v:path arrowok="t"/>
        </v:rect>
      </w:pict>
    </w:r>
  </w:p>
  <w:p w:rsidR="006F5B6C" w:rsidRDefault="009349CD">
    <w:pPr>
      <w:pStyle w:val="Header"/>
    </w:pPr>
    <w:r>
      <w:rPr>
        <w:rFonts w:ascii="Arial" w:hAnsi="Arial"/>
        <w:noProof/>
        <w:sz w:val="22"/>
        <w:lang w:val="en-US"/>
      </w:rPr>
      <w:pict>
        <v:shapetype id="_x0000_t202" coordsize="21600,21600" o:spt="202" path="m,l,21600r21600,l21600,xe">
          <v:stroke joinstyle="miter"/>
          <v:path gradientshapeok="t" o:connecttype="rect"/>
        </v:shapetype>
        <v:shape id="Text Box 2" o:spid="_x0000_s2055" type="#_x0000_t202" style="position:absolute;left:0;text-align:left;margin-left:11.1pt;margin-top:7pt;width:431pt;height:50.6pt;z-index:25165824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" filled="f" stroked="f">
          <v:textbox style="mso-next-textbox:#Text Box 2">
            <w:txbxContent>
              <w:p w:rsidR="006F5B6C" w:rsidRDefault="00284F4D">
                <w:pPr>
                  <w:spacing w:after="0"/>
                  <w:jc w:val="center"/>
                  <w:rPr>
                    <w:rFonts w:cs="Arial"/>
                    <w:b/>
                    <w:color w:val="004194"/>
                    <w:szCs w:val="22"/>
                    <w:lang w:val="bg-BG"/>
                  </w:rPr>
                </w:pPr>
                <w:r>
                  <w:rPr>
                    <w:rFonts w:cs="Arial"/>
                    <w:b/>
                    <w:color w:val="004194"/>
                    <w:szCs w:val="22"/>
                    <w:lang w:val="bg-BG"/>
                  </w:rPr>
                  <w:t xml:space="preserve">Мониторинг върху прилагането на правото на </w:t>
                </w:r>
              </w:p>
              <w:p w:rsidR="006F5B6C" w:rsidRDefault="00284F4D">
                <w:pPr>
                  <w:spacing w:after="0"/>
                  <w:jc w:val="center"/>
                  <w:rPr>
                    <w:rFonts w:cs="Arial"/>
                    <w:b/>
                    <w:color w:val="004194"/>
                    <w:szCs w:val="22"/>
                    <w:lang w:val="bg-BG"/>
                  </w:rPr>
                </w:pPr>
                <w:r>
                  <w:rPr>
                    <w:rFonts w:cs="Arial"/>
                    <w:b/>
                    <w:color w:val="004194"/>
                    <w:szCs w:val="22"/>
                    <w:lang w:val="bg-BG"/>
                  </w:rPr>
                  <w:t>Европейския съюз</w:t>
                </w:r>
              </w:p>
              <w:p w:rsidR="006F5B6C" w:rsidRDefault="00284F4D">
                <w:pPr>
                  <w:spacing w:after="0"/>
                  <w:jc w:val="center"/>
                  <w:rPr>
                    <w:rFonts w:cs="Arial"/>
                    <w:b/>
                    <w:color w:val="004194"/>
                    <w:szCs w:val="22"/>
                    <w:lang w:val="bg-BG"/>
                  </w:rPr>
                </w:pPr>
                <w:r>
                  <w:rPr>
                    <w:rFonts w:cs="Arial"/>
                    <w:b/>
                    <w:color w:val="004194"/>
                    <w:szCs w:val="22"/>
                    <w:lang w:val="bg-BG"/>
                  </w:rPr>
                  <w:t>Годишен доклад за 2015 г.</w:t>
                </w:r>
              </w:p>
            </w:txbxContent>
          </v:textbox>
        </v:shape>
      </w:pict>
    </w:r>
  </w:p>
  <w:p w:rsidR="006F5B6C" w:rsidRDefault="006F5B6C">
    <w:pPr>
      <w:pStyle w:val="Header"/>
      <w:tabs>
        <w:tab w:val="left" w:pos="7513"/>
      </w:tabs>
      <w:spacing w:after="0"/>
      <w:ind w:left="4153" w:hanging="4153"/>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B6C" w:rsidRDefault="006F5B6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B6C" w:rsidRDefault="009349CD">
    <w:pPr>
      <w:tabs>
        <w:tab w:val="center" w:pos="4153"/>
        <w:tab w:val="left" w:pos="7513"/>
        <w:tab w:val="right" w:pos="8306"/>
      </w:tabs>
      <w:spacing w:after="0"/>
      <w:ind w:left="4153" w:hanging="4153"/>
      <w:jc w:val="center"/>
      <w:rPr>
        <w:rFonts w:ascii="Arial" w:hAnsi="Arial"/>
        <w:sz w:val="22"/>
      </w:rPr>
    </w:pPr>
    <w:r>
      <w:rPr>
        <w:rFonts w:ascii="Arial" w:hAnsi="Arial"/>
        <w:noProof/>
        <w:sz w:val="22"/>
        <w:lang w:val="en-US"/>
      </w:rPr>
      <w:pict>
        <v:rect id="Rectangle 63" o:spid="_x0000_s2054" style="position:absolute;left:0;text-align:left;margin-left:379.1pt;margin-top:23.65pt;width:144.5pt;height:17.25pt;z-index:251658245;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" fillcolor="#004194" stroked="f" strokeweight="2pt">
          <v:path arrowok="t"/>
        </v:rect>
      </w:pict>
    </w:r>
    <w:r>
      <w:rPr>
        <w:rFonts w:ascii="Arial" w:hAnsi="Arial"/>
        <w:noProof/>
        <w:sz w:val="22"/>
        <w:lang w:val="en-US"/>
      </w:rPr>
      <w:pict>
        <v:rect id="Rectangle 288" o:spid="_x0000_s2053" style="position:absolute;left:0;text-align:left;margin-left:-70.9pt;margin-top:23.65pt;width:142pt;height:17.25pt;z-index:2516582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" fillcolor="#004194" stroked="f" strokeweight="2pt">
          <v:path arrowok="t"/>
        </v:rect>
      </w:pict>
    </w:r>
  </w:p>
  <w:p w:rsidR="006F5B6C" w:rsidRDefault="009349CD">
    <w:pPr>
      <w:pStyle w:val="Header"/>
    </w:pPr>
    <w:r>
      <w:rPr>
        <w:rFonts w:ascii="Arial" w:hAnsi="Arial"/>
        <w:noProof/>
        <w:sz w:val="22"/>
        <w:lang w:val="en-US"/>
      </w:rPr>
      <w:pict>
        <v:shapetype id="_x0000_t202" coordsize="21600,21600" o:spt="202" path="m,l,21600r21600,l21600,xe">
          <v:stroke joinstyle="miter"/>
          <v:path gradientshapeok="t" o:connecttype="rect"/>
        </v:shapetype>
        <v:shape id="_x0000_s2052" type="#_x0000_t202" style="position:absolute;left:0;text-align:left;margin-left:11.1pt;margin-top:3.15pt;width:431pt;height:49.6pt;z-index:25165824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" filled="f" stroked="f">
          <v:textbox>
            <w:txbxContent>
              <w:p w:rsidR="006F5B6C" w:rsidRDefault="00284F4D">
                <w:pPr>
                  <w:spacing w:after="0"/>
                  <w:jc w:val="center"/>
                  <w:rPr>
                    <w:rFonts w:cs="Arial"/>
                    <w:b/>
                    <w:color w:val="004194"/>
                    <w:szCs w:val="22"/>
                    <w:lang w:val="bg-BG"/>
                  </w:rPr>
                </w:pPr>
                <w:r>
                  <w:rPr>
                    <w:rFonts w:cs="Arial"/>
                    <w:b/>
                    <w:color w:val="004194"/>
                    <w:szCs w:val="22"/>
                    <w:lang w:val="bg-BG"/>
                  </w:rPr>
                  <w:t xml:space="preserve">Мониторинг върху прилагането на правото на </w:t>
                </w:r>
              </w:p>
              <w:p w:rsidR="006F5B6C" w:rsidRDefault="00284F4D">
                <w:pPr>
                  <w:spacing w:after="0"/>
                  <w:jc w:val="center"/>
                  <w:rPr>
                    <w:rFonts w:cs="Arial"/>
                    <w:b/>
                    <w:color w:val="004194"/>
                    <w:szCs w:val="22"/>
                    <w:lang w:val="bg-BG"/>
                  </w:rPr>
                </w:pPr>
                <w:r>
                  <w:rPr>
                    <w:rFonts w:cs="Arial"/>
                    <w:b/>
                    <w:color w:val="004194"/>
                    <w:szCs w:val="22"/>
                    <w:lang w:val="bg-BG"/>
                  </w:rPr>
                  <w:t>Европейския съюз</w:t>
                </w:r>
              </w:p>
              <w:p w:rsidR="006F5B6C" w:rsidRDefault="00284F4D">
                <w:pPr>
                  <w:spacing w:after="0"/>
                  <w:jc w:val="center"/>
                  <w:rPr>
                    <w:rFonts w:cs="Arial"/>
                    <w:b/>
                    <w:color w:val="004194"/>
                    <w:szCs w:val="22"/>
                    <w:lang w:val="bg-BG"/>
                  </w:rPr>
                </w:pPr>
                <w:r>
                  <w:rPr>
                    <w:rFonts w:cs="Arial"/>
                    <w:b/>
                    <w:color w:val="004194"/>
                    <w:szCs w:val="22"/>
                    <w:lang w:val="bg-BG"/>
                  </w:rPr>
                  <w:t>Годишен доклад за 2015 г.</w:t>
                </w:r>
              </w:p>
              <w:p w:rsidR="006F5B6C" w:rsidRDefault="006F5B6C">
                <w:pPr>
                  <w:rPr>
                    <w:szCs w:val="22"/>
                    <w:lang w:val="bg-BG"/>
                  </w:rPr>
                </w:pPr>
              </w:p>
            </w:txbxContent>
          </v:textbox>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B6C" w:rsidRDefault="009349CD">
    <w:pPr>
      <w:tabs>
        <w:tab w:val="center" w:pos="4153"/>
        <w:tab w:val="left" w:pos="7513"/>
        <w:tab w:val="right" w:pos="8306"/>
      </w:tabs>
      <w:spacing w:after="0"/>
      <w:ind w:left="4153" w:hanging="4153"/>
      <w:jc w:val="center"/>
      <w:rPr>
        <w:rFonts w:ascii="Arial" w:hAnsi="Arial"/>
        <w:sz w:val="22"/>
      </w:rPr>
    </w:pPr>
    <w:r>
      <w:rPr>
        <w:rFonts w:ascii="Arial" w:hAnsi="Arial"/>
        <w:noProof/>
        <w:sz w:val="22"/>
        <w:lang w:val="en-US"/>
      </w:rPr>
      <w:pict>
        <v:rect id="Rectangle 17" o:spid="_x0000_s2051" style="position:absolute;left:0;text-align:left;margin-left:379.1pt;margin-top:23.65pt;width:144.5pt;height:17.25pt;z-index:25165824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" fillcolor="#004194" stroked="f" strokeweight="2pt">
          <v:path arrowok="t"/>
        </v:rect>
      </w:pict>
    </w:r>
    <w:r>
      <w:rPr>
        <w:rFonts w:ascii="Arial" w:hAnsi="Arial"/>
        <w:noProof/>
        <w:sz w:val="22"/>
        <w:lang w:val="en-US"/>
      </w:rPr>
      <w:pict>
        <v:rect id="Rectangle 27" o:spid="_x0000_s2050" style="position:absolute;left:0;text-align:left;margin-left:-70.9pt;margin-top:23.65pt;width:142pt;height:17.25pt;z-index:25165824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" fillcolor="#004194" stroked="f" strokeweight="2pt">
          <v:path arrowok="t"/>
        </v:rect>
      </w:pict>
    </w:r>
  </w:p>
  <w:p w:rsidR="006F5B6C" w:rsidRDefault="009349CD">
    <w:pPr>
      <w:pStyle w:val="Header"/>
    </w:pPr>
    <w:r>
      <w:rPr>
        <w:rFonts w:ascii="Arial" w:hAnsi="Arial"/>
        <w:noProof/>
        <w:sz w:val="22"/>
        <w:lang w:val="en-US"/>
      </w:rPr>
      <w:pict>
        <v:shapetype id="_x0000_t202" coordsize="21600,21600" o:spt="202" path="m,l,21600r21600,l21600,xe">
          <v:stroke joinstyle="miter"/>
          <v:path gradientshapeok="t" o:connecttype="rect"/>
        </v:shapetype>
        <v:shape id="_x0000_s2049" type="#_x0000_t202" style="position:absolute;left:0;text-align:left;margin-left:11.1pt;margin-top:6.55pt;width:431pt;height:48.9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" filled="f" stroked="f">
          <v:textbox>
            <w:txbxContent>
              <w:p w:rsidR="006F5B6C" w:rsidRDefault="00284F4D">
                <w:pPr>
                  <w:spacing w:after="0"/>
                  <w:jc w:val="center"/>
                  <w:rPr>
                    <w:rFonts w:cs="Arial"/>
                    <w:b/>
                    <w:color w:val="004194"/>
                    <w:szCs w:val="22"/>
                    <w:lang w:val="bg-BG"/>
                  </w:rPr>
                </w:pPr>
                <w:r>
                  <w:rPr>
                    <w:rFonts w:cs="Arial"/>
                    <w:b/>
                    <w:color w:val="004194"/>
                    <w:szCs w:val="22"/>
                    <w:lang w:val="bg-BG"/>
                  </w:rPr>
                  <w:t xml:space="preserve">Мониторинг върху прилагането на правото на </w:t>
                </w:r>
              </w:p>
              <w:p w:rsidR="006F5B6C" w:rsidRDefault="00284F4D">
                <w:pPr>
                  <w:spacing w:after="0"/>
                  <w:jc w:val="center"/>
                  <w:rPr>
                    <w:rFonts w:cs="Arial"/>
                    <w:b/>
                    <w:color w:val="004194"/>
                    <w:szCs w:val="22"/>
                    <w:lang w:val="bg-BG"/>
                  </w:rPr>
                </w:pPr>
                <w:r>
                  <w:rPr>
                    <w:rFonts w:cs="Arial"/>
                    <w:b/>
                    <w:color w:val="004194"/>
                    <w:szCs w:val="22"/>
                    <w:lang w:val="bg-BG"/>
                  </w:rPr>
                  <w:t>Европейския съюз</w:t>
                </w:r>
              </w:p>
              <w:p w:rsidR="006F5B6C" w:rsidRDefault="00284F4D">
                <w:pPr>
                  <w:spacing w:after="0"/>
                  <w:jc w:val="center"/>
                  <w:rPr>
                    <w:rFonts w:cs="Arial"/>
                    <w:b/>
                    <w:color w:val="004194"/>
                    <w:szCs w:val="22"/>
                    <w:lang w:val="bg-BG"/>
                  </w:rPr>
                </w:pPr>
                <w:r>
                  <w:rPr>
                    <w:rFonts w:cs="Arial"/>
                    <w:b/>
                    <w:color w:val="004194"/>
                    <w:szCs w:val="22"/>
                    <w:lang w:val="bg-BG"/>
                  </w:rPr>
                  <w:t>Годишен доклад за 2015 г.</w:t>
                </w:r>
              </w:p>
              <w:p w:rsidR="006F5B6C" w:rsidRDefault="006F5B6C">
                <w:pPr>
                  <w:rPr>
                    <w:szCs w:val="22"/>
                    <w:lang w:val="bg-BG"/>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557"/>
        </w:tabs>
        <w:ind w:left="1557"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3480C52"/>
    <w:multiLevelType w:val="hybridMultilevel"/>
    <w:tmpl w:val="A1D60A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48426E"/>
    <w:multiLevelType w:val="hybridMultilevel"/>
    <w:tmpl w:val="F76EC6AC"/>
    <w:lvl w:ilvl="0" w:tplc="1DBAE22A">
      <w:start w:val="1"/>
      <w:numFmt w:val="bullet"/>
      <w:pStyle w:val="Bulletpoint1"/>
      <w:lvlText w:val=""/>
      <w:lvlJc w:val="left"/>
      <w:pPr>
        <w:ind w:left="717" w:hanging="360"/>
      </w:pPr>
      <w:rPr>
        <w:rFonts w:ascii="Symbol" w:hAnsi="Symbol" w:hint="default"/>
        <w:color w:val="00AE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C951FA"/>
    <w:multiLevelType w:val="hybridMultilevel"/>
    <w:tmpl w:val="5964D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8D7BEA"/>
    <w:multiLevelType w:val="hybridMultilevel"/>
    <w:tmpl w:val="D3808FF6"/>
    <w:lvl w:ilvl="0" w:tplc="53649850">
      <w:start w:val="1"/>
      <w:numFmt w:val="lowerLetter"/>
      <w:pStyle w:val="Lijstje"/>
      <w:lvlText w:val="%1)"/>
      <w:lvlJc w:val="left"/>
      <w:pPr>
        <w:ind w:left="1419" w:hanging="705"/>
      </w:pPr>
      <w:rPr>
        <w:rFonts w:hint="default"/>
      </w:rPr>
    </w:lvl>
    <w:lvl w:ilvl="1" w:tplc="08130019" w:tentative="1">
      <w:start w:val="1"/>
      <w:numFmt w:val="lowerLetter"/>
      <w:lvlText w:val="%2."/>
      <w:lvlJc w:val="left"/>
      <w:pPr>
        <w:ind w:left="1794" w:hanging="360"/>
      </w:pPr>
    </w:lvl>
    <w:lvl w:ilvl="2" w:tplc="0813001B" w:tentative="1">
      <w:start w:val="1"/>
      <w:numFmt w:val="lowerRoman"/>
      <w:lvlText w:val="%3."/>
      <w:lvlJc w:val="right"/>
      <w:pPr>
        <w:ind w:left="2514" w:hanging="180"/>
      </w:pPr>
    </w:lvl>
    <w:lvl w:ilvl="3" w:tplc="0813000F" w:tentative="1">
      <w:start w:val="1"/>
      <w:numFmt w:val="decimal"/>
      <w:lvlText w:val="%4."/>
      <w:lvlJc w:val="left"/>
      <w:pPr>
        <w:ind w:left="3234" w:hanging="360"/>
      </w:pPr>
    </w:lvl>
    <w:lvl w:ilvl="4" w:tplc="08130019" w:tentative="1">
      <w:start w:val="1"/>
      <w:numFmt w:val="lowerLetter"/>
      <w:lvlText w:val="%5."/>
      <w:lvlJc w:val="left"/>
      <w:pPr>
        <w:ind w:left="3954" w:hanging="360"/>
      </w:pPr>
    </w:lvl>
    <w:lvl w:ilvl="5" w:tplc="0813001B" w:tentative="1">
      <w:start w:val="1"/>
      <w:numFmt w:val="lowerRoman"/>
      <w:lvlText w:val="%6."/>
      <w:lvlJc w:val="right"/>
      <w:pPr>
        <w:ind w:left="4674" w:hanging="180"/>
      </w:pPr>
    </w:lvl>
    <w:lvl w:ilvl="6" w:tplc="0813000F" w:tentative="1">
      <w:start w:val="1"/>
      <w:numFmt w:val="decimal"/>
      <w:lvlText w:val="%7."/>
      <w:lvlJc w:val="left"/>
      <w:pPr>
        <w:ind w:left="5394" w:hanging="360"/>
      </w:pPr>
    </w:lvl>
    <w:lvl w:ilvl="7" w:tplc="08130019" w:tentative="1">
      <w:start w:val="1"/>
      <w:numFmt w:val="lowerLetter"/>
      <w:lvlText w:val="%8."/>
      <w:lvlJc w:val="left"/>
      <w:pPr>
        <w:ind w:left="6114" w:hanging="360"/>
      </w:pPr>
    </w:lvl>
    <w:lvl w:ilvl="8" w:tplc="0813001B" w:tentative="1">
      <w:start w:val="1"/>
      <w:numFmt w:val="lowerRoman"/>
      <w:lvlText w:val="%9."/>
      <w:lvlJc w:val="right"/>
      <w:pPr>
        <w:ind w:left="6834" w:hanging="180"/>
      </w:pPr>
    </w:lvl>
  </w:abstractNum>
  <w:abstractNum w:abstractNumId="6">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052792A"/>
    <w:multiLevelType w:val="hybridMultilevel"/>
    <w:tmpl w:val="22EC28F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nsid w:val="32982591"/>
    <w:multiLevelType w:val="hybridMultilevel"/>
    <w:tmpl w:val="D99CF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5C11F0"/>
    <w:multiLevelType w:val="hybridMultilevel"/>
    <w:tmpl w:val="AA368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nsid w:val="3B9A423E"/>
    <w:multiLevelType w:val="hybridMultilevel"/>
    <w:tmpl w:val="06044A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0">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C616FFC"/>
    <w:multiLevelType w:val="hybridMultilevel"/>
    <w:tmpl w:val="B9BE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23">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4">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5">
    <w:nsid w:val="5EA36AE3"/>
    <w:multiLevelType w:val="hybridMultilevel"/>
    <w:tmpl w:val="C172E006"/>
    <w:lvl w:ilvl="0" w:tplc="BF86F04E">
      <w:start w:val="1"/>
      <w:numFmt w:val="bullet"/>
      <w:pStyle w:val="Lijstje2"/>
      <w:lvlText w:val=""/>
      <w:lvlJc w:val="left"/>
      <w:pPr>
        <w:ind w:left="2137" w:hanging="360"/>
      </w:pPr>
      <w:rPr>
        <w:rFonts w:ascii="Symbol" w:hAnsi="Symbol" w:hint="default"/>
      </w:rPr>
    </w:lvl>
    <w:lvl w:ilvl="1" w:tplc="EDDCC440">
      <w:start w:val="1"/>
      <w:numFmt w:val="bullet"/>
      <w:pStyle w:val="Lijstje3"/>
      <w:lvlText w:val="o"/>
      <w:lvlJc w:val="left"/>
      <w:pPr>
        <w:ind w:left="2857" w:hanging="360"/>
      </w:pPr>
      <w:rPr>
        <w:rFonts w:ascii="Courier New" w:hAnsi="Courier New" w:cs="Courier New" w:hint="default"/>
      </w:rPr>
    </w:lvl>
    <w:lvl w:ilvl="2" w:tplc="08130005">
      <w:start w:val="1"/>
      <w:numFmt w:val="bullet"/>
      <w:lvlText w:val=""/>
      <w:lvlJc w:val="left"/>
      <w:pPr>
        <w:ind w:left="3577" w:hanging="360"/>
      </w:pPr>
      <w:rPr>
        <w:rFonts w:ascii="Wingdings" w:hAnsi="Wingdings" w:hint="default"/>
      </w:rPr>
    </w:lvl>
    <w:lvl w:ilvl="3" w:tplc="08130001" w:tentative="1">
      <w:start w:val="1"/>
      <w:numFmt w:val="bullet"/>
      <w:lvlText w:val=""/>
      <w:lvlJc w:val="left"/>
      <w:pPr>
        <w:ind w:left="4297" w:hanging="360"/>
      </w:pPr>
      <w:rPr>
        <w:rFonts w:ascii="Symbol" w:hAnsi="Symbol" w:hint="default"/>
      </w:rPr>
    </w:lvl>
    <w:lvl w:ilvl="4" w:tplc="08130003" w:tentative="1">
      <w:start w:val="1"/>
      <w:numFmt w:val="bullet"/>
      <w:lvlText w:val="o"/>
      <w:lvlJc w:val="left"/>
      <w:pPr>
        <w:ind w:left="5017" w:hanging="360"/>
      </w:pPr>
      <w:rPr>
        <w:rFonts w:ascii="Courier New" w:hAnsi="Courier New" w:cs="Courier New" w:hint="default"/>
      </w:rPr>
    </w:lvl>
    <w:lvl w:ilvl="5" w:tplc="08130005" w:tentative="1">
      <w:start w:val="1"/>
      <w:numFmt w:val="bullet"/>
      <w:lvlText w:val=""/>
      <w:lvlJc w:val="left"/>
      <w:pPr>
        <w:ind w:left="5737" w:hanging="360"/>
      </w:pPr>
      <w:rPr>
        <w:rFonts w:ascii="Wingdings" w:hAnsi="Wingdings" w:hint="default"/>
      </w:rPr>
    </w:lvl>
    <w:lvl w:ilvl="6" w:tplc="08130001" w:tentative="1">
      <w:start w:val="1"/>
      <w:numFmt w:val="bullet"/>
      <w:lvlText w:val=""/>
      <w:lvlJc w:val="left"/>
      <w:pPr>
        <w:ind w:left="6457" w:hanging="360"/>
      </w:pPr>
      <w:rPr>
        <w:rFonts w:ascii="Symbol" w:hAnsi="Symbol" w:hint="default"/>
      </w:rPr>
    </w:lvl>
    <w:lvl w:ilvl="7" w:tplc="08130003" w:tentative="1">
      <w:start w:val="1"/>
      <w:numFmt w:val="bullet"/>
      <w:lvlText w:val="o"/>
      <w:lvlJc w:val="left"/>
      <w:pPr>
        <w:ind w:left="7177" w:hanging="360"/>
      </w:pPr>
      <w:rPr>
        <w:rFonts w:ascii="Courier New" w:hAnsi="Courier New" w:cs="Courier New" w:hint="default"/>
      </w:rPr>
    </w:lvl>
    <w:lvl w:ilvl="8" w:tplc="08130005" w:tentative="1">
      <w:start w:val="1"/>
      <w:numFmt w:val="bullet"/>
      <w:lvlText w:val=""/>
      <w:lvlJc w:val="left"/>
      <w:pPr>
        <w:ind w:left="7897" w:hanging="360"/>
      </w:pPr>
      <w:rPr>
        <w:rFonts w:ascii="Wingdings" w:hAnsi="Wingdings" w:hint="default"/>
      </w:rPr>
    </w:lvl>
  </w:abstractNum>
  <w:abstractNum w:abstractNumId="26">
    <w:nsid w:val="5F3253F2"/>
    <w:multiLevelType w:val="hybridMultilevel"/>
    <w:tmpl w:val="D0549D3E"/>
    <w:lvl w:ilvl="0" w:tplc="A9D24CDA">
      <w:start w:val="1"/>
      <w:numFmt w:val="upperRoman"/>
      <w:lvlText w:val="%1."/>
      <w:lvlJc w:val="right"/>
      <w:pPr>
        <w:ind w:left="360" w:hanging="360"/>
      </w:p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8">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3B8387B"/>
    <w:multiLevelType w:val="hybridMultilevel"/>
    <w:tmpl w:val="73E6A5A2"/>
    <w:lvl w:ilvl="0" w:tplc="E1147942">
      <w:start w:val="1"/>
      <w:numFmt w:val="upperRoman"/>
      <w:pStyle w:val="kop2"/>
      <w:lvlText w:val="%1."/>
      <w:lvlJc w:val="righ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4FC46B4"/>
    <w:multiLevelType w:val="hybridMultilevel"/>
    <w:tmpl w:val="691E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nsid w:val="7B9674C5"/>
    <w:multiLevelType w:val="multilevel"/>
    <w:tmpl w:val="C7FA39E2"/>
    <w:lvl w:ilvl="0">
      <w:start w:val="1"/>
      <w:numFmt w:val="decimal"/>
      <w:pStyle w:val="kop3"/>
      <w:lvlText w:val="%1."/>
      <w:lvlJc w:val="left"/>
      <w:pPr>
        <w:ind w:left="360" w:hanging="360"/>
      </w:pPr>
    </w:lvl>
    <w:lvl w:ilvl="1">
      <w:start w:val="1"/>
      <w:numFmt w:val="decimal"/>
      <w:pStyle w:val="Kop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C535FA7"/>
    <w:multiLevelType w:val="hybridMultilevel"/>
    <w:tmpl w:val="BBD2E118"/>
    <w:lvl w:ilvl="0" w:tplc="7A7A0B3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18"/>
  </w:num>
  <w:num w:numId="5">
    <w:abstractNumId w:val="9"/>
  </w:num>
  <w:num w:numId="6">
    <w:abstractNumId w:val="16"/>
  </w:num>
  <w:num w:numId="7">
    <w:abstractNumId w:val="28"/>
  </w:num>
  <w:num w:numId="8">
    <w:abstractNumId w:val="29"/>
  </w:num>
  <w:num w:numId="9">
    <w:abstractNumId w:val="14"/>
  </w:num>
  <w:num w:numId="10">
    <w:abstractNumId w:val="27"/>
  </w:num>
  <w:num w:numId="11">
    <w:abstractNumId w:val="24"/>
  </w:num>
  <w:num w:numId="12">
    <w:abstractNumId w:val="19"/>
  </w:num>
  <w:num w:numId="13">
    <w:abstractNumId w:val="23"/>
  </w:num>
  <w:num w:numId="14">
    <w:abstractNumId w:val="8"/>
  </w:num>
  <w:num w:numId="15">
    <w:abstractNumId w:val="15"/>
  </w:num>
  <w:num w:numId="16">
    <w:abstractNumId w:val="6"/>
  </w:num>
  <w:num w:numId="17">
    <w:abstractNumId w:val="10"/>
  </w:num>
  <w:num w:numId="18">
    <w:abstractNumId w:val="30"/>
  </w:num>
  <w:num w:numId="19">
    <w:abstractNumId w:val="20"/>
  </w:num>
  <w:num w:numId="20">
    <w:abstractNumId w:val="3"/>
  </w:num>
  <w:num w:numId="21">
    <w:abstractNumId w:val="22"/>
  </w:num>
  <w:num w:numId="22">
    <w:abstractNumId w:val="5"/>
  </w:num>
  <w:num w:numId="23">
    <w:abstractNumId w:val="25"/>
  </w:num>
  <w:num w:numId="24">
    <w:abstractNumId w:val="31"/>
  </w:num>
  <w:num w:numId="25">
    <w:abstractNumId w:val="33"/>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17"/>
  </w:num>
  <w:num w:numId="31">
    <w:abstractNumId w:val="11"/>
  </w:num>
  <w:num w:numId="32">
    <w:abstractNumId w:val="2"/>
  </w:num>
  <w:num w:numId="33">
    <w:abstractNumId w:val="4"/>
  </w:num>
  <w:num w:numId="34">
    <w:abstractNumId w:val="12"/>
  </w:num>
  <w:num w:numId="35">
    <w:abstractNumId w:val="13"/>
  </w:num>
  <w:num w:numId="36">
    <w:abstractNumId w:val="32"/>
  </w:num>
  <w:num w:numId="37">
    <w:abstractNumId w:val="21"/>
  </w:num>
  <w:num w:numId="38">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61" style="mso-position-vertical-relative:margin" fillcolor="#002395" stroke="f">
      <v:fill color="#002395"/>
      <v:stroke on="f"/>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2"/>
  </w:compat>
  <w:docVars>
    <w:docVar w:name="COVERPAGE_EXISTS" w:val="True"/>
    <w:docVar w:name="DocStatus" w:val="Green"/>
    <w:docVar w:name="LW_CONFIDENCE" w:val=" "/>
    <w:docVar w:name="LW_CONST_RESTREINT_UE" w:val="RESTREINT UE"/>
    <w:docVar w:name="LW_CORRIGENDUM" w:val="&lt;UNUSED&gt;"/>
    <w:docVar w:name="LW_COVERPAGE_GUID" w:val="B16256965478491CAB26B90BB33A4481"/>
    <w:docVar w:name="LW_CROSSREFERENCE" w:val="{SWD(2016) 230 final}_x000b_{SWD(2016) 231 final}"/>
    <w:docVar w:name="LW_DocType" w:val="REP"/>
    <w:docVar w:name="LW_EMISSION" w:val="15.7.2016"/>
    <w:docVar w:name="LW_EMISSION_ISODATE" w:val="2016-07-15"/>
    <w:docVar w:name="LW_EMISSION_LOCATION" w:val="BRX"/>
    <w:docVar w:name="LW_EMISSION_PREFIX" w:val="Брюксел, "/>
    <w:docVar w:name="LW_EMISSION_SUFFIX" w:val=" \u1075?."/>
    <w:docVar w:name="LW_ID_DOCTYPE_NONLW" w:val="CP-003"/>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463"/>
    <w:docVar w:name="LW_REF.INTERNE" w:val="&lt;UNUSED&gt;"/>
    <w:docVar w:name="LW_SOUS.TITRE.OBJ.CP" w:val="&lt;UNUSED&gt;"/>
    <w:docVar w:name="LW_SUPERTITRE" w:val="&lt;UNUSED&gt;"/>
    <w:docVar w:name="LW_TITRE.OBJ.CP" w:val="\u1052?\u1086?\u1085?\u1080?\u1090?\u1086?\u1088?\u1080?\u1085?\u1075? \u1074?\u1098?\u1088?\u1093?\u1091? \u1087?\u1088?\u1080?\u1083?\u1072?\u1075?\u1072?\u1085?\u1077?\u1090?\u1086? \u1085?\u1072? \u1087?\u1088?\u1072?\u1074?\u1086?\u1090?\u1086? \u1085?\u1072? _x000b_\u1045?\u1074?\u1088?\u1086?\u1087?\u1077?\u1081?\u1089?\u1082?\u1080?\u1103? \u1089?\u1098?\u1102?\u1079?_x000b_\u1043?\u1086?\u1076?\u1080?\u1096?\u1077?\u1085? \u1076?\u1086?\u1082?\u1083?\u1072?\u1076? \u1079?\u1072? 2015 \u1075?."/>
    <w:docVar w:name="LW_TYPE.DOC.CP" w:val="\u1044?\u1054?\u1050?\u1051?\u1040?\u1044? \u1053?\u1040? \u1050?\u1054?\u1052?\u1048?\u1057?\u1048?\u1071?\u1058?\u1040?"/>
    <w:docVar w:name="Stamp" w:val="\\dossiers.dgt.cec.eu.int\dossiers\SG\SG-2016-00297\SG-2016-00297-00-00-EN-REV-00.DOCX"/>
  </w:docVars>
  <w:rsids>
    <w:rsidRoot w:val="006F5B6C"/>
    <w:rsid w:val="00284F4D"/>
    <w:rsid w:val="006F5B6C"/>
    <w:rsid w:val="009349CD"/>
    <w:rsid w:val="00E01D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style="mso-position-vertical-relative:margin" fillcolor="#002395" stroke="f">
      <v:fill color="#002395"/>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qFormat="1"/>
    <w:lsdException w:name="annotation text" w:uiPriority="99"/>
    <w:lsdException w:name="header" w:uiPriority="99"/>
    <w:lsdException w:name="footer" w:uiPriority="99"/>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pPr>
      <w:spacing w:after="240"/>
      <w:jc w:val="both"/>
    </w:pPr>
    <w:rPr>
      <w:sz w:val="24"/>
      <w:lang w:eastAsia="en-US"/>
    </w:rPr>
  </w:style>
  <w:style w:type="paragraph" w:styleId="Heading1">
    <w:name w:val="heading 1"/>
    <w:basedOn w:val="Normal"/>
    <w:next w:val="Text1"/>
    <w:pPr>
      <w:keepNext/>
      <w:numPr>
        <w:numId w:val="3"/>
      </w:numPr>
      <w:spacing w:before="240"/>
      <w:outlineLvl w:val="0"/>
    </w:pPr>
    <w:rPr>
      <w:b/>
      <w:smallCaps/>
    </w:rPr>
  </w:style>
  <w:style w:type="paragraph" w:styleId="Heading2">
    <w:name w:val="heading 2"/>
    <w:basedOn w:val="Normal"/>
    <w:next w:val="Text2"/>
    <w:pPr>
      <w:keepNext/>
      <w:numPr>
        <w:ilvl w:val="1"/>
        <w:numId w:val="3"/>
      </w:numPr>
      <w:outlineLvl w:val="1"/>
    </w:pPr>
    <w:rPr>
      <w:b/>
    </w:rPr>
  </w:style>
  <w:style w:type="paragraph" w:styleId="Heading3">
    <w:name w:val="heading 3"/>
    <w:basedOn w:val="Normal"/>
    <w:next w:val="Text3"/>
    <w:pPr>
      <w:keepNext/>
      <w:numPr>
        <w:ilvl w:val="2"/>
        <w:numId w:val="3"/>
      </w:numPr>
      <w:outlineLvl w:val="2"/>
    </w:pPr>
    <w:rPr>
      <w:i/>
    </w:rPr>
  </w:style>
  <w:style w:type="paragraph" w:styleId="Heading4">
    <w:name w:val="heading 4"/>
    <w:basedOn w:val="Normal"/>
    <w:next w:val="Text4"/>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ußnote,Fotnotstext1,fn,Footnote Text Char2 Char,Footnote Text Char Char Char1,Footnote Text Char1 Char Char Char,Footnote Text Char2 Char Char Char Char,Footnote Text Char1 Char1 Char Char Char Char,footnote te,Voetnootteks,f,Ch"/>
    <w:basedOn w:val="Normal"/>
    <w:uiPriority w:val="99"/>
    <w:qFormat/>
    <w:pPr>
      <w:spacing w:after="0"/>
      <w:ind w:left="357" w:hanging="357"/>
    </w:pPr>
    <w:rPr>
      <w:rFonts w:ascii="Arial" w:hAnsi="Arial" w:cs="Arial"/>
      <w:sz w:val="18"/>
      <w:szCs w:val="18"/>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spacing w:before="240" w:after="120"/>
      <w:jc w:val="left"/>
    </w:pPr>
    <w:rPr>
      <w:rFonts w:asciiTheme="minorHAnsi" w:hAnsiTheme="minorHAnsi"/>
      <w:b/>
      <w:bCs/>
      <w:sz w:val="20"/>
    </w:rPr>
  </w:style>
  <w:style w:type="paragraph" w:styleId="TOC2">
    <w:name w:val="toc 2"/>
    <w:basedOn w:val="Normal"/>
    <w:next w:val="Normal"/>
    <w:uiPriority w:val="39"/>
    <w:pPr>
      <w:spacing w:before="120" w:after="0"/>
      <w:ind w:left="240"/>
      <w:jc w:val="left"/>
    </w:pPr>
    <w:rPr>
      <w:rFonts w:asciiTheme="minorHAnsi" w:hAnsiTheme="minorHAnsi"/>
      <w:i/>
      <w:iCs/>
      <w:sz w:val="20"/>
    </w:rPr>
  </w:style>
  <w:style w:type="paragraph" w:styleId="TOC3">
    <w:name w:val="toc 3"/>
    <w:basedOn w:val="Normal"/>
    <w:next w:val="Normal"/>
    <w:uiPriority w:val="39"/>
    <w:pPr>
      <w:spacing w:after="0"/>
      <w:ind w:left="480"/>
      <w:jc w:val="left"/>
    </w:pPr>
    <w:rPr>
      <w:rFonts w:asciiTheme="minorHAnsi" w:hAnsiTheme="minorHAnsi"/>
      <w:sz w:val="20"/>
    </w:rPr>
  </w:style>
  <w:style w:type="paragraph" w:styleId="TOC4">
    <w:name w:val="toc 4"/>
    <w:basedOn w:val="Normal"/>
    <w:next w:val="Normal"/>
    <w:semiHidden/>
    <w:pPr>
      <w:spacing w:after="0"/>
      <w:ind w:left="720"/>
      <w:jc w:val="left"/>
    </w:pPr>
    <w:rPr>
      <w:rFonts w:asciiTheme="minorHAnsi" w:hAnsiTheme="minorHAnsi"/>
      <w:sz w:val="20"/>
    </w:rPr>
  </w:style>
  <w:style w:type="paragraph" w:styleId="TOC5">
    <w:name w:val="toc 5"/>
    <w:basedOn w:val="Normal"/>
    <w:next w:val="Normal"/>
    <w:semiHidden/>
    <w:pPr>
      <w:spacing w:after="0"/>
      <w:ind w:left="960"/>
      <w:jc w:val="left"/>
    </w:pPr>
    <w:rPr>
      <w:rFonts w:asciiTheme="minorHAnsi" w:hAnsiTheme="minorHAnsi"/>
      <w:sz w:val="20"/>
    </w:rPr>
  </w:style>
  <w:style w:type="paragraph" w:styleId="TOC6">
    <w:name w:val="toc 6"/>
    <w:basedOn w:val="Normal"/>
    <w:next w:val="Normal"/>
    <w:autoRedefine/>
    <w:semiHidden/>
    <w:pPr>
      <w:spacing w:after="0"/>
      <w:ind w:left="1200"/>
      <w:jc w:val="left"/>
    </w:pPr>
    <w:rPr>
      <w:rFonts w:asciiTheme="minorHAnsi" w:hAnsiTheme="minorHAnsi"/>
      <w:sz w:val="20"/>
    </w:rPr>
  </w:style>
  <w:style w:type="paragraph" w:styleId="TOC7">
    <w:name w:val="toc 7"/>
    <w:basedOn w:val="Normal"/>
    <w:next w:val="Normal"/>
    <w:autoRedefine/>
    <w:semiHidden/>
    <w:pPr>
      <w:spacing w:after="0"/>
      <w:ind w:left="1440"/>
      <w:jc w:val="left"/>
    </w:pPr>
    <w:rPr>
      <w:rFonts w:asciiTheme="minorHAnsi" w:hAnsiTheme="minorHAnsi"/>
      <w:sz w:val="20"/>
    </w:rPr>
  </w:style>
  <w:style w:type="paragraph" w:styleId="TOC8">
    <w:name w:val="toc 8"/>
    <w:basedOn w:val="Normal"/>
    <w:next w:val="Normal"/>
    <w:autoRedefine/>
    <w:semiHidden/>
    <w:pPr>
      <w:spacing w:after="0"/>
      <w:ind w:left="1680"/>
      <w:jc w:val="left"/>
    </w:pPr>
    <w:rPr>
      <w:rFonts w:asciiTheme="minorHAnsi" w:hAnsiTheme="minorHAnsi"/>
      <w:sz w:val="20"/>
    </w:rPr>
  </w:style>
  <w:style w:type="paragraph" w:styleId="TOC9">
    <w:name w:val="toc 9"/>
    <w:basedOn w:val="Normal"/>
    <w:next w:val="Normal"/>
    <w:autoRedefine/>
    <w:semiHidden/>
    <w:pPr>
      <w:spacing w:after="0"/>
      <w:ind w:left="1920"/>
      <w:jc w:val="left"/>
    </w:pPr>
    <w:rPr>
      <w:rFonts w:asciiTheme="minorHAnsi" w:hAnsiTheme="minorHAnsi"/>
      <w:sz w:val="20"/>
    </w:r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Pr>
      <w:color w:val="0000FF"/>
      <w:u w:val="single"/>
    </w:rPr>
  </w:style>
  <w:style w:type="character" w:styleId="FootnoteReference">
    <w:name w:val="footnote reference"/>
    <w:aliases w:val="BVI fnr,SUPERS,Footnote symbol,(Footnote Reference),Footnote,Voetnootverwijzing,Times 10 Point,Exposant 3 Point,Footnote reference number,note TESI,Odwołanie przypisu, BVI fnr,Appel note de bas de p,Nota,16 Point"/>
    <w:uiPriority w:val="99"/>
    <w:qFormat/>
    <w:rPr>
      <w:vertAlign w:val="superscript"/>
    </w:rPr>
  </w:style>
  <w:style w:type="table" w:styleId="ColorfulGrid-Accent3">
    <w:name w:val="Colorful Grid Accent 3"/>
    <w:basedOn w:val="TableNormal"/>
    <w:uiPriority w:val="69"/>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semiHidden/>
    <w:rPr>
      <w:rFonts w:ascii="Tahoma" w:hAnsi="Tahoma" w:cs="Tahoma"/>
      <w:sz w:val="16"/>
      <w:szCs w:val="16"/>
    </w:rPr>
  </w:style>
  <w:style w:type="paragraph" w:customStyle="1" w:styleId="DocumentTitle">
    <w:name w:val="Document Title"/>
    <w:basedOn w:val="Normal"/>
    <w:link w:val="DocumentTitleChar"/>
    <w:pPr>
      <w:jc w:val="center"/>
    </w:pPr>
    <w:rPr>
      <w:rFonts w:ascii="Verdana" w:hAnsi="Verdana"/>
      <w:b/>
      <w:sz w:val="52"/>
    </w:rPr>
  </w:style>
  <w:style w:type="paragraph" w:customStyle="1" w:styleId="Footerapproval">
    <w:name w:val="Footer approval"/>
    <w:basedOn w:val="Footer"/>
    <w:link w:val="ApprovalfooterChar"/>
    <w:pPr>
      <w:tabs>
        <w:tab w:val="left" w:pos="6804"/>
      </w:tabs>
    </w:pPr>
    <w:rPr>
      <w:rFonts w:ascii="Verdana" w:hAnsi="Verdana"/>
      <w:sz w:val="13"/>
      <w:lang w:val="fr-BE"/>
    </w:rPr>
  </w:style>
  <w:style w:type="character" w:customStyle="1" w:styleId="DocumentTitleChar">
    <w:name w:val="Document Title Char"/>
    <w:link w:val="DocumentTitle"/>
    <w:rPr>
      <w:rFonts w:ascii="Verdana" w:hAnsi="Verdana"/>
      <w:b/>
      <w:sz w:val="52"/>
      <w:lang w:val="fr-FR" w:eastAsia="en-US"/>
    </w:rPr>
  </w:style>
  <w:style w:type="paragraph" w:customStyle="1" w:styleId="FooterDate">
    <w:name w:val="Footer Date"/>
    <w:basedOn w:val="Footer"/>
    <w:link w:val="FooterDateChar"/>
    <w:pPr>
      <w:tabs>
        <w:tab w:val="right" w:pos="9240"/>
      </w:tabs>
    </w:pPr>
    <w:rPr>
      <w:rFonts w:ascii="Verdana" w:hAnsi="Verdana"/>
      <w:lang w:val="it-IT"/>
    </w:rPr>
  </w:style>
  <w:style w:type="character" w:customStyle="1" w:styleId="FooterChar">
    <w:name w:val="Footer Char"/>
    <w:link w:val="Footer"/>
    <w:uiPriority w:val="99"/>
    <w:rPr>
      <w:rFonts w:ascii="Arial" w:hAnsi="Arial"/>
      <w:sz w:val="16"/>
      <w:lang w:val="fr-FR"/>
    </w:rPr>
  </w:style>
  <w:style w:type="character" w:customStyle="1" w:styleId="ApprovalfooterChar">
    <w:name w:val="Approval_footer Char"/>
    <w:link w:val="Footerapproval"/>
    <w:rPr>
      <w:rFonts w:ascii="Arial" w:hAnsi="Arial"/>
      <w:sz w:val="16"/>
      <w:lang w:val="fr-FR"/>
    </w:rPr>
  </w:style>
  <w:style w:type="paragraph" w:customStyle="1" w:styleId="PageNumber1">
    <w:name w:val="Page Number1"/>
    <w:basedOn w:val="Footer"/>
    <w:link w:val="PagenumberChar"/>
    <w:pPr>
      <w:tabs>
        <w:tab w:val="right" w:pos="9240"/>
      </w:tabs>
      <w:ind w:right="-622"/>
    </w:pPr>
    <w:rPr>
      <w:rFonts w:ascii="Verdana" w:hAnsi="Verdana"/>
      <w:lang w:val="fr-BE"/>
    </w:rPr>
  </w:style>
  <w:style w:type="character" w:customStyle="1" w:styleId="FooterDateChar">
    <w:name w:val="Footer Date Char"/>
    <w:link w:val="FooterDate"/>
    <w:rPr>
      <w:rFonts w:ascii="Verdana" w:hAnsi="Verdana"/>
      <w:sz w:val="16"/>
      <w:lang w:val="it-IT"/>
    </w:rPr>
  </w:style>
  <w:style w:type="character" w:customStyle="1" w:styleId="HeaderChar">
    <w:name w:val="Header Char"/>
    <w:link w:val="Header"/>
    <w:uiPriority w:val="99"/>
    <w:rPr>
      <w:sz w:val="24"/>
      <w:lang w:val="fr-FR"/>
    </w:rPr>
  </w:style>
  <w:style w:type="character" w:customStyle="1" w:styleId="PagenumberChar">
    <w:name w:val="Page number Char"/>
    <w:link w:val="PageNumber1"/>
    <w:rPr>
      <w:rFonts w:ascii="Verdana" w:hAnsi="Verdana"/>
      <w:sz w:val="16"/>
      <w:lang w:val="fr-BE"/>
    </w:rPr>
  </w:style>
  <w:style w:type="paragraph" w:customStyle="1" w:styleId="DocumentSubtitle">
    <w:name w:val="Document Subtitle"/>
    <w:basedOn w:val="DocumentTitle"/>
    <w:link w:val="DocumentSubtitleChar"/>
    <w:rPr>
      <w:b w:val="0"/>
      <w:sz w:val="32"/>
      <w:szCs w:val="36"/>
    </w:rPr>
  </w:style>
  <w:style w:type="paragraph" w:customStyle="1" w:styleId="HeaderTitle">
    <w:name w:val="Header Title"/>
    <w:basedOn w:val="Normal"/>
    <w:link w:val="HeaderTitleChar"/>
    <w:pPr>
      <w:jc w:val="center"/>
    </w:pPr>
    <w:rPr>
      <w:rFonts w:ascii="Verdana" w:hAnsi="Verdana"/>
      <w:b/>
      <w:color w:val="808080"/>
      <w:sz w:val="18"/>
      <w:szCs w:val="18"/>
    </w:rPr>
  </w:style>
  <w:style w:type="character" w:customStyle="1" w:styleId="DocumentSubtitleChar">
    <w:name w:val="Document Subtitle Char"/>
    <w:link w:val="DocumentSubtitle"/>
    <w:rPr>
      <w:rFonts w:ascii="Verdana" w:hAnsi="Verdana"/>
      <w:sz w:val="32"/>
      <w:szCs w:val="36"/>
      <w:lang w:val="en-GB" w:eastAsia="en-US"/>
    </w:rPr>
  </w:style>
  <w:style w:type="paragraph" w:customStyle="1" w:styleId="Bulletpoint1">
    <w:name w:val="Bullet point1"/>
    <w:basedOn w:val="NormalIndent"/>
    <w:link w:val="Bulletpoint1Char"/>
    <w:pPr>
      <w:numPr>
        <w:numId w:val="20"/>
      </w:numPr>
      <w:spacing w:after="120"/>
      <w:jc w:val="left"/>
    </w:pPr>
    <w:rPr>
      <w:rFonts w:ascii="Verdana" w:hAnsi="Verdana"/>
      <w:sz w:val="18"/>
    </w:rPr>
  </w:style>
  <w:style w:type="character" w:customStyle="1" w:styleId="HeaderTitleChar">
    <w:name w:val="Header Title Char"/>
    <w:link w:val="HeaderTitle"/>
    <w:rPr>
      <w:rFonts w:ascii="Verdana" w:hAnsi="Verdana"/>
      <w:b/>
      <w:color w:val="808080"/>
      <w:sz w:val="18"/>
      <w:szCs w:val="18"/>
      <w:lang w:val="fr-FR"/>
    </w:rPr>
  </w:style>
  <w:style w:type="paragraph" w:customStyle="1" w:styleId="Heading">
    <w:name w:val="Heading"/>
    <w:basedOn w:val="TOC1"/>
    <w:link w:val="HeadingChar"/>
    <w:pPr>
      <w:widowControl w:val="0"/>
      <w:autoSpaceDE w:val="0"/>
      <w:autoSpaceDN w:val="0"/>
      <w:adjustRightInd w:val="0"/>
      <w:spacing w:after="0"/>
    </w:pPr>
    <w:rPr>
      <w:b w:val="0"/>
      <w:u w:val="single"/>
    </w:rPr>
  </w:style>
  <w:style w:type="character" w:customStyle="1" w:styleId="NormalIndentChar">
    <w:name w:val="Normal Indent Char"/>
    <w:link w:val="NormalIndent"/>
    <w:rPr>
      <w:sz w:val="24"/>
      <w:lang w:val="fr-FR"/>
    </w:rPr>
  </w:style>
  <w:style w:type="character" w:customStyle="1" w:styleId="Bulletpoint1Char">
    <w:name w:val="Bullet point1 Char"/>
    <w:link w:val="Bulletpoint1"/>
    <w:rPr>
      <w:rFonts w:ascii="Verdana" w:hAnsi="Verdana"/>
      <w:sz w:val="18"/>
      <w:lang w:eastAsia="en-US"/>
    </w:rPr>
  </w:style>
  <w:style w:type="paragraph" w:customStyle="1" w:styleId="BulletPoint2">
    <w:name w:val="Bullet Point 2"/>
    <w:basedOn w:val="NormalIndent"/>
    <w:link w:val="BulletPoint2Char"/>
    <w:pPr>
      <w:numPr>
        <w:numId w:val="19"/>
      </w:numPr>
      <w:spacing w:after="120"/>
      <w:ind w:left="1077" w:hanging="357"/>
      <w:jc w:val="left"/>
    </w:pPr>
    <w:rPr>
      <w:rFonts w:ascii="Verdana" w:hAnsi="Verdana"/>
      <w:sz w:val="18"/>
    </w:rPr>
  </w:style>
  <w:style w:type="character" w:customStyle="1" w:styleId="HeadingChar">
    <w:name w:val="Heading Char"/>
    <w:link w:val="Heading"/>
    <w:rPr>
      <w:rFonts w:ascii="Verdana" w:hAnsi="Verdana"/>
      <w:b/>
      <w:caps/>
      <w:u w:val="single"/>
      <w:lang w:val="fr-FR"/>
    </w:rPr>
  </w:style>
  <w:style w:type="paragraph" w:customStyle="1" w:styleId="Body">
    <w:name w:val="Body"/>
    <w:basedOn w:val="Normal"/>
    <w:link w:val="BodyChar"/>
    <w:qFormat/>
    <w:pPr>
      <w:ind w:left="357"/>
    </w:pPr>
    <w:rPr>
      <w:rFonts w:ascii="Arial" w:hAnsi="Arial" w:cs="Arial"/>
      <w:sz w:val="20"/>
    </w:rPr>
  </w:style>
  <w:style w:type="character" w:customStyle="1" w:styleId="BulletPoint2Char">
    <w:name w:val="Bullet Point 2 Char"/>
    <w:link w:val="BulletPoint2"/>
    <w:rPr>
      <w:rFonts w:ascii="Verdana" w:hAnsi="Verdana"/>
      <w:sz w:val="18"/>
      <w:lang w:eastAsia="en-US"/>
    </w:rPr>
  </w:style>
  <w:style w:type="paragraph" w:customStyle="1" w:styleId="Heading20">
    <w:name w:val="Heading2"/>
    <w:basedOn w:val="Title2"/>
    <w:link w:val="Heading2Char"/>
    <w:pPr>
      <w:numPr>
        <w:numId w:val="0"/>
      </w:numPr>
    </w:pPr>
    <w:rPr>
      <w:rFonts w:ascii="Verdana" w:hAnsi="Verdana"/>
      <w:b/>
      <w:i/>
    </w:rPr>
  </w:style>
  <w:style w:type="character" w:customStyle="1" w:styleId="BodyChar">
    <w:name w:val="Body Char"/>
    <w:link w:val="Body"/>
    <w:rPr>
      <w:rFonts w:ascii="Arial" w:hAnsi="Arial" w:cs="Arial"/>
      <w:lang w:eastAsia="en-US"/>
    </w:rPr>
  </w:style>
  <w:style w:type="table" w:styleId="TableGrid">
    <w:name w:val="Table Grid"/>
    <w:aliases w:val="Document Table"/>
    <w:basedOn w:val="TableNormal"/>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customStyle="1" w:styleId="Heading2Char">
    <w:name w:val="Heading2 Char"/>
    <w:link w:val="Heading20"/>
    <w:rPr>
      <w:rFonts w:ascii="Verdana" w:hAnsi="Verdana"/>
      <w:b/>
      <w:i/>
      <w:sz w:val="24"/>
      <w:lang w:val="fr-FR" w:eastAsia="en-US"/>
    </w:rPr>
  </w:style>
  <w:style w:type="table" w:customStyle="1" w:styleId="Style1">
    <w:name w:val="Style1"/>
    <w:basedOn w:val="TableNormal"/>
    <w:tblPr/>
  </w:style>
  <w:style w:type="table" w:styleId="TableElegant">
    <w:name w:val="Table Elegant"/>
    <w:basedOn w:val="TableNormal"/>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pPr>
      <w:spacing w:after="0"/>
    </w:pPr>
    <w:rPr>
      <w:i/>
      <w:noProof/>
      <w:sz w:val="13"/>
    </w:rPr>
  </w:style>
  <w:style w:type="character" w:customStyle="1" w:styleId="FooterDocumentChar">
    <w:name w:val="Footer Document Char"/>
    <w:link w:val="FooterDocument"/>
    <w:rPr>
      <w:rFonts w:ascii="Verdana" w:hAnsi="Verdana"/>
      <w:i/>
      <w:noProof/>
      <w:sz w:val="13"/>
      <w:lang w:val="en-US" w:eastAsia="en-US"/>
    </w:rPr>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Cambria" w:eastAsia="MS Gothic" w:hAnsi="Cambria"/>
      <w:bCs/>
      <w:smallCaps w:val="0"/>
      <w:color w:val="435186"/>
      <w:sz w:val="28"/>
      <w:szCs w:val="28"/>
      <w:lang w:val="en-US"/>
    </w:rPr>
  </w:style>
  <w:style w:type="paragraph" w:customStyle="1" w:styleId="Title2">
    <w:name w:val="Title 2"/>
    <w:basedOn w:val="Normal"/>
    <w:pPr>
      <w:numPr>
        <w:numId w:val="21"/>
      </w:numPr>
    </w:pPr>
  </w:style>
  <w:style w:type="paragraph" w:customStyle="1" w:styleId="Subtitle0">
    <w:name w:val="Subtitle_"/>
    <w:basedOn w:val="TOC2"/>
    <w:link w:val="SubtitleChar"/>
    <w:pPr>
      <w:ind w:left="0"/>
    </w:pPr>
    <w:rPr>
      <w:b/>
      <w:i w:val="0"/>
    </w:rPr>
  </w:style>
  <w:style w:type="character" w:customStyle="1" w:styleId="SubtitleChar">
    <w:name w:val="Subtitle_ Char"/>
    <w:link w:val="Subtitle0"/>
    <w:rPr>
      <w:rFonts w:ascii="Verdana" w:hAnsi="Verdana"/>
      <w:b/>
      <w:i/>
      <w:sz w:val="24"/>
      <w:lang w:val="fr-FR" w:eastAsia="en-US"/>
    </w:rPr>
  </w:style>
  <w:style w:type="paragraph" w:customStyle="1" w:styleId="HeadingBody">
    <w:name w:val="Heading Body"/>
    <w:basedOn w:val="Normal"/>
    <w:link w:val="HeadingBodyChar"/>
    <w:pPr>
      <w:spacing w:after="120"/>
    </w:pPr>
    <w:rPr>
      <w:rFonts w:ascii="Verdana" w:hAnsi="Verdana"/>
      <w:b/>
      <w:sz w:val="20"/>
      <w:szCs w:val="18"/>
    </w:rPr>
  </w:style>
  <w:style w:type="paragraph" w:customStyle="1" w:styleId="Titlepublication">
    <w:name w:val="Title publication"/>
    <w:basedOn w:val="Normal"/>
    <w:link w:val="TitlepublicationChar"/>
    <w:pPr>
      <w:jc w:val="center"/>
    </w:pPr>
    <w:rPr>
      <w:rFonts w:ascii="Verdana" w:hAnsi="Verdana"/>
      <w:b/>
      <w:color w:val="FF0000"/>
      <w:sz w:val="52"/>
      <w:szCs w:val="52"/>
    </w:rPr>
  </w:style>
  <w:style w:type="character" w:customStyle="1" w:styleId="HeadingBodyChar">
    <w:name w:val="Heading Body Char"/>
    <w:link w:val="HeadingBody"/>
    <w:rPr>
      <w:rFonts w:ascii="Verdana" w:hAnsi="Verdana"/>
      <w:b/>
      <w:szCs w:val="18"/>
      <w:lang w:val="en-GB" w:eastAsia="en-US"/>
    </w:rPr>
  </w:style>
  <w:style w:type="paragraph" w:customStyle="1" w:styleId="Subtitlepublication">
    <w:name w:val="Subtitle publication"/>
    <w:basedOn w:val="Normal"/>
    <w:link w:val="SubtitlepublicationChar"/>
    <w:pPr>
      <w:jc w:val="center"/>
    </w:pPr>
    <w:rPr>
      <w:rFonts w:ascii="Verdana" w:hAnsi="Verdana"/>
      <w:b/>
      <w:i/>
      <w:color w:val="FF0000"/>
      <w:sz w:val="32"/>
    </w:rPr>
  </w:style>
  <w:style w:type="character" w:customStyle="1" w:styleId="TitlepublicationChar">
    <w:name w:val="Title publication Char"/>
    <w:link w:val="Titlepublication"/>
    <w:rPr>
      <w:rFonts w:ascii="Verdana" w:hAnsi="Verdana"/>
      <w:b/>
      <w:color w:val="FF0000"/>
      <w:sz w:val="52"/>
      <w:szCs w:val="52"/>
      <w:lang w:val="en-GB" w:eastAsia="en-US"/>
    </w:rPr>
  </w:style>
  <w:style w:type="paragraph" w:customStyle="1" w:styleId="Editorname">
    <w:name w:val="Editor name"/>
    <w:basedOn w:val="Normal"/>
    <w:link w:val="EditornameChar"/>
    <w:pPr>
      <w:jc w:val="center"/>
    </w:pPr>
    <w:rPr>
      <w:rFonts w:ascii="Verdana" w:hAnsi="Verdana"/>
      <w:color w:val="FF0000"/>
    </w:rPr>
  </w:style>
  <w:style w:type="character" w:customStyle="1" w:styleId="SubtitlepublicationChar">
    <w:name w:val="Subtitle publication Char"/>
    <w:link w:val="Subtitlepublication"/>
    <w:rPr>
      <w:rFonts w:ascii="Verdana" w:hAnsi="Verdana"/>
      <w:b/>
      <w:i/>
      <w:color w:val="FF0000"/>
      <w:sz w:val="32"/>
      <w:lang w:val="en-GB" w:eastAsia="en-US"/>
    </w:rPr>
  </w:style>
  <w:style w:type="paragraph" w:customStyle="1" w:styleId="Backcoversummary">
    <w:name w:val="Backcover_summary"/>
    <w:basedOn w:val="Normal"/>
    <w:link w:val="BackcoversummaryChar"/>
    <w:rPr>
      <w:rFonts w:ascii="Verdana" w:hAnsi="Verdana"/>
      <w:color w:val="FF0000"/>
    </w:rPr>
  </w:style>
  <w:style w:type="character" w:customStyle="1" w:styleId="EditornameChar">
    <w:name w:val="Editor name Char"/>
    <w:link w:val="Editorname"/>
    <w:rPr>
      <w:rFonts w:ascii="Verdana" w:hAnsi="Verdana"/>
      <w:color w:val="FF0000"/>
      <w:sz w:val="24"/>
      <w:lang w:val="en-GB" w:eastAsia="en-US"/>
    </w:rPr>
  </w:style>
  <w:style w:type="paragraph" w:customStyle="1" w:styleId="Backcovercategory">
    <w:name w:val="Backcover_category"/>
    <w:basedOn w:val="Normal"/>
    <w:link w:val="BackcovercategoryChar"/>
    <w:pPr>
      <w:ind w:right="28"/>
    </w:pPr>
    <w:rPr>
      <w:rFonts w:ascii="Verdana" w:hAnsi="Verdana"/>
      <w:i/>
      <w:color w:val="FF0000"/>
      <w:sz w:val="18"/>
    </w:rPr>
  </w:style>
  <w:style w:type="character" w:customStyle="1" w:styleId="BackcoversummaryChar">
    <w:name w:val="Backcover_summary Char"/>
    <w:link w:val="Backcoversummary"/>
    <w:rPr>
      <w:rFonts w:ascii="Verdana" w:hAnsi="Verdana"/>
      <w:color w:val="FF0000"/>
      <w:sz w:val="24"/>
      <w:lang w:val="en-GB" w:eastAsia="en-US"/>
    </w:rPr>
  </w:style>
  <w:style w:type="character" w:customStyle="1" w:styleId="BackcovercategoryChar">
    <w:name w:val="Backcover_category Char"/>
    <w:link w:val="Backcovercategory"/>
    <w:rPr>
      <w:rFonts w:ascii="Verdana" w:hAnsi="Verdana"/>
      <w:i/>
      <w:color w:val="FF0000"/>
      <w:sz w:val="18"/>
      <w:lang w:val="en-GB" w:eastAsia="en-US"/>
    </w:rPr>
  </w:style>
  <w:style w:type="paragraph" w:customStyle="1" w:styleId="kop2">
    <w:name w:val="kop 2"/>
    <w:basedOn w:val="Normal"/>
    <w:next w:val="Normal"/>
    <w:link w:val="kop2Char"/>
    <w:uiPriority w:val="1"/>
    <w:unhideWhenUsed/>
    <w:qFormat/>
    <w:pPr>
      <w:keepNext/>
      <w:keepLines/>
      <w:numPr>
        <w:numId w:val="24"/>
      </w:numPr>
      <w:spacing w:after="120"/>
      <w:outlineLvl w:val="1"/>
    </w:pPr>
    <w:rPr>
      <w:rFonts w:ascii="Arial" w:eastAsia="MS Gothic" w:hAnsi="Arial" w:cs="Arial"/>
      <w:caps/>
      <w:color w:val="4F81BD"/>
      <w:kern w:val="20"/>
      <w:szCs w:val="24"/>
    </w:rPr>
  </w:style>
  <w:style w:type="paragraph" w:customStyle="1" w:styleId="kop3">
    <w:name w:val="kop 3"/>
    <w:basedOn w:val="StyleSubtitleBoldAccent1Left1"/>
    <w:next w:val="Normal"/>
    <w:link w:val="kop3Char"/>
    <w:uiPriority w:val="1"/>
    <w:unhideWhenUsed/>
    <w:qFormat/>
    <w:pPr>
      <w:numPr>
        <w:numId w:val="25"/>
      </w:numPr>
    </w:pPr>
    <w:rPr>
      <w:b w:val="0"/>
    </w:rPr>
  </w:style>
  <w:style w:type="character" w:customStyle="1" w:styleId="kop2Char">
    <w:name w:val="kop 2 Char"/>
    <w:link w:val="kop2"/>
    <w:uiPriority w:val="1"/>
    <w:rPr>
      <w:rFonts w:ascii="Arial" w:eastAsia="MS Gothic" w:hAnsi="Arial" w:cs="Arial"/>
      <w:caps/>
      <w:color w:val="4F81BD"/>
      <w:kern w:val="20"/>
      <w:sz w:val="24"/>
      <w:szCs w:val="24"/>
      <w:lang w:eastAsia="en-US"/>
    </w:rPr>
  </w:style>
  <w:style w:type="character" w:customStyle="1" w:styleId="kop3Char">
    <w:name w:val="kop 3 Char"/>
    <w:link w:val="kop3"/>
    <w:uiPriority w:val="1"/>
    <w:rPr>
      <w:rFonts w:ascii="Arial" w:hAnsi="Arial"/>
      <w:bCs/>
      <w:color w:val="4F81BD" w:themeColor="accent1"/>
      <w:sz w:val="24"/>
      <w:lang w:eastAsia="en-US"/>
    </w:rPr>
  </w:style>
  <w:style w:type="paragraph" w:customStyle="1" w:styleId="Lijstje">
    <w:name w:val="Lijstje"/>
    <w:basedOn w:val="NoSpacing"/>
    <w:uiPriority w:val="1"/>
    <w:unhideWhenUsed/>
    <w:qFormat/>
    <w:locked/>
    <w:pPr>
      <w:numPr>
        <w:numId w:val="22"/>
      </w:numPr>
      <w:tabs>
        <w:tab w:val="num" w:pos="1485"/>
      </w:tabs>
      <w:spacing w:after="240"/>
      <w:ind w:left="1412" w:hanging="703"/>
    </w:pPr>
    <w:rPr>
      <w:rFonts w:ascii="Verdana" w:eastAsia="Calibri" w:hAnsi="Verdana"/>
      <w:kern w:val="20"/>
      <w:sz w:val="20"/>
      <w:lang w:val="en-US"/>
    </w:rPr>
  </w:style>
  <w:style w:type="paragraph" w:customStyle="1" w:styleId="Lijstje3">
    <w:name w:val="Lijstje 3"/>
    <w:basedOn w:val="Lijstje2"/>
    <w:uiPriority w:val="1"/>
    <w:unhideWhenUsed/>
    <w:locked/>
    <w:pPr>
      <w:numPr>
        <w:ilvl w:val="1"/>
      </w:numPr>
      <w:tabs>
        <w:tab w:val="num" w:pos="765"/>
      </w:tabs>
      <w:ind w:left="1069" w:hanging="283"/>
    </w:pPr>
  </w:style>
  <w:style w:type="paragraph" w:customStyle="1" w:styleId="Lijstje2">
    <w:name w:val="Lijstje2"/>
    <w:basedOn w:val="ListParagraph"/>
    <w:uiPriority w:val="1"/>
    <w:unhideWhenUsed/>
    <w:locked/>
    <w:pPr>
      <w:numPr>
        <w:numId w:val="23"/>
      </w:numPr>
      <w:tabs>
        <w:tab w:val="num" w:pos="765"/>
      </w:tabs>
      <w:spacing w:after="200"/>
      <w:ind w:left="1797" w:hanging="357"/>
    </w:pPr>
    <w:rPr>
      <w:rFonts w:ascii="Verdana" w:eastAsia="Calibri" w:hAnsi="Verdana"/>
      <w:kern w:val="20"/>
      <w:sz w:val="20"/>
      <w:lang w:val="nl-NL"/>
    </w:rPr>
  </w:style>
  <w:style w:type="paragraph" w:customStyle="1" w:styleId="Koptekstmetarcering">
    <w:name w:val="Koptekst met arcering"/>
    <w:basedOn w:val="Normal"/>
    <w:uiPriority w:val="19"/>
    <w:locked/>
    <w:pPr>
      <w:pBdr>
        <w:top w:val="single" w:sz="2" w:space="2" w:color="5F70AF"/>
        <w:left w:val="single" w:sz="2" w:space="6" w:color="5F70AF"/>
        <w:bottom w:val="single" w:sz="2" w:space="2" w:color="5F70AF"/>
        <w:right w:val="single" w:sz="2" w:space="6" w:color="5F70AF"/>
      </w:pBdr>
      <w:shd w:val="clear" w:color="auto" w:fill="5F70AF"/>
      <w:spacing w:after="0"/>
      <w:ind w:left="-360" w:right="-360"/>
    </w:pPr>
    <w:rPr>
      <w:rFonts w:ascii="Cambria" w:eastAsia="MS Gothic" w:hAnsi="Cambria"/>
      <w:caps/>
      <w:color w:val="FFFFFF"/>
      <w:kern w:val="20"/>
      <w:sz w:val="48"/>
      <w:lang w:val="nl-NL"/>
    </w:rPr>
  </w:style>
  <w:style w:type="character" w:styleId="Strong">
    <w:name w:val="Strong"/>
    <w:aliases w:val="Gewoon,sub subtitle"/>
    <w:uiPriority w:val="22"/>
    <w:qFormat/>
    <w:rPr>
      <w:rFonts w:ascii="Arial" w:hAnsi="Arial" w:cs="Arial"/>
      <w:i/>
      <w:color w:val="95B3D7" w:themeColor="accent1" w:themeTint="99"/>
    </w:rPr>
  </w:style>
  <w:style w:type="paragraph" w:styleId="NoSpacing">
    <w:name w:val="No Spacing"/>
    <w:uiPriority w:val="1"/>
    <w:pPr>
      <w:jc w:val="both"/>
    </w:pPr>
    <w:rPr>
      <w:sz w:val="24"/>
      <w:lang w:val="fr-FR" w:eastAsia="en-US"/>
    </w:rPr>
  </w:style>
  <w:style w:type="paragraph" w:styleId="ListParagraph">
    <w:name w:val="List Paragraph"/>
    <w:basedOn w:val="Normal"/>
    <w:uiPriority w:val="34"/>
    <w:qFormat/>
    <w:pPr>
      <w:ind w:left="720"/>
      <w:contextualSpacing/>
    </w:pPr>
  </w:style>
  <w:style w:type="paragraph" w:customStyle="1" w:styleId="kop1">
    <w:name w:val="kop 1"/>
    <w:basedOn w:val="Normal"/>
    <w:next w:val="Normal"/>
    <w:link w:val="Tekensvoorkop1"/>
    <w:uiPriority w:val="1"/>
    <w:locked/>
    <w:pPr>
      <w:pageBreakBefore/>
      <w:spacing w:after="360"/>
      <w:ind w:left="-360" w:right="-360"/>
      <w:outlineLvl w:val="0"/>
    </w:pPr>
    <w:rPr>
      <w:rFonts w:ascii="Calibri" w:eastAsia="Calibri" w:hAnsi="Calibri"/>
      <w:kern w:val="20"/>
      <w:sz w:val="36"/>
      <w:lang w:val="nl-NL"/>
    </w:rPr>
  </w:style>
  <w:style w:type="paragraph" w:customStyle="1" w:styleId="Geenregelafstand">
    <w:name w:val="Geen regelafstand"/>
    <w:link w:val="Tekensvoorgeenregelafstand"/>
    <w:uiPriority w:val="1"/>
    <w:locked/>
    <w:pPr>
      <w:spacing w:before="40"/>
    </w:pPr>
    <w:rPr>
      <w:rFonts w:ascii="Calibri" w:eastAsia="Calibri" w:hAnsi="Calibri"/>
      <w:color w:val="595959"/>
      <w:lang w:val="nl-NL" w:eastAsia="en-US"/>
    </w:rPr>
  </w:style>
  <w:style w:type="character" w:customStyle="1" w:styleId="Tekensvoorkop1">
    <w:name w:val="Tekens voor kop 1"/>
    <w:link w:val="kop1"/>
    <w:uiPriority w:val="1"/>
    <w:rPr>
      <w:rFonts w:ascii="Calibri" w:eastAsia="Calibri" w:hAnsi="Calibri" w:cs="Times New Roman"/>
      <w:kern w:val="20"/>
      <w:sz w:val="36"/>
      <w:lang w:val="nl-NL" w:eastAsia="en-US"/>
    </w:rPr>
  </w:style>
  <w:style w:type="character" w:customStyle="1" w:styleId="Extranadruk">
    <w:name w:val="Extra nadruk"/>
    <w:uiPriority w:val="1"/>
    <w:unhideWhenUsed/>
    <w:locked/>
    <w:rPr>
      <w:b/>
      <w:bCs/>
    </w:rPr>
  </w:style>
  <w:style w:type="character" w:customStyle="1" w:styleId="Tekensvoorgeenregelafstand">
    <w:name w:val="Tekens voor geen regelafstand"/>
    <w:link w:val="Geenregelafstand"/>
    <w:uiPriority w:val="1"/>
    <w:rPr>
      <w:rFonts w:ascii="Calibri" w:eastAsia="Calibri" w:hAnsi="Calibri" w:cs="Times New Roman"/>
      <w:color w:val="595959"/>
      <w:lang w:val="nl-NL" w:eastAsia="en-US"/>
    </w:rPr>
  </w:style>
  <w:style w:type="paragraph" w:customStyle="1" w:styleId="Tabeltekst">
    <w:name w:val="Tabeltekst"/>
    <w:basedOn w:val="Normal"/>
    <w:uiPriority w:val="9"/>
    <w:locked/>
    <w:pPr>
      <w:spacing w:before="60" w:after="60"/>
      <w:ind w:left="144" w:right="144"/>
    </w:pPr>
    <w:rPr>
      <w:rFonts w:ascii="Calibri" w:eastAsia="Calibri" w:hAnsi="Calibri"/>
      <w:kern w:val="20"/>
      <w:sz w:val="22"/>
      <w:lang w:val="nl-NL"/>
    </w:rPr>
  </w:style>
  <w:style w:type="paragraph" w:customStyle="1" w:styleId="Kopvooromgekeerdetabel">
    <w:name w:val="Kop voor omgekeerde tabel"/>
    <w:basedOn w:val="Normal"/>
    <w:uiPriority w:val="9"/>
    <w:locked/>
    <w:pPr>
      <w:spacing w:after="40"/>
      <w:ind w:left="144" w:right="144"/>
    </w:pPr>
    <w:rPr>
      <w:rFonts w:ascii="Cambria" w:eastAsia="MS Gothic" w:hAnsi="Cambria"/>
      <w:caps/>
      <w:color w:val="FFFFFF"/>
      <w:kern w:val="20"/>
      <w:lang w:val="nl-NL"/>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semiHidden/>
    <w:unhideWhenUsed/>
    <w:rPr>
      <w:b/>
      <w:bCs/>
    </w:rPr>
  </w:style>
  <w:style w:type="character" w:customStyle="1" w:styleId="CommentTextChar">
    <w:name w:val="Comment Text Char"/>
    <w:link w:val="CommentText"/>
    <w:uiPriority w:val="99"/>
    <w:semiHidden/>
    <w:rPr>
      <w:lang w:val="fr-FR" w:eastAsia="en-US"/>
    </w:rPr>
  </w:style>
  <w:style w:type="character" w:customStyle="1" w:styleId="CommentSubjectChar">
    <w:name w:val="Comment Subject Char"/>
    <w:link w:val="CommentSubject"/>
    <w:semiHidden/>
    <w:rPr>
      <w:b/>
      <w:bCs/>
      <w:lang w:val="fr-FR" w:eastAsia="en-US"/>
    </w:rPr>
  </w:style>
  <w:style w:type="character" w:customStyle="1" w:styleId="FootnoteTextChar">
    <w:name w:val="Footnote Text Char"/>
    <w:aliases w:val="Footnote Char,Fußnote Char,Fotnotstext1 Char,fn Char,Footnote Text Char2 Char Char,Footnote Text Char Char Char1 Char,Footnote Text Char1 Char Char Char Char,Footnote Text Char2 Char Char Char Char Char,footnote te Char,f Char,Ch Char"/>
    <w:uiPriority w:val="99"/>
    <w:rPr>
      <w:lang w:val="fr-FR" w:eastAsia="en-US"/>
    </w:rPr>
  </w:style>
  <w:style w:type="paragraph" w:styleId="Revision">
    <w:name w:val="Revision"/>
    <w:hidden/>
    <w:uiPriority w:val="99"/>
    <w:semiHidden/>
    <w:rPr>
      <w:sz w:val="24"/>
      <w:lang w:val="fr-FR" w:eastAsia="en-US"/>
    </w:rPr>
  </w:style>
  <w:style w:type="character" w:styleId="FollowedHyperlink">
    <w:name w:val="FollowedHyperlink"/>
    <w:semiHidden/>
    <w:unhideWhenUsed/>
    <w:rPr>
      <w:color w:val="3EBBF0"/>
      <w:u w:val="single"/>
    </w:rPr>
  </w:style>
  <w:style w:type="character" w:customStyle="1" w:styleId="affairetitle">
    <w:name w:val="affaire_title"/>
    <w:basedOn w:val="DefaultParagraphFont"/>
  </w:style>
  <w:style w:type="paragraph" w:customStyle="1" w:styleId="Kop4">
    <w:name w:val="Kop 4"/>
    <w:basedOn w:val="kop3"/>
    <w:link w:val="Kop4Char"/>
    <w:qFormat/>
    <w:pPr>
      <w:numPr>
        <w:ilvl w:val="1"/>
      </w:numPr>
    </w:pPr>
    <w:rPr>
      <w:rFonts w:cs="Arial"/>
      <w:b/>
      <w:bCs w:val="0"/>
      <w:i/>
      <w:color w:val="95B3D7" w:themeColor="accent1" w:themeTint="99"/>
    </w:rPr>
  </w:style>
  <w:style w:type="paragraph" w:customStyle="1" w:styleId="Kop5">
    <w:name w:val="Kop 5"/>
    <w:basedOn w:val="Normal"/>
    <w:link w:val="Kop5Char"/>
    <w:qFormat/>
    <w:pPr>
      <w:ind w:left="709"/>
    </w:pPr>
    <w:rPr>
      <w:rFonts w:ascii="Verdana" w:hAnsi="Verdana"/>
      <w:color w:val="7BCCFF"/>
    </w:rPr>
  </w:style>
  <w:style w:type="character" w:customStyle="1" w:styleId="Kop4Char">
    <w:name w:val="Kop 4 Char"/>
    <w:link w:val="Kop4"/>
    <w:rPr>
      <w:rFonts w:ascii="Arial" w:hAnsi="Arial" w:cs="Arial"/>
      <w:b/>
      <w:i/>
      <w:color w:val="95B3D7" w:themeColor="accent1" w:themeTint="99"/>
      <w:sz w:val="24"/>
      <w:lang w:eastAsia="en-US"/>
    </w:rPr>
  </w:style>
  <w:style w:type="character" w:customStyle="1" w:styleId="Kop5Char">
    <w:name w:val="Kop 5 Char"/>
    <w:link w:val="Kop5"/>
    <w:rPr>
      <w:rFonts w:ascii="Verdana" w:hAnsi="Verdana"/>
      <w:color w:val="7BCCFF"/>
      <w:sz w:val="24"/>
      <w:lang w:val="en-GB" w:eastAsia="en-US"/>
    </w:rPr>
  </w:style>
  <w:style w:type="paragraph" w:customStyle="1" w:styleId="MemberStateHeader">
    <w:name w:val="Member State Header"/>
    <w:basedOn w:val="Normal"/>
    <w:link w:val="MemberStateHeaderChar"/>
    <w:qFormat/>
    <w:pPr>
      <w:keepNext/>
      <w:keepLines/>
      <w:spacing w:after="0"/>
      <w:jc w:val="center"/>
      <w:outlineLvl w:val="1"/>
    </w:pPr>
    <w:rPr>
      <w:rFonts w:ascii="Verdana" w:eastAsia="MS Gothic" w:hAnsi="Verdana"/>
      <w:caps/>
      <w:color w:val="242852"/>
      <w:kern w:val="20"/>
      <w:sz w:val="28"/>
      <w:lang w:val="en-US"/>
    </w:rPr>
  </w:style>
  <w:style w:type="character" w:customStyle="1" w:styleId="MemberStateHeaderChar">
    <w:name w:val="Member State Header Char"/>
    <w:link w:val="MemberStateHeader"/>
    <w:rPr>
      <w:rFonts w:ascii="Verdana" w:eastAsia="MS Gothic" w:hAnsi="Verdana" w:cs="Times New Roman"/>
      <w:caps/>
      <w:color w:val="242852"/>
      <w:kern w:val="20"/>
      <w:sz w:val="28"/>
      <w:lang w:val="en-US"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caps/>
    </w:rPr>
  </w:style>
  <w:style w:type="character" w:customStyle="1" w:styleId="FooterCoverPageChar">
    <w:name w:val="Footer Cover Page Char"/>
    <w:basedOn w:val="DefaultParagraphFont"/>
    <w:link w:val="FooterCoverPage"/>
    <w:rPr>
      <w:caps/>
      <w:sz w:val="24"/>
      <w:lang w:eastAsia="en-US"/>
    </w:rPr>
  </w:style>
  <w:style w:type="paragraph" w:customStyle="1" w:styleId="HeaderCoverPage">
    <w:name w:val="Header Cover Page"/>
    <w:basedOn w:val="Normal"/>
    <w:link w:val="HeaderCoverPageChar"/>
    <w:pPr>
      <w:tabs>
        <w:tab w:val="center" w:pos="4535"/>
        <w:tab w:val="right" w:pos="9071"/>
      </w:tabs>
      <w:spacing w:after="120"/>
    </w:pPr>
    <w:rPr>
      <w:caps/>
    </w:rPr>
  </w:style>
  <w:style w:type="character" w:customStyle="1" w:styleId="HeaderCoverPageChar">
    <w:name w:val="Header Cover Page Char"/>
    <w:basedOn w:val="DefaultParagraphFont"/>
    <w:link w:val="HeaderCoverPage"/>
    <w:rPr>
      <w:caps/>
      <w:sz w:val="24"/>
      <w:lang w:eastAsia="en-US"/>
    </w:rPr>
  </w:style>
  <w:style w:type="paragraph" w:customStyle="1" w:styleId="Title1">
    <w:name w:val="Title1"/>
    <w:basedOn w:val="Normal"/>
    <w:next w:val="Normal"/>
    <w:link w:val="TITLEChar"/>
    <w:autoRedefine/>
    <w:uiPriority w:val="1"/>
    <w:unhideWhenUsed/>
    <w:pPr>
      <w:keepNext/>
      <w:keepLines/>
      <w:outlineLvl w:val="1"/>
    </w:pPr>
    <w:rPr>
      <w:rFonts w:ascii="Arial" w:eastAsia="MS Gothic" w:hAnsi="Arial" w:cs="Arial"/>
      <w:caps/>
      <w:color w:val="4F81BD" w:themeColor="accent1"/>
      <w:kern w:val="20"/>
      <w:sz w:val="28"/>
    </w:rPr>
  </w:style>
  <w:style w:type="character" w:customStyle="1" w:styleId="TITLEChar">
    <w:name w:val="TITLE Char"/>
    <w:link w:val="Title1"/>
    <w:uiPriority w:val="1"/>
    <w:rPr>
      <w:rFonts w:ascii="Arial" w:eastAsia="MS Gothic" w:hAnsi="Arial" w:cs="Arial"/>
      <w:caps/>
      <w:color w:val="4F81BD" w:themeColor="accent1"/>
      <w:kern w:val="20"/>
      <w:sz w:val="28"/>
      <w:lang w:eastAsia="en-US"/>
    </w:rPr>
  </w:style>
  <w:style w:type="paragraph" w:customStyle="1" w:styleId="Stylekop2LatinArialCustomColorRGB79129189After">
    <w:name w:val="Style kop 2 + (Latin) Arial Custom Color(RGB(79129189)) After: ..."/>
    <w:basedOn w:val="kop2"/>
    <w:rPr>
      <w:rFonts w:eastAsia="Times New Roman"/>
    </w:rPr>
  </w:style>
  <w:style w:type="paragraph" w:customStyle="1" w:styleId="Style2">
    <w:name w:val="Style2"/>
    <w:basedOn w:val="kop2"/>
    <w:link w:val="Style2Char"/>
  </w:style>
  <w:style w:type="paragraph" w:customStyle="1" w:styleId="StyleSubtitleBoldAccent1Left">
    <w:name w:val="Style Subtitle + Bold Accent 1 Left"/>
    <w:basedOn w:val="Subtitle"/>
    <w:qFormat/>
    <w:pPr>
      <w:jc w:val="left"/>
    </w:pPr>
    <w:rPr>
      <w:b/>
      <w:bCs/>
      <w:color w:val="4F81BD" w:themeColor="accent1"/>
    </w:rPr>
  </w:style>
  <w:style w:type="character" w:customStyle="1" w:styleId="Style2Char">
    <w:name w:val="Style2 Char"/>
    <w:basedOn w:val="kop2Char"/>
    <w:link w:val="Style2"/>
    <w:rPr>
      <w:rFonts w:ascii="Arial" w:eastAsia="MS Gothic" w:hAnsi="Arial" w:cs="Arial"/>
      <w:caps/>
      <w:color w:val="4F81BD"/>
      <w:kern w:val="20"/>
      <w:sz w:val="24"/>
      <w:szCs w:val="24"/>
      <w:lang w:eastAsia="en-US"/>
    </w:rPr>
  </w:style>
  <w:style w:type="paragraph" w:customStyle="1" w:styleId="StyleSubtitleBoldAccent1Left1">
    <w:name w:val="Style Subtitle + Bold Accent 1 Left1"/>
    <w:basedOn w:val="Subtitle"/>
    <w:qFormat/>
    <w:pPr>
      <w:jc w:val="left"/>
    </w:pPr>
    <w:rPr>
      <w:b/>
      <w:bCs/>
      <w:color w:val="4F81BD" w:themeColor="accent1"/>
    </w:rPr>
  </w:style>
  <w:style w:type="character" w:styleId="EndnoteReference">
    <w:name w:val="endnote reference"/>
    <w:basedOn w:val="DefaultParagraphFont"/>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qFormat="1"/>
    <w:lsdException w:name="annotation text" w:uiPriority="99"/>
    <w:lsdException w:name="header" w:uiPriority="99"/>
    <w:lsdException w:name="footer" w:uiPriority="99"/>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1643E"/>
    <w:pPr>
      <w:spacing w:after="240"/>
      <w:jc w:val="both"/>
    </w:pPr>
    <w:rPr>
      <w:sz w:val="24"/>
      <w:lang w:eastAsia="en-US"/>
    </w:rPr>
  </w:style>
  <w:style w:type="paragraph" w:styleId="Heading1">
    <w:name w:val="heading 1"/>
    <w:basedOn w:val="Normal"/>
    <w:next w:val="Text1"/>
    <w:rsid w:val="00577EC6"/>
    <w:pPr>
      <w:keepNext/>
      <w:numPr>
        <w:numId w:val="3"/>
      </w:numPr>
      <w:spacing w:before="240"/>
      <w:outlineLvl w:val="0"/>
    </w:pPr>
    <w:rPr>
      <w:b/>
      <w:smallCaps/>
    </w:rPr>
  </w:style>
  <w:style w:type="paragraph" w:styleId="Heading2">
    <w:name w:val="heading 2"/>
    <w:basedOn w:val="Normal"/>
    <w:next w:val="Text2"/>
    <w:rsid w:val="00577EC6"/>
    <w:pPr>
      <w:keepNext/>
      <w:numPr>
        <w:ilvl w:val="1"/>
        <w:numId w:val="3"/>
      </w:numPr>
      <w:outlineLvl w:val="1"/>
    </w:pPr>
    <w:rPr>
      <w:b/>
    </w:rPr>
  </w:style>
  <w:style w:type="paragraph" w:styleId="Heading3">
    <w:name w:val="heading 3"/>
    <w:basedOn w:val="Normal"/>
    <w:next w:val="Text3"/>
    <w:rsid w:val="00577EC6"/>
    <w:pPr>
      <w:keepNext/>
      <w:numPr>
        <w:ilvl w:val="2"/>
        <w:numId w:val="3"/>
      </w:numPr>
      <w:outlineLvl w:val="2"/>
    </w:pPr>
    <w:rPr>
      <w:i/>
    </w:rPr>
  </w:style>
  <w:style w:type="paragraph" w:styleId="Heading4">
    <w:name w:val="heading 4"/>
    <w:basedOn w:val="Normal"/>
    <w:next w:val="Text4"/>
    <w:rsid w:val="00577EC6"/>
    <w:pPr>
      <w:keepNext/>
      <w:numPr>
        <w:ilvl w:val="3"/>
        <w:numId w:val="3"/>
      </w:numPr>
      <w:outlineLvl w:val="3"/>
    </w:pPr>
  </w:style>
  <w:style w:type="paragraph" w:styleId="Heading5">
    <w:name w:val="heading 5"/>
    <w:basedOn w:val="Normal"/>
    <w:next w:val="Normal"/>
    <w:rsid w:val="00461D0A"/>
    <w:pPr>
      <w:tabs>
        <w:tab w:val="num" w:pos="0"/>
      </w:tabs>
      <w:spacing w:before="240" w:after="60"/>
      <w:outlineLvl w:val="4"/>
    </w:pPr>
    <w:rPr>
      <w:rFonts w:ascii="Arial" w:hAnsi="Arial"/>
      <w:sz w:val="22"/>
    </w:rPr>
  </w:style>
  <w:style w:type="paragraph" w:styleId="Heading6">
    <w:name w:val="heading 6"/>
    <w:basedOn w:val="Normal"/>
    <w:next w:val="Normal"/>
    <w:rsid w:val="00461D0A"/>
    <w:pPr>
      <w:tabs>
        <w:tab w:val="num" w:pos="0"/>
      </w:tabs>
      <w:spacing w:before="240" w:after="60"/>
      <w:outlineLvl w:val="5"/>
    </w:pPr>
    <w:rPr>
      <w:rFonts w:ascii="Arial" w:hAnsi="Arial"/>
      <w:i/>
      <w:sz w:val="22"/>
    </w:rPr>
  </w:style>
  <w:style w:type="paragraph" w:styleId="Heading7">
    <w:name w:val="heading 7"/>
    <w:basedOn w:val="Normal"/>
    <w:next w:val="Normal"/>
    <w:rsid w:val="00461D0A"/>
    <w:pPr>
      <w:tabs>
        <w:tab w:val="num" w:pos="0"/>
      </w:tabs>
      <w:spacing w:before="240" w:after="60"/>
      <w:outlineLvl w:val="6"/>
    </w:pPr>
    <w:rPr>
      <w:rFonts w:ascii="Arial" w:hAnsi="Arial"/>
      <w:sz w:val="20"/>
    </w:rPr>
  </w:style>
  <w:style w:type="paragraph" w:styleId="Heading8">
    <w:name w:val="heading 8"/>
    <w:basedOn w:val="Normal"/>
    <w:next w:val="Normal"/>
    <w:rsid w:val="00461D0A"/>
    <w:pPr>
      <w:tabs>
        <w:tab w:val="num" w:pos="0"/>
      </w:tabs>
      <w:spacing w:before="240" w:after="60"/>
      <w:outlineLvl w:val="7"/>
    </w:pPr>
    <w:rPr>
      <w:rFonts w:ascii="Arial" w:hAnsi="Arial"/>
      <w:i/>
      <w:sz w:val="20"/>
    </w:rPr>
  </w:style>
  <w:style w:type="paragraph" w:styleId="Heading9">
    <w:name w:val="heading 9"/>
    <w:basedOn w:val="Normal"/>
    <w:next w:val="Normal"/>
    <w:rsid w:val="00461D0A"/>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61D0A"/>
    <w:pPr>
      <w:ind w:left="482"/>
    </w:pPr>
  </w:style>
  <w:style w:type="paragraph" w:customStyle="1" w:styleId="Text2">
    <w:name w:val="Text 2"/>
    <w:basedOn w:val="Normal"/>
    <w:rsid w:val="00461D0A"/>
    <w:pPr>
      <w:tabs>
        <w:tab w:val="left" w:pos="2302"/>
      </w:tabs>
      <w:ind w:left="1202"/>
    </w:pPr>
  </w:style>
  <w:style w:type="paragraph" w:customStyle="1" w:styleId="Text3">
    <w:name w:val="Text 3"/>
    <w:basedOn w:val="Normal"/>
    <w:rsid w:val="00461D0A"/>
    <w:pPr>
      <w:tabs>
        <w:tab w:val="left" w:pos="2302"/>
      </w:tabs>
      <w:ind w:left="1202"/>
    </w:pPr>
  </w:style>
  <w:style w:type="paragraph" w:customStyle="1" w:styleId="Text4">
    <w:name w:val="Text 4"/>
    <w:basedOn w:val="Normal"/>
    <w:rsid w:val="00461D0A"/>
    <w:pPr>
      <w:tabs>
        <w:tab w:val="left" w:pos="2302"/>
      </w:tabs>
      <w:ind w:left="1202"/>
    </w:pPr>
  </w:style>
  <w:style w:type="paragraph" w:customStyle="1" w:styleId="Address">
    <w:name w:val="Address"/>
    <w:basedOn w:val="Normal"/>
    <w:rsid w:val="00461D0A"/>
    <w:pPr>
      <w:spacing w:after="0"/>
      <w:jc w:val="left"/>
    </w:pPr>
  </w:style>
  <w:style w:type="paragraph" w:customStyle="1" w:styleId="AddressTL">
    <w:name w:val="AddressTL"/>
    <w:basedOn w:val="Normal"/>
    <w:next w:val="Normal"/>
    <w:rsid w:val="00461D0A"/>
    <w:pPr>
      <w:spacing w:after="720"/>
      <w:jc w:val="left"/>
    </w:pPr>
  </w:style>
  <w:style w:type="paragraph" w:customStyle="1" w:styleId="AddressTR">
    <w:name w:val="AddressTR"/>
    <w:basedOn w:val="Normal"/>
    <w:next w:val="Normal"/>
    <w:rsid w:val="00461D0A"/>
    <w:pPr>
      <w:spacing w:after="720"/>
      <w:ind w:left="5103"/>
      <w:jc w:val="left"/>
    </w:pPr>
  </w:style>
  <w:style w:type="paragraph" w:styleId="BlockText">
    <w:name w:val="Block Text"/>
    <w:basedOn w:val="Normal"/>
    <w:rsid w:val="00461D0A"/>
    <w:pPr>
      <w:spacing w:after="120"/>
      <w:ind w:left="1440" w:right="1440"/>
    </w:pPr>
  </w:style>
  <w:style w:type="paragraph" w:styleId="BodyText">
    <w:name w:val="Body Text"/>
    <w:basedOn w:val="Normal"/>
    <w:rsid w:val="00461D0A"/>
    <w:pPr>
      <w:spacing w:after="120"/>
    </w:pPr>
  </w:style>
  <w:style w:type="paragraph" w:styleId="BodyText2">
    <w:name w:val="Body Text 2"/>
    <w:basedOn w:val="Normal"/>
    <w:rsid w:val="00461D0A"/>
    <w:pPr>
      <w:spacing w:after="120" w:line="480" w:lineRule="auto"/>
    </w:pPr>
  </w:style>
  <w:style w:type="paragraph" w:styleId="BodyText3">
    <w:name w:val="Body Text 3"/>
    <w:basedOn w:val="Normal"/>
    <w:rsid w:val="00461D0A"/>
    <w:pPr>
      <w:spacing w:after="120"/>
    </w:pPr>
    <w:rPr>
      <w:sz w:val="16"/>
    </w:rPr>
  </w:style>
  <w:style w:type="paragraph" w:styleId="BodyTextFirstIndent">
    <w:name w:val="Body Text First Indent"/>
    <w:basedOn w:val="BodyText"/>
    <w:rsid w:val="00461D0A"/>
    <w:pPr>
      <w:ind w:firstLine="210"/>
    </w:pPr>
  </w:style>
  <w:style w:type="paragraph" w:styleId="BodyTextIndent">
    <w:name w:val="Body Text Indent"/>
    <w:basedOn w:val="Normal"/>
    <w:rsid w:val="00461D0A"/>
    <w:pPr>
      <w:spacing w:after="120"/>
      <w:ind w:left="283"/>
    </w:pPr>
  </w:style>
  <w:style w:type="paragraph" w:styleId="BodyTextFirstIndent2">
    <w:name w:val="Body Text First Indent 2"/>
    <w:basedOn w:val="BodyTextIndent"/>
    <w:rsid w:val="00461D0A"/>
    <w:pPr>
      <w:ind w:firstLine="210"/>
    </w:pPr>
  </w:style>
  <w:style w:type="paragraph" w:styleId="BodyTextIndent2">
    <w:name w:val="Body Text Indent 2"/>
    <w:basedOn w:val="Normal"/>
    <w:rsid w:val="00461D0A"/>
    <w:pPr>
      <w:spacing w:after="120" w:line="480" w:lineRule="auto"/>
      <w:ind w:left="283"/>
    </w:pPr>
  </w:style>
  <w:style w:type="paragraph" w:styleId="BodyTextIndent3">
    <w:name w:val="Body Text Indent 3"/>
    <w:basedOn w:val="Normal"/>
    <w:rsid w:val="00461D0A"/>
    <w:pPr>
      <w:spacing w:after="120"/>
      <w:ind w:left="283"/>
    </w:pPr>
    <w:rPr>
      <w:sz w:val="16"/>
    </w:rPr>
  </w:style>
  <w:style w:type="paragraph" w:styleId="Caption">
    <w:name w:val="caption"/>
    <w:basedOn w:val="Normal"/>
    <w:next w:val="Normal"/>
    <w:rsid w:val="00461D0A"/>
    <w:pPr>
      <w:spacing w:before="120" w:after="120"/>
    </w:pPr>
    <w:rPr>
      <w:b/>
    </w:rPr>
  </w:style>
  <w:style w:type="paragraph" w:customStyle="1" w:styleId="ChapterTitle">
    <w:name w:val="ChapterTitle"/>
    <w:basedOn w:val="Normal"/>
    <w:next w:val="SectionTitle"/>
    <w:rsid w:val="00461D0A"/>
    <w:pPr>
      <w:keepNext/>
      <w:spacing w:after="480"/>
      <w:jc w:val="center"/>
    </w:pPr>
    <w:rPr>
      <w:b/>
      <w:sz w:val="32"/>
    </w:rPr>
  </w:style>
  <w:style w:type="paragraph" w:customStyle="1" w:styleId="SectionTitle">
    <w:name w:val="SectionTitle"/>
    <w:basedOn w:val="Normal"/>
    <w:next w:val="Heading1"/>
    <w:rsid w:val="00461D0A"/>
    <w:pPr>
      <w:keepNext/>
      <w:spacing w:after="480"/>
      <w:jc w:val="center"/>
    </w:pPr>
    <w:rPr>
      <w:b/>
      <w:smallCaps/>
      <w:sz w:val="28"/>
    </w:rPr>
  </w:style>
  <w:style w:type="paragraph" w:styleId="Closing">
    <w:name w:val="Closing"/>
    <w:basedOn w:val="Normal"/>
    <w:rsid w:val="00461D0A"/>
    <w:pPr>
      <w:ind w:left="4252"/>
    </w:pPr>
  </w:style>
  <w:style w:type="paragraph" w:styleId="CommentText">
    <w:name w:val="annotation text"/>
    <w:basedOn w:val="Normal"/>
    <w:link w:val="CommentTextChar"/>
    <w:uiPriority w:val="99"/>
    <w:semiHidden/>
    <w:rsid w:val="00461D0A"/>
    <w:rPr>
      <w:sz w:val="20"/>
    </w:rPr>
  </w:style>
  <w:style w:type="paragraph" w:styleId="Date">
    <w:name w:val="Date"/>
    <w:basedOn w:val="Normal"/>
    <w:next w:val="References"/>
    <w:rsid w:val="00461D0A"/>
    <w:pPr>
      <w:spacing w:after="0"/>
      <w:ind w:left="5103" w:right="-567"/>
      <w:jc w:val="left"/>
    </w:pPr>
  </w:style>
  <w:style w:type="paragraph" w:customStyle="1" w:styleId="References">
    <w:name w:val="References"/>
    <w:basedOn w:val="Normal"/>
    <w:next w:val="AddressTR"/>
    <w:rsid w:val="00461D0A"/>
    <w:pPr>
      <w:ind w:left="5103"/>
      <w:jc w:val="left"/>
    </w:pPr>
    <w:rPr>
      <w:sz w:val="20"/>
    </w:rPr>
  </w:style>
  <w:style w:type="paragraph" w:styleId="DocumentMap">
    <w:name w:val="Document Map"/>
    <w:basedOn w:val="Normal"/>
    <w:semiHidden/>
    <w:rsid w:val="00461D0A"/>
    <w:pPr>
      <w:shd w:val="clear" w:color="auto" w:fill="000080"/>
    </w:pPr>
    <w:rPr>
      <w:rFonts w:ascii="Tahoma" w:hAnsi="Tahoma"/>
    </w:rPr>
  </w:style>
  <w:style w:type="paragraph" w:customStyle="1" w:styleId="DoubSign">
    <w:name w:val="DoubSign"/>
    <w:basedOn w:val="Normal"/>
    <w:next w:val="Enclosures"/>
    <w:rsid w:val="00461D0A"/>
    <w:pPr>
      <w:tabs>
        <w:tab w:val="left" w:pos="5103"/>
      </w:tabs>
      <w:spacing w:before="1200" w:after="0"/>
      <w:jc w:val="left"/>
    </w:pPr>
  </w:style>
  <w:style w:type="paragraph" w:customStyle="1" w:styleId="Enclosures">
    <w:name w:val="Enclosures"/>
    <w:basedOn w:val="Normal"/>
    <w:rsid w:val="00461D0A"/>
    <w:pPr>
      <w:keepNext/>
      <w:keepLines/>
      <w:tabs>
        <w:tab w:val="left" w:pos="5642"/>
      </w:tabs>
      <w:spacing w:before="480" w:after="0"/>
      <w:ind w:left="1191" w:hanging="1191"/>
      <w:jc w:val="left"/>
    </w:pPr>
  </w:style>
  <w:style w:type="paragraph" w:styleId="EndnoteText">
    <w:name w:val="endnote text"/>
    <w:basedOn w:val="Normal"/>
    <w:semiHidden/>
    <w:rsid w:val="00461D0A"/>
    <w:rPr>
      <w:sz w:val="20"/>
    </w:rPr>
  </w:style>
  <w:style w:type="paragraph" w:styleId="EnvelopeAddress">
    <w:name w:val="envelope address"/>
    <w:basedOn w:val="Normal"/>
    <w:rsid w:val="00461D0A"/>
    <w:pPr>
      <w:framePr w:w="7920" w:h="1980" w:hRule="exact" w:hSpace="180" w:wrap="auto" w:hAnchor="page" w:xAlign="center" w:yAlign="bottom"/>
      <w:spacing w:after="0"/>
    </w:pPr>
  </w:style>
  <w:style w:type="paragraph" w:styleId="EnvelopeReturn">
    <w:name w:val="envelope return"/>
    <w:basedOn w:val="Normal"/>
    <w:rsid w:val="00461D0A"/>
    <w:pPr>
      <w:spacing w:after="0"/>
    </w:pPr>
    <w:rPr>
      <w:sz w:val="20"/>
    </w:rPr>
  </w:style>
  <w:style w:type="paragraph" w:styleId="Footer">
    <w:name w:val="footer"/>
    <w:basedOn w:val="Normal"/>
    <w:link w:val="FooterChar"/>
    <w:uiPriority w:val="99"/>
    <w:rsid w:val="00461D0A"/>
    <w:pPr>
      <w:spacing w:after="0"/>
      <w:ind w:right="-567"/>
      <w:jc w:val="left"/>
    </w:pPr>
    <w:rPr>
      <w:rFonts w:ascii="Arial" w:hAnsi="Arial"/>
      <w:sz w:val="16"/>
    </w:rPr>
  </w:style>
  <w:style w:type="paragraph" w:styleId="FootnoteText">
    <w:name w:val="footnote text"/>
    <w:aliases w:val="Fußnote,Fotnotstext1,fn,Footnote Text Char2 Char,Footnote Text Char Char Char1,Footnote Text Char1 Char Char Char,Footnote Text Char2 Char Char Char Char,Footnote Text Char1 Char1 Char Char Char Char,footnote te,Voetnootteks,f,Ch"/>
    <w:basedOn w:val="Normal"/>
    <w:uiPriority w:val="99"/>
    <w:qFormat/>
    <w:rsid w:val="00DE4BF6"/>
    <w:pPr>
      <w:spacing w:after="0"/>
      <w:ind w:left="357" w:hanging="357"/>
    </w:pPr>
    <w:rPr>
      <w:rFonts w:ascii="Arial" w:hAnsi="Arial" w:cs="Arial"/>
      <w:sz w:val="18"/>
      <w:szCs w:val="18"/>
    </w:rPr>
  </w:style>
  <w:style w:type="paragraph" w:styleId="Header">
    <w:name w:val="header"/>
    <w:basedOn w:val="Normal"/>
    <w:link w:val="HeaderChar"/>
    <w:uiPriority w:val="99"/>
    <w:rsid w:val="00461D0A"/>
    <w:pPr>
      <w:tabs>
        <w:tab w:val="center" w:pos="4153"/>
        <w:tab w:val="right" w:pos="8306"/>
      </w:tabs>
    </w:pPr>
  </w:style>
  <w:style w:type="paragraph" w:styleId="Index1">
    <w:name w:val="index 1"/>
    <w:basedOn w:val="Normal"/>
    <w:next w:val="Normal"/>
    <w:autoRedefine/>
    <w:semiHidden/>
    <w:rsid w:val="00461D0A"/>
    <w:pPr>
      <w:ind w:left="240" w:hanging="240"/>
    </w:pPr>
  </w:style>
  <w:style w:type="paragraph" w:styleId="Index2">
    <w:name w:val="index 2"/>
    <w:basedOn w:val="Normal"/>
    <w:next w:val="Normal"/>
    <w:autoRedefine/>
    <w:semiHidden/>
    <w:rsid w:val="00461D0A"/>
    <w:pPr>
      <w:ind w:left="480" w:hanging="240"/>
    </w:pPr>
  </w:style>
  <w:style w:type="paragraph" w:styleId="Index3">
    <w:name w:val="index 3"/>
    <w:basedOn w:val="Normal"/>
    <w:next w:val="Normal"/>
    <w:autoRedefine/>
    <w:semiHidden/>
    <w:rsid w:val="00461D0A"/>
    <w:pPr>
      <w:ind w:left="720" w:hanging="240"/>
    </w:pPr>
  </w:style>
  <w:style w:type="paragraph" w:styleId="Index4">
    <w:name w:val="index 4"/>
    <w:basedOn w:val="Normal"/>
    <w:next w:val="Normal"/>
    <w:autoRedefine/>
    <w:semiHidden/>
    <w:rsid w:val="00461D0A"/>
    <w:pPr>
      <w:ind w:left="960" w:hanging="240"/>
    </w:pPr>
  </w:style>
  <w:style w:type="paragraph" w:styleId="Index5">
    <w:name w:val="index 5"/>
    <w:basedOn w:val="Normal"/>
    <w:next w:val="Normal"/>
    <w:autoRedefine/>
    <w:semiHidden/>
    <w:rsid w:val="00461D0A"/>
    <w:pPr>
      <w:ind w:left="1200" w:hanging="240"/>
    </w:pPr>
  </w:style>
  <w:style w:type="paragraph" w:styleId="Index6">
    <w:name w:val="index 6"/>
    <w:basedOn w:val="Normal"/>
    <w:next w:val="Normal"/>
    <w:autoRedefine/>
    <w:semiHidden/>
    <w:rsid w:val="00461D0A"/>
    <w:pPr>
      <w:ind w:left="1440" w:hanging="240"/>
    </w:pPr>
  </w:style>
  <w:style w:type="paragraph" w:styleId="Index7">
    <w:name w:val="index 7"/>
    <w:basedOn w:val="Normal"/>
    <w:next w:val="Normal"/>
    <w:autoRedefine/>
    <w:semiHidden/>
    <w:rsid w:val="00461D0A"/>
    <w:pPr>
      <w:ind w:left="1680" w:hanging="240"/>
    </w:pPr>
  </w:style>
  <w:style w:type="paragraph" w:styleId="Index8">
    <w:name w:val="index 8"/>
    <w:basedOn w:val="Normal"/>
    <w:next w:val="Normal"/>
    <w:autoRedefine/>
    <w:semiHidden/>
    <w:rsid w:val="00461D0A"/>
    <w:pPr>
      <w:ind w:left="1920" w:hanging="240"/>
    </w:pPr>
  </w:style>
  <w:style w:type="paragraph" w:styleId="Index9">
    <w:name w:val="index 9"/>
    <w:basedOn w:val="Normal"/>
    <w:next w:val="Normal"/>
    <w:autoRedefine/>
    <w:semiHidden/>
    <w:rsid w:val="00461D0A"/>
    <w:pPr>
      <w:ind w:left="2160" w:hanging="240"/>
    </w:pPr>
  </w:style>
  <w:style w:type="paragraph" w:styleId="IndexHeading">
    <w:name w:val="index heading"/>
    <w:basedOn w:val="Normal"/>
    <w:next w:val="Index1"/>
    <w:semiHidden/>
    <w:rsid w:val="00461D0A"/>
    <w:rPr>
      <w:rFonts w:ascii="Arial" w:hAnsi="Arial"/>
      <w:b/>
    </w:rPr>
  </w:style>
  <w:style w:type="paragraph" w:styleId="List">
    <w:name w:val="List"/>
    <w:basedOn w:val="Normal"/>
    <w:rsid w:val="00461D0A"/>
    <w:pPr>
      <w:ind w:left="283" w:hanging="283"/>
    </w:pPr>
  </w:style>
  <w:style w:type="paragraph" w:styleId="List2">
    <w:name w:val="List 2"/>
    <w:basedOn w:val="Normal"/>
    <w:rsid w:val="00461D0A"/>
    <w:pPr>
      <w:ind w:left="566" w:hanging="283"/>
    </w:pPr>
  </w:style>
  <w:style w:type="paragraph" w:styleId="List3">
    <w:name w:val="List 3"/>
    <w:basedOn w:val="Normal"/>
    <w:rsid w:val="00461D0A"/>
    <w:pPr>
      <w:ind w:left="849" w:hanging="283"/>
    </w:pPr>
  </w:style>
  <w:style w:type="paragraph" w:styleId="List4">
    <w:name w:val="List 4"/>
    <w:basedOn w:val="Normal"/>
    <w:rsid w:val="00461D0A"/>
    <w:pPr>
      <w:ind w:left="1132" w:hanging="283"/>
    </w:pPr>
  </w:style>
  <w:style w:type="paragraph" w:styleId="List5">
    <w:name w:val="List 5"/>
    <w:basedOn w:val="Normal"/>
    <w:rsid w:val="00461D0A"/>
    <w:pPr>
      <w:ind w:left="1415" w:hanging="283"/>
    </w:pPr>
  </w:style>
  <w:style w:type="paragraph" w:styleId="ListBullet">
    <w:name w:val="List Bullet"/>
    <w:basedOn w:val="Normal"/>
    <w:rsid w:val="00577EC6"/>
    <w:pPr>
      <w:numPr>
        <w:numId w:val="4"/>
      </w:numPr>
    </w:pPr>
  </w:style>
  <w:style w:type="paragraph" w:styleId="ListBullet2">
    <w:name w:val="List Bullet 2"/>
    <w:basedOn w:val="Text2"/>
    <w:rsid w:val="00577EC6"/>
    <w:pPr>
      <w:numPr>
        <w:numId w:val="6"/>
      </w:numPr>
      <w:tabs>
        <w:tab w:val="clear" w:pos="2302"/>
      </w:tabs>
    </w:pPr>
  </w:style>
  <w:style w:type="paragraph" w:styleId="ListBullet3">
    <w:name w:val="List Bullet 3"/>
    <w:basedOn w:val="Text3"/>
    <w:rsid w:val="00577EC6"/>
    <w:pPr>
      <w:numPr>
        <w:numId w:val="7"/>
      </w:numPr>
      <w:tabs>
        <w:tab w:val="clear" w:pos="2302"/>
      </w:tabs>
    </w:pPr>
  </w:style>
  <w:style w:type="paragraph" w:styleId="ListBullet4">
    <w:name w:val="List Bullet 4"/>
    <w:basedOn w:val="Text4"/>
    <w:rsid w:val="00577EC6"/>
    <w:pPr>
      <w:numPr>
        <w:numId w:val="8"/>
      </w:numPr>
      <w:tabs>
        <w:tab w:val="clear" w:pos="2302"/>
      </w:tabs>
    </w:pPr>
  </w:style>
  <w:style w:type="paragraph" w:styleId="ListBullet5">
    <w:name w:val="List Bullet 5"/>
    <w:basedOn w:val="Normal"/>
    <w:autoRedefine/>
    <w:rsid w:val="00577EC6"/>
    <w:pPr>
      <w:numPr>
        <w:numId w:val="1"/>
      </w:numPr>
    </w:pPr>
  </w:style>
  <w:style w:type="paragraph" w:styleId="ListContinue">
    <w:name w:val="List Continue"/>
    <w:basedOn w:val="Normal"/>
    <w:rsid w:val="00461D0A"/>
    <w:pPr>
      <w:spacing w:after="120"/>
      <w:ind w:left="283"/>
    </w:pPr>
  </w:style>
  <w:style w:type="paragraph" w:styleId="ListContinue2">
    <w:name w:val="List Continue 2"/>
    <w:basedOn w:val="Normal"/>
    <w:rsid w:val="00461D0A"/>
    <w:pPr>
      <w:spacing w:after="120"/>
      <w:ind w:left="566"/>
    </w:pPr>
  </w:style>
  <w:style w:type="paragraph" w:styleId="ListContinue3">
    <w:name w:val="List Continue 3"/>
    <w:basedOn w:val="Normal"/>
    <w:rsid w:val="00461D0A"/>
    <w:pPr>
      <w:spacing w:after="120"/>
      <w:ind w:left="849"/>
    </w:pPr>
  </w:style>
  <w:style w:type="paragraph" w:styleId="ListContinue4">
    <w:name w:val="List Continue 4"/>
    <w:basedOn w:val="Normal"/>
    <w:rsid w:val="00461D0A"/>
    <w:pPr>
      <w:spacing w:after="120"/>
      <w:ind w:left="1132"/>
    </w:pPr>
  </w:style>
  <w:style w:type="paragraph" w:styleId="ListContinue5">
    <w:name w:val="List Continue 5"/>
    <w:basedOn w:val="Normal"/>
    <w:rsid w:val="00461D0A"/>
    <w:pPr>
      <w:spacing w:after="120"/>
      <w:ind w:left="1415"/>
    </w:pPr>
  </w:style>
  <w:style w:type="paragraph" w:styleId="ListNumber">
    <w:name w:val="List Number"/>
    <w:basedOn w:val="Normal"/>
    <w:rsid w:val="00577EC6"/>
    <w:pPr>
      <w:numPr>
        <w:numId w:val="14"/>
      </w:numPr>
    </w:pPr>
  </w:style>
  <w:style w:type="paragraph" w:styleId="ListNumber2">
    <w:name w:val="List Number 2"/>
    <w:basedOn w:val="Text2"/>
    <w:rsid w:val="00577EC6"/>
    <w:pPr>
      <w:numPr>
        <w:numId w:val="16"/>
      </w:numPr>
      <w:tabs>
        <w:tab w:val="clear" w:pos="2302"/>
      </w:tabs>
    </w:pPr>
  </w:style>
  <w:style w:type="paragraph" w:styleId="ListNumber3">
    <w:name w:val="List Number 3"/>
    <w:basedOn w:val="Text3"/>
    <w:rsid w:val="00577EC6"/>
    <w:pPr>
      <w:numPr>
        <w:numId w:val="17"/>
      </w:numPr>
      <w:tabs>
        <w:tab w:val="clear" w:pos="2302"/>
      </w:tabs>
    </w:pPr>
  </w:style>
  <w:style w:type="paragraph" w:styleId="ListNumber4">
    <w:name w:val="List Number 4"/>
    <w:basedOn w:val="Text4"/>
    <w:rsid w:val="00577EC6"/>
    <w:pPr>
      <w:numPr>
        <w:numId w:val="18"/>
      </w:numPr>
      <w:tabs>
        <w:tab w:val="clear" w:pos="2302"/>
      </w:tabs>
    </w:pPr>
  </w:style>
  <w:style w:type="paragraph" w:styleId="ListNumber5">
    <w:name w:val="List Number 5"/>
    <w:basedOn w:val="Normal"/>
    <w:rsid w:val="00577EC6"/>
    <w:pPr>
      <w:numPr>
        <w:numId w:val="2"/>
      </w:numPr>
    </w:pPr>
  </w:style>
  <w:style w:type="paragraph" w:styleId="MacroText">
    <w:name w:val="macro"/>
    <w:semiHidden/>
    <w:rsid w:val="00461D0A"/>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461D0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461D0A"/>
    <w:pPr>
      <w:ind w:left="720"/>
    </w:pPr>
  </w:style>
  <w:style w:type="paragraph" w:styleId="NoteHeading">
    <w:name w:val="Note Heading"/>
    <w:basedOn w:val="Normal"/>
    <w:next w:val="Normal"/>
    <w:rsid w:val="00461D0A"/>
  </w:style>
  <w:style w:type="paragraph" w:customStyle="1" w:styleId="NoteHead">
    <w:name w:val="NoteHead"/>
    <w:basedOn w:val="Normal"/>
    <w:next w:val="Subject"/>
    <w:rsid w:val="00461D0A"/>
    <w:pPr>
      <w:spacing w:before="720" w:after="720"/>
      <w:jc w:val="center"/>
    </w:pPr>
    <w:rPr>
      <w:b/>
      <w:smallCaps/>
    </w:rPr>
  </w:style>
  <w:style w:type="paragraph" w:customStyle="1" w:styleId="Subject">
    <w:name w:val="Subject"/>
    <w:basedOn w:val="Normal"/>
    <w:next w:val="Normal"/>
    <w:rsid w:val="00461D0A"/>
    <w:pPr>
      <w:spacing w:after="480"/>
      <w:ind w:left="1531" w:hanging="1531"/>
      <w:jc w:val="left"/>
    </w:pPr>
    <w:rPr>
      <w:b/>
    </w:rPr>
  </w:style>
  <w:style w:type="paragraph" w:customStyle="1" w:styleId="NoteList">
    <w:name w:val="NoteList"/>
    <w:basedOn w:val="Normal"/>
    <w:next w:val="Subject"/>
    <w:rsid w:val="00461D0A"/>
    <w:pPr>
      <w:tabs>
        <w:tab w:val="left" w:pos="5823"/>
      </w:tabs>
      <w:spacing w:before="720" w:after="720"/>
      <w:ind w:left="5104" w:hanging="3119"/>
      <w:jc w:val="left"/>
    </w:pPr>
    <w:rPr>
      <w:b/>
      <w:smallCaps/>
    </w:rPr>
  </w:style>
  <w:style w:type="paragraph" w:customStyle="1" w:styleId="NumPar1">
    <w:name w:val="NumPar 1"/>
    <w:basedOn w:val="Heading1"/>
    <w:next w:val="Text1"/>
    <w:rsid w:val="00577EC6"/>
    <w:pPr>
      <w:keepNext w:val="0"/>
      <w:spacing w:before="0"/>
      <w:outlineLvl w:val="9"/>
    </w:pPr>
    <w:rPr>
      <w:b w:val="0"/>
      <w:smallCaps w:val="0"/>
    </w:rPr>
  </w:style>
  <w:style w:type="paragraph" w:customStyle="1" w:styleId="NumPar2">
    <w:name w:val="NumPar 2"/>
    <w:basedOn w:val="Heading2"/>
    <w:next w:val="Text2"/>
    <w:rsid w:val="00577EC6"/>
    <w:pPr>
      <w:keepNext w:val="0"/>
      <w:outlineLvl w:val="9"/>
    </w:pPr>
    <w:rPr>
      <w:b w:val="0"/>
    </w:rPr>
  </w:style>
  <w:style w:type="paragraph" w:customStyle="1" w:styleId="NumPar3">
    <w:name w:val="NumPar 3"/>
    <w:basedOn w:val="Heading3"/>
    <w:next w:val="Text3"/>
    <w:rsid w:val="00577EC6"/>
    <w:pPr>
      <w:keepNext w:val="0"/>
      <w:outlineLvl w:val="9"/>
    </w:pPr>
    <w:rPr>
      <w:i w:val="0"/>
    </w:rPr>
  </w:style>
  <w:style w:type="paragraph" w:customStyle="1" w:styleId="NumPar4">
    <w:name w:val="NumPar 4"/>
    <w:basedOn w:val="Heading4"/>
    <w:next w:val="Text4"/>
    <w:rsid w:val="00577EC6"/>
    <w:pPr>
      <w:keepNext w:val="0"/>
      <w:outlineLvl w:val="9"/>
    </w:pPr>
  </w:style>
  <w:style w:type="paragraph" w:customStyle="1" w:styleId="PartTitle">
    <w:name w:val="PartTitle"/>
    <w:basedOn w:val="Normal"/>
    <w:next w:val="ChapterTitle"/>
    <w:rsid w:val="00461D0A"/>
    <w:pPr>
      <w:keepNext/>
      <w:pageBreakBefore/>
      <w:spacing w:after="480"/>
      <w:jc w:val="center"/>
    </w:pPr>
    <w:rPr>
      <w:b/>
      <w:sz w:val="36"/>
    </w:rPr>
  </w:style>
  <w:style w:type="paragraph" w:styleId="PlainText">
    <w:name w:val="Plain Text"/>
    <w:basedOn w:val="Normal"/>
    <w:rsid w:val="00461D0A"/>
    <w:rPr>
      <w:rFonts w:ascii="Courier New" w:hAnsi="Courier New"/>
      <w:sz w:val="20"/>
    </w:rPr>
  </w:style>
  <w:style w:type="paragraph" w:styleId="Salutation">
    <w:name w:val="Salutation"/>
    <w:basedOn w:val="Normal"/>
    <w:next w:val="Normal"/>
    <w:rsid w:val="00461D0A"/>
  </w:style>
  <w:style w:type="paragraph" w:styleId="Signature">
    <w:name w:val="Signature"/>
    <w:basedOn w:val="Normal"/>
    <w:next w:val="Enclosures"/>
    <w:rsid w:val="00461D0A"/>
    <w:pPr>
      <w:tabs>
        <w:tab w:val="left" w:pos="5103"/>
      </w:tabs>
      <w:spacing w:before="1200" w:after="0"/>
      <w:ind w:left="5103"/>
      <w:jc w:val="center"/>
    </w:pPr>
  </w:style>
  <w:style w:type="paragraph" w:styleId="Subtitle">
    <w:name w:val="Subtitle"/>
    <w:basedOn w:val="Normal"/>
    <w:rsid w:val="00461D0A"/>
    <w:pPr>
      <w:spacing w:after="60"/>
      <w:jc w:val="center"/>
      <w:outlineLvl w:val="1"/>
    </w:pPr>
    <w:rPr>
      <w:rFonts w:ascii="Arial" w:hAnsi="Arial"/>
    </w:rPr>
  </w:style>
  <w:style w:type="paragraph" w:customStyle="1" w:styleId="SubTitle1">
    <w:name w:val="SubTitle 1"/>
    <w:basedOn w:val="Normal"/>
    <w:next w:val="SubTitle2"/>
    <w:rsid w:val="00461D0A"/>
    <w:pPr>
      <w:jc w:val="center"/>
    </w:pPr>
    <w:rPr>
      <w:b/>
      <w:sz w:val="40"/>
    </w:rPr>
  </w:style>
  <w:style w:type="paragraph" w:customStyle="1" w:styleId="SubTitle2">
    <w:name w:val="SubTitle 2"/>
    <w:basedOn w:val="Normal"/>
    <w:rsid w:val="00461D0A"/>
    <w:pPr>
      <w:jc w:val="center"/>
    </w:pPr>
    <w:rPr>
      <w:b/>
      <w:sz w:val="32"/>
    </w:rPr>
  </w:style>
  <w:style w:type="paragraph" w:styleId="TableofAuthorities">
    <w:name w:val="table of authorities"/>
    <w:basedOn w:val="Normal"/>
    <w:next w:val="Normal"/>
    <w:semiHidden/>
    <w:rsid w:val="00461D0A"/>
    <w:pPr>
      <w:ind w:left="240" w:hanging="240"/>
    </w:pPr>
  </w:style>
  <w:style w:type="paragraph" w:styleId="TableofFigures">
    <w:name w:val="table of figures"/>
    <w:basedOn w:val="Normal"/>
    <w:next w:val="Normal"/>
    <w:semiHidden/>
    <w:rsid w:val="00461D0A"/>
    <w:pPr>
      <w:ind w:left="480" w:hanging="480"/>
    </w:pPr>
  </w:style>
  <w:style w:type="paragraph" w:styleId="Title">
    <w:name w:val="Title"/>
    <w:basedOn w:val="Normal"/>
    <w:next w:val="SubTitle1"/>
    <w:rsid w:val="00461D0A"/>
    <w:pPr>
      <w:spacing w:after="480"/>
      <w:jc w:val="center"/>
    </w:pPr>
    <w:rPr>
      <w:b/>
      <w:kern w:val="28"/>
      <w:sz w:val="48"/>
    </w:rPr>
  </w:style>
  <w:style w:type="paragraph" w:styleId="TOAHeading">
    <w:name w:val="toa heading"/>
    <w:basedOn w:val="Normal"/>
    <w:next w:val="Normal"/>
    <w:semiHidden/>
    <w:rsid w:val="00461D0A"/>
    <w:pPr>
      <w:spacing w:before="120"/>
    </w:pPr>
    <w:rPr>
      <w:rFonts w:ascii="Arial" w:hAnsi="Arial"/>
      <w:b/>
    </w:rPr>
  </w:style>
  <w:style w:type="paragraph" w:styleId="TOC1">
    <w:name w:val="toc 1"/>
    <w:basedOn w:val="Normal"/>
    <w:next w:val="Normal"/>
    <w:uiPriority w:val="39"/>
    <w:rsid w:val="00A0443E"/>
    <w:pPr>
      <w:spacing w:before="240" w:after="120"/>
      <w:jc w:val="left"/>
    </w:pPr>
    <w:rPr>
      <w:rFonts w:asciiTheme="minorHAnsi" w:hAnsiTheme="minorHAnsi"/>
      <w:b/>
      <w:bCs/>
      <w:sz w:val="20"/>
    </w:rPr>
  </w:style>
  <w:style w:type="paragraph" w:styleId="TOC2">
    <w:name w:val="toc 2"/>
    <w:basedOn w:val="Normal"/>
    <w:next w:val="Normal"/>
    <w:uiPriority w:val="39"/>
    <w:rsid w:val="00A0443E"/>
    <w:pPr>
      <w:spacing w:before="120" w:after="0"/>
      <w:ind w:left="240"/>
      <w:jc w:val="left"/>
    </w:pPr>
    <w:rPr>
      <w:rFonts w:asciiTheme="minorHAnsi" w:hAnsiTheme="minorHAnsi"/>
      <w:i/>
      <w:iCs/>
      <w:sz w:val="20"/>
    </w:rPr>
  </w:style>
  <w:style w:type="paragraph" w:styleId="TOC3">
    <w:name w:val="toc 3"/>
    <w:basedOn w:val="Normal"/>
    <w:next w:val="Normal"/>
    <w:uiPriority w:val="39"/>
    <w:rsid w:val="00461D0A"/>
    <w:pPr>
      <w:spacing w:after="0"/>
      <w:ind w:left="480"/>
      <w:jc w:val="left"/>
    </w:pPr>
    <w:rPr>
      <w:rFonts w:asciiTheme="minorHAnsi" w:hAnsiTheme="minorHAnsi"/>
      <w:sz w:val="20"/>
    </w:rPr>
  </w:style>
  <w:style w:type="paragraph" w:styleId="TOC4">
    <w:name w:val="toc 4"/>
    <w:basedOn w:val="Normal"/>
    <w:next w:val="Normal"/>
    <w:semiHidden/>
    <w:rsid w:val="00461D0A"/>
    <w:pPr>
      <w:spacing w:after="0"/>
      <w:ind w:left="720"/>
      <w:jc w:val="left"/>
    </w:pPr>
    <w:rPr>
      <w:rFonts w:asciiTheme="minorHAnsi" w:hAnsiTheme="minorHAnsi"/>
      <w:sz w:val="20"/>
    </w:rPr>
  </w:style>
  <w:style w:type="paragraph" w:styleId="TOC5">
    <w:name w:val="toc 5"/>
    <w:basedOn w:val="Normal"/>
    <w:next w:val="Normal"/>
    <w:semiHidden/>
    <w:rsid w:val="00461D0A"/>
    <w:pPr>
      <w:spacing w:after="0"/>
      <w:ind w:left="960"/>
      <w:jc w:val="left"/>
    </w:pPr>
    <w:rPr>
      <w:rFonts w:asciiTheme="minorHAnsi" w:hAnsiTheme="minorHAnsi"/>
      <w:sz w:val="20"/>
    </w:rPr>
  </w:style>
  <w:style w:type="paragraph" w:styleId="TOC6">
    <w:name w:val="toc 6"/>
    <w:basedOn w:val="Normal"/>
    <w:next w:val="Normal"/>
    <w:autoRedefine/>
    <w:semiHidden/>
    <w:rsid w:val="00461D0A"/>
    <w:pPr>
      <w:spacing w:after="0"/>
      <w:ind w:left="1200"/>
      <w:jc w:val="left"/>
    </w:pPr>
    <w:rPr>
      <w:rFonts w:asciiTheme="minorHAnsi" w:hAnsiTheme="minorHAnsi"/>
      <w:sz w:val="20"/>
    </w:rPr>
  </w:style>
  <w:style w:type="paragraph" w:styleId="TOC7">
    <w:name w:val="toc 7"/>
    <w:basedOn w:val="Normal"/>
    <w:next w:val="Normal"/>
    <w:autoRedefine/>
    <w:semiHidden/>
    <w:rsid w:val="00461D0A"/>
    <w:pPr>
      <w:spacing w:after="0"/>
      <w:ind w:left="1440"/>
      <w:jc w:val="left"/>
    </w:pPr>
    <w:rPr>
      <w:rFonts w:asciiTheme="minorHAnsi" w:hAnsiTheme="minorHAnsi"/>
      <w:sz w:val="20"/>
    </w:rPr>
  </w:style>
  <w:style w:type="paragraph" w:styleId="TOC8">
    <w:name w:val="toc 8"/>
    <w:basedOn w:val="Normal"/>
    <w:next w:val="Normal"/>
    <w:autoRedefine/>
    <w:semiHidden/>
    <w:rsid w:val="00461D0A"/>
    <w:pPr>
      <w:spacing w:after="0"/>
      <w:ind w:left="1680"/>
      <w:jc w:val="left"/>
    </w:pPr>
    <w:rPr>
      <w:rFonts w:asciiTheme="minorHAnsi" w:hAnsiTheme="minorHAnsi"/>
      <w:sz w:val="20"/>
    </w:rPr>
  </w:style>
  <w:style w:type="paragraph" w:styleId="TOC9">
    <w:name w:val="toc 9"/>
    <w:basedOn w:val="Normal"/>
    <w:next w:val="Normal"/>
    <w:autoRedefine/>
    <w:semiHidden/>
    <w:rsid w:val="00461D0A"/>
    <w:pPr>
      <w:spacing w:after="0"/>
      <w:ind w:left="1920"/>
      <w:jc w:val="left"/>
    </w:pPr>
    <w:rPr>
      <w:rFonts w:asciiTheme="minorHAnsi" w:hAnsiTheme="minorHAnsi"/>
      <w:sz w:val="20"/>
    </w:rPr>
  </w:style>
  <w:style w:type="paragraph" w:customStyle="1" w:styleId="YReferences">
    <w:name w:val="YReferences"/>
    <w:basedOn w:val="Normal"/>
    <w:next w:val="Normal"/>
    <w:rsid w:val="00461D0A"/>
    <w:pPr>
      <w:spacing w:after="480"/>
      <w:ind w:left="1531" w:hanging="1531"/>
    </w:pPr>
  </w:style>
  <w:style w:type="paragraph" w:customStyle="1" w:styleId="ListBullet1">
    <w:name w:val="List Bullet 1"/>
    <w:basedOn w:val="Text1"/>
    <w:rsid w:val="00577EC6"/>
    <w:pPr>
      <w:numPr>
        <w:numId w:val="5"/>
      </w:numPr>
    </w:pPr>
  </w:style>
  <w:style w:type="paragraph" w:customStyle="1" w:styleId="ListDash">
    <w:name w:val="List Dash"/>
    <w:basedOn w:val="Normal"/>
    <w:rsid w:val="00577EC6"/>
    <w:pPr>
      <w:numPr>
        <w:numId w:val="9"/>
      </w:numPr>
    </w:pPr>
  </w:style>
  <w:style w:type="paragraph" w:customStyle="1" w:styleId="ListDash1">
    <w:name w:val="List Dash 1"/>
    <w:basedOn w:val="Text1"/>
    <w:rsid w:val="00577EC6"/>
    <w:pPr>
      <w:numPr>
        <w:numId w:val="10"/>
      </w:numPr>
    </w:pPr>
  </w:style>
  <w:style w:type="paragraph" w:customStyle="1" w:styleId="ListDash2">
    <w:name w:val="List Dash 2"/>
    <w:basedOn w:val="Text2"/>
    <w:rsid w:val="00577EC6"/>
    <w:pPr>
      <w:numPr>
        <w:numId w:val="11"/>
      </w:numPr>
      <w:tabs>
        <w:tab w:val="clear" w:pos="2302"/>
      </w:tabs>
    </w:pPr>
  </w:style>
  <w:style w:type="paragraph" w:customStyle="1" w:styleId="ListDash3">
    <w:name w:val="List Dash 3"/>
    <w:basedOn w:val="Text3"/>
    <w:rsid w:val="00577EC6"/>
    <w:pPr>
      <w:numPr>
        <w:numId w:val="12"/>
      </w:numPr>
      <w:tabs>
        <w:tab w:val="clear" w:pos="2302"/>
      </w:tabs>
    </w:pPr>
  </w:style>
  <w:style w:type="paragraph" w:customStyle="1" w:styleId="ListDash4">
    <w:name w:val="List Dash 4"/>
    <w:basedOn w:val="Text4"/>
    <w:rsid w:val="00577EC6"/>
    <w:pPr>
      <w:numPr>
        <w:numId w:val="13"/>
      </w:numPr>
      <w:tabs>
        <w:tab w:val="clear" w:pos="2302"/>
      </w:tabs>
    </w:pPr>
  </w:style>
  <w:style w:type="paragraph" w:customStyle="1" w:styleId="ListNumberLevel2">
    <w:name w:val="List Number (Level 2)"/>
    <w:basedOn w:val="Normal"/>
    <w:rsid w:val="00577EC6"/>
    <w:pPr>
      <w:numPr>
        <w:ilvl w:val="1"/>
        <w:numId w:val="14"/>
      </w:numPr>
    </w:pPr>
  </w:style>
  <w:style w:type="paragraph" w:customStyle="1" w:styleId="ListNumberLevel3">
    <w:name w:val="List Number (Level 3)"/>
    <w:basedOn w:val="Normal"/>
    <w:rsid w:val="00577EC6"/>
    <w:pPr>
      <w:numPr>
        <w:ilvl w:val="2"/>
        <w:numId w:val="14"/>
      </w:numPr>
    </w:pPr>
  </w:style>
  <w:style w:type="paragraph" w:customStyle="1" w:styleId="ListNumberLevel4">
    <w:name w:val="List Number (Level 4)"/>
    <w:basedOn w:val="Normal"/>
    <w:rsid w:val="00577EC6"/>
    <w:pPr>
      <w:numPr>
        <w:ilvl w:val="3"/>
        <w:numId w:val="14"/>
      </w:numPr>
    </w:pPr>
  </w:style>
  <w:style w:type="paragraph" w:customStyle="1" w:styleId="ListNumber1">
    <w:name w:val="List Number 1"/>
    <w:basedOn w:val="Text1"/>
    <w:rsid w:val="00577EC6"/>
    <w:pPr>
      <w:numPr>
        <w:numId w:val="15"/>
      </w:numPr>
    </w:pPr>
  </w:style>
  <w:style w:type="paragraph" w:customStyle="1" w:styleId="ListNumber1Level2">
    <w:name w:val="List Number 1 (Level 2)"/>
    <w:basedOn w:val="Text1"/>
    <w:rsid w:val="00577EC6"/>
    <w:pPr>
      <w:numPr>
        <w:ilvl w:val="1"/>
        <w:numId w:val="15"/>
      </w:numPr>
    </w:pPr>
  </w:style>
  <w:style w:type="paragraph" w:customStyle="1" w:styleId="ListNumber1Level3">
    <w:name w:val="List Number 1 (Level 3)"/>
    <w:basedOn w:val="Text1"/>
    <w:rsid w:val="00577EC6"/>
    <w:pPr>
      <w:numPr>
        <w:ilvl w:val="2"/>
        <w:numId w:val="15"/>
      </w:numPr>
    </w:pPr>
  </w:style>
  <w:style w:type="paragraph" w:customStyle="1" w:styleId="ListNumber1Level4">
    <w:name w:val="List Number 1 (Level 4)"/>
    <w:basedOn w:val="Text1"/>
    <w:rsid w:val="00577EC6"/>
    <w:pPr>
      <w:numPr>
        <w:ilvl w:val="3"/>
        <w:numId w:val="15"/>
      </w:numPr>
    </w:pPr>
  </w:style>
  <w:style w:type="paragraph" w:customStyle="1" w:styleId="ListNumber2Level2">
    <w:name w:val="List Number 2 (Level 2)"/>
    <w:basedOn w:val="Text2"/>
    <w:rsid w:val="00577EC6"/>
    <w:pPr>
      <w:numPr>
        <w:ilvl w:val="1"/>
        <w:numId w:val="16"/>
      </w:numPr>
      <w:tabs>
        <w:tab w:val="clear" w:pos="2302"/>
      </w:tabs>
    </w:pPr>
  </w:style>
  <w:style w:type="paragraph" w:customStyle="1" w:styleId="ListNumber2Level3">
    <w:name w:val="List Number 2 (Level 3)"/>
    <w:basedOn w:val="Text2"/>
    <w:rsid w:val="00577EC6"/>
    <w:pPr>
      <w:numPr>
        <w:ilvl w:val="2"/>
        <w:numId w:val="16"/>
      </w:numPr>
      <w:tabs>
        <w:tab w:val="clear" w:pos="2302"/>
      </w:tabs>
    </w:pPr>
  </w:style>
  <w:style w:type="paragraph" w:customStyle="1" w:styleId="ListNumber2Level4">
    <w:name w:val="List Number 2 (Level 4)"/>
    <w:basedOn w:val="Text2"/>
    <w:rsid w:val="00577EC6"/>
    <w:pPr>
      <w:numPr>
        <w:ilvl w:val="3"/>
        <w:numId w:val="16"/>
      </w:numPr>
      <w:tabs>
        <w:tab w:val="clear" w:pos="2302"/>
      </w:tabs>
    </w:pPr>
  </w:style>
  <w:style w:type="paragraph" w:customStyle="1" w:styleId="ListNumber3Level2">
    <w:name w:val="List Number 3 (Level 2)"/>
    <w:basedOn w:val="Text3"/>
    <w:rsid w:val="00577EC6"/>
    <w:pPr>
      <w:numPr>
        <w:ilvl w:val="1"/>
        <w:numId w:val="17"/>
      </w:numPr>
      <w:tabs>
        <w:tab w:val="clear" w:pos="2302"/>
      </w:tabs>
    </w:pPr>
  </w:style>
  <w:style w:type="paragraph" w:customStyle="1" w:styleId="ListNumber3Level3">
    <w:name w:val="List Number 3 (Level 3)"/>
    <w:basedOn w:val="Text3"/>
    <w:rsid w:val="00577EC6"/>
    <w:pPr>
      <w:numPr>
        <w:ilvl w:val="2"/>
        <w:numId w:val="17"/>
      </w:numPr>
      <w:tabs>
        <w:tab w:val="clear" w:pos="2302"/>
      </w:tabs>
    </w:pPr>
  </w:style>
  <w:style w:type="paragraph" w:customStyle="1" w:styleId="ListNumber3Level4">
    <w:name w:val="List Number 3 (Level 4)"/>
    <w:basedOn w:val="Text3"/>
    <w:rsid w:val="00577EC6"/>
    <w:pPr>
      <w:numPr>
        <w:ilvl w:val="3"/>
        <w:numId w:val="17"/>
      </w:numPr>
      <w:tabs>
        <w:tab w:val="clear" w:pos="2302"/>
      </w:tabs>
    </w:pPr>
  </w:style>
  <w:style w:type="paragraph" w:customStyle="1" w:styleId="ListNumber4Level2">
    <w:name w:val="List Number 4 (Level 2)"/>
    <w:basedOn w:val="Text4"/>
    <w:rsid w:val="00577EC6"/>
    <w:pPr>
      <w:numPr>
        <w:ilvl w:val="1"/>
        <w:numId w:val="18"/>
      </w:numPr>
      <w:tabs>
        <w:tab w:val="clear" w:pos="2302"/>
      </w:tabs>
    </w:pPr>
  </w:style>
  <w:style w:type="paragraph" w:customStyle="1" w:styleId="ListNumber4Level3">
    <w:name w:val="List Number 4 (Level 3)"/>
    <w:basedOn w:val="Text4"/>
    <w:rsid w:val="00577EC6"/>
    <w:pPr>
      <w:numPr>
        <w:ilvl w:val="2"/>
        <w:numId w:val="18"/>
      </w:numPr>
      <w:tabs>
        <w:tab w:val="clear" w:pos="2302"/>
      </w:tabs>
    </w:pPr>
  </w:style>
  <w:style w:type="paragraph" w:customStyle="1" w:styleId="ListNumber4Level4">
    <w:name w:val="List Number 4 (Level 4)"/>
    <w:basedOn w:val="Text4"/>
    <w:rsid w:val="00577EC6"/>
    <w:pPr>
      <w:numPr>
        <w:ilvl w:val="3"/>
        <w:numId w:val="18"/>
      </w:numPr>
      <w:tabs>
        <w:tab w:val="clear" w:pos="2302"/>
      </w:tabs>
    </w:pPr>
  </w:style>
  <w:style w:type="paragraph" w:customStyle="1" w:styleId="TOCHeading1">
    <w:name w:val="TOC Heading1"/>
    <w:basedOn w:val="Normal"/>
    <w:next w:val="Normal"/>
    <w:rsid w:val="00461D0A"/>
    <w:pPr>
      <w:keepNext/>
      <w:spacing w:before="240"/>
      <w:jc w:val="center"/>
    </w:pPr>
    <w:rPr>
      <w:b/>
    </w:rPr>
  </w:style>
  <w:style w:type="paragraph" w:customStyle="1" w:styleId="Contact">
    <w:name w:val="Contact"/>
    <w:basedOn w:val="Normal"/>
    <w:next w:val="Normal"/>
    <w:rsid w:val="00461D0A"/>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sid w:val="006914AD"/>
    <w:rPr>
      <w:color w:val="0000FF"/>
      <w:u w:val="single"/>
    </w:rPr>
  </w:style>
  <w:style w:type="character" w:styleId="FootnoteReference">
    <w:name w:val="footnote reference"/>
    <w:aliases w:val="BVI fnr,SUPERS,Footnote symbol,(Footnote Reference),Footnote,Voetnootverwijzing,Times 10 Point,Exposant 3 Point,Footnote reference number,note TESI,Odwołanie przypisu, BVI fnr,Appel note de bas de p,Nota,16 Point,Superscript 6 Point"/>
    <w:uiPriority w:val="99"/>
    <w:qFormat/>
    <w:rsid w:val="00CD08CF"/>
    <w:rPr>
      <w:vertAlign w:val="superscript"/>
    </w:rPr>
  </w:style>
  <w:style w:type="table" w:styleId="ColorfulGrid-Accent3">
    <w:name w:val="Colorful Grid Accent 3"/>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semiHidden/>
    <w:rsid w:val="00E52A1D"/>
    <w:rPr>
      <w:rFonts w:ascii="Tahoma" w:hAnsi="Tahoma" w:cs="Tahoma"/>
      <w:sz w:val="16"/>
      <w:szCs w:val="16"/>
    </w:rPr>
  </w:style>
  <w:style w:type="paragraph" w:customStyle="1" w:styleId="DocumentTitle">
    <w:name w:val="Document Title"/>
    <w:basedOn w:val="Normal"/>
    <w:link w:val="DocumentTitleChar"/>
    <w:rsid w:val="001E6AC6"/>
    <w:pPr>
      <w:jc w:val="center"/>
    </w:pPr>
    <w:rPr>
      <w:rFonts w:ascii="Verdana" w:hAnsi="Verdana"/>
      <w:b/>
      <w:sz w:val="52"/>
    </w:rPr>
  </w:style>
  <w:style w:type="paragraph" w:customStyle="1" w:styleId="Footerapproval">
    <w:name w:val="Footer approval"/>
    <w:basedOn w:val="Footer"/>
    <w:link w:val="ApprovalfooterChar"/>
    <w:rsid w:val="00ED7D13"/>
    <w:pPr>
      <w:tabs>
        <w:tab w:val="left" w:pos="6804"/>
      </w:tabs>
    </w:pPr>
    <w:rPr>
      <w:rFonts w:ascii="Verdana" w:hAnsi="Verdana"/>
      <w:sz w:val="13"/>
      <w:lang w:val="fr-BE"/>
    </w:rPr>
  </w:style>
  <w:style w:type="character" w:customStyle="1" w:styleId="DocumentTitleChar">
    <w:name w:val="Document Title Char"/>
    <w:link w:val="DocumentTitle"/>
    <w:rsid w:val="001E6AC6"/>
    <w:rPr>
      <w:rFonts w:ascii="Verdana" w:hAnsi="Verdana"/>
      <w:b/>
      <w:sz w:val="52"/>
      <w:lang w:val="fr-FR" w:eastAsia="en-US"/>
    </w:rPr>
  </w:style>
  <w:style w:type="paragraph" w:customStyle="1" w:styleId="FooterDate">
    <w:name w:val="Footer Date"/>
    <w:basedOn w:val="Footer"/>
    <w:link w:val="FooterDateChar"/>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link w:val="Footerapproval"/>
    <w:rsid w:val="00EE60CF"/>
    <w:rPr>
      <w:rFonts w:ascii="Arial" w:hAnsi="Arial"/>
      <w:sz w:val="16"/>
      <w:lang w:val="fr-FR"/>
    </w:rPr>
  </w:style>
  <w:style w:type="paragraph" w:customStyle="1" w:styleId="PageNumber1">
    <w:name w:val="Page Number1"/>
    <w:basedOn w:val="Footer"/>
    <w:link w:val="PagenumberChar"/>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rsid w:val="003C7A25"/>
    <w:rPr>
      <w:b w:val="0"/>
      <w:sz w:val="32"/>
      <w:szCs w:val="36"/>
    </w:rPr>
  </w:style>
  <w:style w:type="paragraph" w:customStyle="1" w:styleId="HeaderTitle">
    <w:name w:val="Header Title"/>
    <w:basedOn w:val="Normal"/>
    <w:link w:val="HeaderTitleChar"/>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3C7A25"/>
    <w:rPr>
      <w:rFonts w:ascii="Verdana" w:hAnsi="Verdana"/>
      <w:sz w:val="32"/>
      <w:szCs w:val="36"/>
      <w:lang w:val="en-GB" w:eastAsia="en-US"/>
    </w:rPr>
  </w:style>
  <w:style w:type="paragraph" w:customStyle="1" w:styleId="Bulletpoint1">
    <w:name w:val="Bullet point1"/>
    <w:basedOn w:val="NormalIndent"/>
    <w:link w:val="Bulletpoint1Char"/>
    <w:rsid w:val="007F3473"/>
    <w:pPr>
      <w:numPr>
        <w:numId w:val="20"/>
      </w:numPr>
      <w:spacing w:after="120"/>
      <w:jc w:val="left"/>
    </w:pPr>
    <w:rPr>
      <w:rFonts w:ascii="Verdana" w:hAnsi="Verdana"/>
      <w:sz w:val="18"/>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TOC1"/>
    <w:link w:val="HeadingChar"/>
    <w:rsid w:val="009370CD"/>
    <w:pPr>
      <w:widowControl w:val="0"/>
      <w:autoSpaceDE w:val="0"/>
      <w:autoSpaceDN w:val="0"/>
      <w:adjustRightInd w:val="0"/>
      <w:spacing w:after="0"/>
    </w:pPr>
    <w:rPr>
      <w:b w:val="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link w:val="Bulletpoint1"/>
    <w:rsid w:val="007F3473"/>
    <w:rPr>
      <w:rFonts w:ascii="Verdana" w:hAnsi="Verdana"/>
      <w:sz w:val="18"/>
      <w:lang w:eastAsia="en-US"/>
    </w:rPr>
  </w:style>
  <w:style w:type="paragraph" w:customStyle="1" w:styleId="BulletPoint2">
    <w:name w:val="Bullet Point 2"/>
    <w:basedOn w:val="NormalIndent"/>
    <w:link w:val="BulletPoint2Char"/>
    <w:rsid w:val="00577EC6"/>
    <w:pPr>
      <w:numPr>
        <w:numId w:val="19"/>
      </w:numPr>
      <w:spacing w:after="120"/>
      <w:ind w:left="1077" w:hanging="357"/>
      <w:jc w:val="left"/>
    </w:pPr>
    <w:rPr>
      <w:rFonts w:ascii="Verdana" w:hAnsi="Verdana"/>
      <w:sz w:val="18"/>
    </w:rPr>
  </w:style>
  <w:style w:type="character" w:customStyle="1" w:styleId="HeadingChar">
    <w:name w:val="Heading Char"/>
    <w:link w:val="Heading"/>
    <w:rsid w:val="00B14205"/>
    <w:rPr>
      <w:rFonts w:ascii="Verdana" w:hAnsi="Verdana"/>
      <w:b/>
      <w:caps/>
      <w:u w:val="single"/>
      <w:lang w:val="fr-FR"/>
    </w:rPr>
  </w:style>
  <w:style w:type="paragraph" w:customStyle="1" w:styleId="Body">
    <w:name w:val="Body"/>
    <w:basedOn w:val="Normal"/>
    <w:link w:val="BodyChar"/>
    <w:qFormat/>
    <w:rsid w:val="004671D2"/>
    <w:pPr>
      <w:ind w:left="357"/>
    </w:pPr>
    <w:rPr>
      <w:rFonts w:ascii="Arial" w:hAnsi="Arial" w:cs="Arial"/>
      <w:sz w:val="20"/>
    </w:rPr>
  </w:style>
  <w:style w:type="character" w:customStyle="1" w:styleId="BulletPoint2Char">
    <w:name w:val="Bullet Point 2 Char"/>
    <w:link w:val="BulletPoint2"/>
    <w:rsid w:val="00577EC6"/>
    <w:rPr>
      <w:rFonts w:ascii="Verdana" w:hAnsi="Verdana"/>
      <w:sz w:val="18"/>
      <w:lang w:eastAsia="en-US"/>
    </w:rPr>
  </w:style>
  <w:style w:type="paragraph" w:customStyle="1" w:styleId="Heading20">
    <w:name w:val="Heading2"/>
    <w:basedOn w:val="Title2"/>
    <w:link w:val="Heading2Char"/>
    <w:rsid w:val="009370CD"/>
    <w:pPr>
      <w:numPr>
        <w:numId w:val="0"/>
      </w:numPr>
    </w:pPr>
    <w:rPr>
      <w:rFonts w:ascii="Verdana" w:hAnsi="Verdana"/>
      <w:b/>
      <w:i/>
    </w:rPr>
  </w:style>
  <w:style w:type="character" w:customStyle="1" w:styleId="BodyChar">
    <w:name w:val="Body Char"/>
    <w:link w:val="Body"/>
    <w:rsid w:val="004671D2"/>
    <w:rPr>
      <w:rFonts w:ascii="Arial" w:hAnsi="Arial" w:cs="Arial"/>
      <w:lang w:eastAsia="en-US"/>
    </w:rPr>
  </w:style>
  <w:style w:type="table" w:styleId="TableGrid">
    <w:name w:val="Table Grid"/>
    <w:aliases w:val="Document Table"/>
    <w:basedOn w:val="TableNormal"/>
    <w:rsid w:val="007F3473"/>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customStyle="1" w:styleId="Heading2Char">
    <w:name w:val="Heading2 Char"/>
    <w:link w:val="Heading20"/>
    <w:rsid w:val="009370CD"/>
    <w:rPr>
      <w:rFonts w:ascii="Verdana" w:hAnsi="Verdana"/>
      <w:b/>
      <w:i/>
      <w:sz w:val="24"/>
      <w:lang w:val="fr-FR" w:eastAsia="en-US"/>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rsid w:val="00F5647F"/>
    <w:pPr>
      <w:spacing w:after="0"/>
    </w:pPr>
    <w:rPr>
      <w:i/>
      <w:noProof/>
      <w:sz w:val="13"/>
    </w:rPr>
  </w:style>
  <w:style w:type="character" w:customStyle="1" w:styleId="FooterDocumentChar">
    <w:name w:val="Footer Document Char"/>
    <w:link w:val="FooterDocument"/>
    <w:rsid w:val="00F5647F"/>
    <w:rPr>
      <w:rFonts w:ascii="Verdana" w:hAnsi="Verdana"/>
      <w:i/>
      <w:noProof/>
      <w:sz w:val="13"/>
      <w:lang w:val="en-US" w:eastAsia="en-US"/>
    </w:rPr>
  </w:style>
  <w:style w:type="paragraph" w:styleId="TOCHeading">
    <w:name w:val="TOC Heading"/>
    <w:basedOn w:val="Heading1"/>
    <w:next w:val="Normal"/>
    <w:uiPriority w:val="39"/>
    <w:unhideWhenUsed/>
    <w:qFormat/>
    <w:rsid w:val="000A7FCF"/>
    <w:pPr>
      <w:keepLines/>
      <w:numPr>
        <w:numId w:val="0"/>
      </w:numPr>
      <w:spacing w:before="480" w:after="0" w:line="276" w:lineRule="auto"/>
      <w:jc w:val="left"/>
      <w:outlineLvl w:val="9"/>
    </w:pPr>
    <w:rPr>
      <w:rFonts w:ascii="Cambria" w:eastAsia="MS Gothic" w:hAnsi="Cambria"/>
      <w:bCs/>
      <w:smallCaps w:val="0"/>
      <w:color w:val="435186"/>
      <w:sz w:val="28"/>
      <w:szCs w:val="28"/>
      <w:lang w:val="en-US"/>
    </w:rPr>
  </w:style>
  <w:style w:type="paragraph" w:customStyle="1" w:styleId="Title2">
    <w:name w:val="Title 2"/>
    <w:basedOn w:val="Normal"/>
    <w:rsid w:val="00B14205"/>
    <w:pPr>
      <w:numPr>
        <w:numId w:val="21"/>
      </w:numPr>
    </w:pPr>
  </w:style>
  <w:style w:type="paragraph" w:customStyle="1" w:styleId="Subtitle0">
    <w:name w:val="Subtitle_"/>
    <w:basedOn w:val="TOC2"/>
    <w:link w:val="SubtitleChar"/>
    <w:rsid w:val="001D2A51"/>
    <w:pPr>
      <w:ind w:left="0"/>
    </w:pPr>
    <w:rPr>
      <w:b/>
      <w:i w:val="0"/>
    </w:rPr>
  </w:style>
  <w:style w:type="character" w:customStyle="1" w:styleId="SubtitleChar">
    <w:name w:val="Subtitle_ Char"/>
    <w:link w:val="Subtitle0"/>
    <w:rsid w:val="001D2A51"/>
    <w:rPr>
      <w:rFonts w:ascii="Verdana" w:hAnsi="Verdana"/>
      <w:b/>
      <w:i/>
      <w:sz w:val="24"/>
      <w:lang w:val="fr-FR" w:eastAsia="en-US"/>
    </w:rPr>
  </w:style>
  <w:style w:type="paragraph" w:customStyle="1" w:styleId="HeadingBody">
    <w:name w:val="Heading Body"/>
    <w:basedOn w:val="Normal"/>
    <w:link w:val="HeadingBodyChar"/>
    <w:rsid w:val="001D2A51"/>
    <w:pPr>
      <w:spacing w:after="120"/>
    </w:pPr>
    <w:rPr>
      <w:rFonts w:ascii="Verdana" w:hAnsi="Verdana"/>
      <w:b/>
      <w:sz w:val="20"/>
      <w:szCs w:val="18"/>
    </w:rPr>
  </w:style>
  <w:style w:type="paragraph" w:customStyle="1" w:styleId="Titlepublication">
    <w:name w:val="Title publication"/>
    <w:basedOn w:val="Normal"/>
    <w:link w:val="TitlepublicationChar"/>
    <w:rsid w:val="001D2A51"/>
    <w:pPr>
      <w:jc w:val="center"/>
    </w:pPr>
    <w:rPr>
      <w:rFonts w:ascii="Verdana" w:hAnsi="Verdana"/>
      <w:b/>
      <w:color w:val="FF0000"/>
      <w:sz w:val="52"/>
      <w:szCs w:val="52"/>
    </w:rPr>
  </w:style>
  <w:style w:type="character" w:customStyle="1" w:styleId="HeadingBodyChar">
    <w:name w:val="Heading Body Char"/>
    <w:link w:val="HeadingBody"/>
    <w:rsid w:val="001D2A51"/>
    <w:rPr>
      <w:rFonts w:ascii="Verdana" w:hAnsi="Verdana"/>
      <w:b/>
      <w:szCs w:val="18"/>
      <w:lang w:val="en-GB" w:eastAsia="en-US"/>
    </w:rPr>
  </w:style>
  <w:style w:type="paragraph" w:customStyle="1" w:styleId="Subtitlepublication">
    <w:name w:val="Subtitle publication"/>
    <w:basedOn w:val="Normal"/>
    <w:link w:val="SubtitlepublicationChar"/>
    <w:rsid w:val="003C7A25"/>
    <w:pPr>
      <w:jc w:val="center"/>
    </w:pPr>
    <w:rPr>
      <w:rFonts w:ascii="Verdana" w:hAnsi="Verdana"/>
      <w:b/>
      <w:i/>
      <w:color w:val="FF0000"/>
      <w:sz w:val="32"/>
    </w:rPr>
  </w:style>
  <w:style w:type="character" w:customStyle="1" w:styleId="TitlepublicationChar">
    <w:name w:val="Title publication Char"/>
    <w:link w:val="Titlepublication"/>
    <w:rsid w:val="001D2A51"/>
    <w:rPr>
      <w:rFonts w:ascii="Verdana" w:hAnsi="Verdana"/>
      <w:b/>
      <w:color w:val="FF0000"/>
      <w:sz w:val="52"/>
      <w:szCs w:val="52"/>
      <w:lang w:val="en-GB" w:eastAsia="en-US"/>
    </w:rPr>
  </w:style>
  <w:style w:type="paragraph" w:customStyle="1" w:styleId="Editorname">
    <w:name w:val="Editor name"/>
    <w:basedOn w:val="Normal"/>
    <w:link w:val="EditornameChar"/>
    <w:rsid w:val="001D2A51"/>
    <w:pPr>
      <w:jc w:val="center"/>
    </w:pPr>
    <w:rPr>
      <w:rFonts w:ascii="Verdana" w:hAnsi="Verdana"/>
      <w:color w:val="FF0000"/>
    </w:rPr>
  </w:style>
  <w:style w:type="character" w:customStyle="1" w:styleId="SubtitlepublicationChar">
    <w:name w:val="Subtitle publication Char"/>
    <w:link w:val="Subtitlepublication"/>
    <w:rsid w:val="003C7A25"/>
    <w:rPr>
      <w:rFonts w:ascii="Verdana" w:hAnsi="Verdana"/>
      <w:b/>
      <w:i/>
      <w:color w:val="FF0000"/>
      <w:sz w:val="32"/>
      <w:lang w:val="en-GB" w:eastAsia="en-US"/>
    </w:rPr>
  </w:style>
  <w:style w:type="paragraph" w:customStyle="1" w:styleId="Backcoversummary">
    <w:name w:val="Backcover_summary"/>
    <w:basedOn w:val="Normal"/>
    <w:link w:val="BackcoversummaryChar"/>
    <w:rsid w:val="001D2A51"/>
    <w:rPr>
      <w:rFonts w:ascii="Verdana" w:hAnsi="Verdana"/>
      <w:color w:val="FF0000"/>
    </w:rPr>
  </w:style>
  <w:style w:type="character" w:customStyle="1" w:styleId="EditornameChar">
    <w:name w:val="Editor name Char"/>
    <w:link w:val="Editorname"/>
    <w:rsid w:val="001D2A51"/>
    <w:rPr>
      <w:rFonts w:ascii="Verdana" w:hAnsi="Verdana"/>
      <w:color w:val="FF0000"/>
      <w:sz w:val="24"/>
      <w:lang w:val="en-GB" w:eastAsia="en-US"/>
    </w:rPr>
  </w:style>
  <w:style w:type="paragraph" w:customStyle="1" w:styleId="Backcovercategory">
    <w:name w:val="Backcover_category"/>
    <w:basedOn w:val="Normal"/>
    <w:link w:val="BackcovercategoryChar"/>
    <w:rsid w:val="001D2A51"/>
    <w:pPr>
      <w:ind w:right="28"/>
    </w:pPr>
    <w:rPr>
      <w:rFonts w:ascii="Verdana" w:hAnsi="Verdana"/>
      <w:i/>
      <w:color w:val="FF0000"/>
      <w:sz w:val="18"/>
    </w:rPr>
  </w:style>
  <w:style w:type="character" w:customStyle="1" w:styleId="BackcoversummaryChar">
    <w:name w:val="Backcover_summary Char"/>
    <w:link w:val="Backcoversummary"/>
    <w:rsid w:val="001D2A51"/>
    <w:rPr>
      <w:rFonts w:ascii="Verdana" w:hAnsi="Verdana"/>
      <w:color w:val="FF0000"/>
      <w:sz w:val="24"/>
      <w:lang w:val="en-GB" w:eastAsia="en-US"/>
    </w:rPr>
  </w:style>
  <w:style w:type="character" w:customStyle="1" w:styleId="BackcovercategoryChar">
    <w:name w:val="Backcover_category Char"/>
    <w:link w:val="Backcovercategory"/>
    <w:rsid w:val="001D2A51"/>
    <w:rPr>
      <w:rFonts w:ascii="Verdana" w:hAnsi="Verdana"/>
      <w:i/>
      <w:color w:val="FF0000"/>
      <w:sz w:val="18"/>
      <w:lang w:val="en-GB" w:eastAsia="en-US"/>
    </w:rPr>
  </w:style>
  <w:style w:type="paragraph" w:customStyle="1" w:styleId="kop2">
    <w:name w:val="kop 2"/>
    <w:basedOn w:val="Normal"/>
    <w:next w:val="Normal"/>
    <w:link w:val="kop2Char"/>
    <w:uiPriority w:val="1"/>
    <w:unhideWhenUsed/>
    <w:qFormat/>
    <w:rsid w:val="004671D2"/>
    <w:pPr>
      <w:keepNext/>
      <w:keepLines/>
      <w:numPr>
        <w:numId w:val="24"/>
      </w:numPr>
      <w:spacing w:after="120"/>
      <w:outlineLvl w:val="1"/>
    </w:pPr>
    <w:rPr>
      <w:rFonts w:ascii="Arial" w:eastAsia="MS Gothic" w:hAnsi="Arial" w:cs="Arial"/>
      <w:caps/>
      <w:color w:val="4F81BD"/>
      <w:kern w:val="20"/>
      <w:szCs w:val="24"/>
    </w:rPr>
  </w:style>
  <w:style w:type="paragraph" w:customStyle="1" w:styleId="kop3">
    <w:name w:val="kop 3"/>
    <w:basedOn w:val="StyleSubtitleBoldAccent1Left1"/>
    <w:next w:val="Normal"/>
    <w:link w:val="kop3Char"/>
    <w:uiPriority w:val="1"/>
    <w:unhideWhenUsed/>
    <w:qFormat/>
    <w:rsid w:val="007F22EE"/>
    <w:pPr>
      <w:numPr>
        <w:numId w:val="25"/>
      </w:numPr>
    </w:pPr>
    <w:rPr>
      <w:b w:val="0"/>
    </w:rPr>
  </w:style>
  <w:style w:type="character" w:customStyle="1" w:styleId="kop2Char">
    <w:name w:val="kop 2 Char"/>
    <w:link w:val="kop2"/>
    <w:uiPriority w:val="1"/>
    <w:rsid w:val="004671D2"/>
    <w:rPr>
      <w:rFonts w:ascii="Arial" w:eastAsia="MS Gothic" w:hAnsi="Arial" w:cs="Arial"/>
      <w:caps/>
      <w:color w:val="4F81BD"/>
      <w:kern w:val="20"/>
      <w:sz w:val="24"/>
      <w:szCs w:val="24"/>
      <w:lang w:eastAsia="en-US"/>
    </w:rPr>
  </w:style>
  <w:style w:type="character" w:customStyle="1" w:styleId="kop3Char">
    <w:name w:val="kop 3 Char"/>
    <w:link w:val="kop3"/>
    <w:uiPriority w:val="1"/>
    <w:rsid w:val="007F22EE"/>
    <w:rPr>
      <w:rFonts w:ascii="Arial" w:hAnsi="Arial"/>
      <w:bCs/>
      <w:color w:val="4F81BD" w:themeColor="accent1"/>
      <w:sz w:val="24"/>
      <w:lang w:eastAsia="en-US"/>
    </w:rPr>
  </w:style>
  <w:style w:type="paragraph" w:customStyle="1" w:styleId="Lijstje">
    <w:name w:val="Lijstje"/>
    <w:basedOn w:val="NoSpacing"/>
    <w:uiPriority w:val="1"/>
    <w:unhideWhenUsed/>
    <w:qFormat/>
    <w:locked/>
    <w:rsid w:val="00827877"/>
    <w:pPr>
      <w:numPr>
        <w:numId w:val="22"/>
      </w:numPr>
      <w:tabs>
        <w:tab w:val="num" w:pos="1485"/>
      </w:tabs>
      <w:spacing w:after="240"/>
      <w:ind w:left="1412" w:hanging="703"/>
    </w:pPr>
    <w:rPr>
      <w:rFonts w:ascii="Verdana" w:eastAsia="Calibri" w:hAnsi="Verdana"/>
      <w:kern w:val="20"/>
      <w:sz w:val="20"/>
      <w:lang w:val="en-US"/>
    </w:rPr>
  </w:style>
  <w:style w:type="paragraph" w:customStyle="1" w:styleId="Lijstje3">
    <w:name w:val="Lijstje 3"/>
    <w:basedOn w:val="Lijstje2"/>
    <w:uiPriority w:val="1"/>
    <w:unhideWhenUsed/>
    <w:locked/>
    <w:rsid w:val="00827877"/>
    <w:pPr>
      <w:numPr>
        <w:ilvl w:val="1"/>
      </w:numPr>
      <w:tabs>
        <w:tab w:val="num" w:pos="765"/>
      </w:tabs>
      <w:ind w:left="1069" w:hanging="283"/>
    </w:pPr>
  </w:style>
  <w:style w:type="paragraph" w:customStyle="1" w:styleId="Lijstje2">
    <w:name w:val="Lijstje2"/>
    <w:basedOn w:val="ListParagraph"/>
    <w:uiPriority w:val="1"/>
    <w:unhideWhenUsed/>
    <w:locked/>
    <w:rsid w:val="00B85539"/>
    <w:pPr>
      <w:numPr>
        <w:numId w:val="23"/>
      </w:numPr>
      <w:tabs>
        <w:tab w:val="num" w:pos="765"/>
      </w:tabs>
      <w:spacing w:after="200"/>
      <w:ind w:left="1797" w:hanging="357"/>
    </w:pPr>
    <w:rPr>
      <w:rFonts w:ascii="Verdana" w:eastAsia="Calibri" w:hAnsi="Verdana"/>
      <w:kern w:val="20"/>
      <w:sz w:val="20"/>
      <w:lang w:val="nl-NL"/>
    </w:rPr>
  </w:style>
  <w:style w:type="paragraph" w:customStyle="1" w:styleId="Koptekstmetarcering">
    <w:name w:val="Koptekst met arcering"/>
    <w:basedOn w:val="Normal"/>
    <w:uiPriority w:val="19"/>
    <w:locked/>
    <w:rsid w:val="00827877"/>
    <w:pPr>
      <w:pBdr>
        <w:top w:val="single" w:sz="2" w:space="2" w:color="5F70AF"/>
        <w:left w:val="single" w:sz="2" w:space="6" w:color="5F70AF"/>
        <w:bottom w:val="single" w:sz="2" w:space="2" w:color="5F70AF"/>
        <w:right w:val="single" w:sz="2" w:space="6" w:color="5F70AF"/>
      </w:pBdr>
      <w:shd w:val="clear" w:color="auto" w:fill="5F70AF"/>
      <w:spacing w:after="0"/>
      <w:ind w:left="-360" w:right="-360"/>
    </w:pPr>
    <w:rPr>
      <w:rFonts w:ascii="Cambria" w:eastAsia="MS Gothic" w:hAnsi="Cambria"/>
      <w:caps/>
      <w:color w:val="FFFFFF"/>
      <w:kern w:val="20"/>
      <w:sz w:val="48"/>
      <w:lang w:val="nl-NL"/>
    </w:rPr>
  </w:style>
  <w:style w:type="character" w:styleId="Strong">
    <w:name w:val="Strong"/>
    <w:aliases w:val="Gewoon,sub subtitle"/>
    <w:uiPriority w:val="22"/>
    <w:qFormat/>
    <w:rsid w:val="00BE0BB7"/>
    <w:rPr>
      <w:rFonts w:ascii="Arial" w:hAnsi="Arial" w:cs="Arial"/>
      <w:i/>
      <w:color w:val="95B3D7" w:themeColor="accent1" w:themeTint="99"/>
    </w:rPr>
  </w:style>
  <w:style w:type="paragraph" w:styleId="NoSpacing">
    <w:name w:val="No Spacing"/>
    <w:uiPriority w:val="1"/>
    <w:rsid w:val="00827877"/>
    <w:pPr>
      <w:jc w:val="both"/>
    </w:pPr>
    <w:rPr>
      <w:sz w:val="24"/>
      <w:lang w:val="fr-FR" w:eastAsia="en-US"/>
    </w:rPr>
  </w:style>
  <w:style w:type="paragraph" w:styleId="ListParagraph">
    <w:name w:val="List Paragraph"/>
    <w:basedOn w:val="Normal"/>
    <w:uiPriority w:val="34"/>
    <w:qFormat/>
    <w:rsid w:val="00827877"/>
    <w:pPr>
      <w:ind w:left="720"/>
      <w:contextualSpacing/>
    </w:pPr>
  </w:style>
  <w:style w:type="paragraph" w:customStyle="1" w:styleId="kop1">
    <w:name w:val="kop 1"/>
    <w:basedOn w:val="Normal"/>
    <w:next w:val="Normal"/>
    <w:link w:val="Tekensvoorkop1"/>
    <w:uiPriority w:val="1"/>
    <w:locked/>
    <w:rsid w:val="00E53A35"/>
    <w:pPr>
      <w:pageBreakBefore/>
      <w:spacing w:after="360"/>
      <w:ind w:left="-360" w:right="-360"/>
      <w:outlineLvl w:val="0"/>
    </w:pPr>
    <w:rPr>
      <w:rFonts w:ascii="Calibri" w:eastAsia="Calibri" w:hAnsi="Calibri"/>
      <w:kern w:val="20"/>
      <w:sz w:val="36"/>
      <w:lang w:val="nl-NL"/>
    </w:rPr>
  </w:style>
  <w:style w:type="paragraph" w:customStyle="1" w:styleId="Geenregelafstand">
    <w:name w:val="Geen regelafstand"/>
    <w:link w:val="Tekensvoorgeenregelafstand"/>
    <w:uiPriority w:val="1"/>
    <w:locked/>
    <w:rsid w:val="00E53A35"/>
    <w:pPr>
      <w:spacing w:before="40"/>
    </w:pPr>
    <w:rPr>
      <w:rFonts w:ascii="Calibri" w:eastAsia="Calibri" w:hAnsi="Calibri"/>
      <w:color w:val="595959"/>
      <w:lang w:val="nl-NL" w:eastAsia="en-US"/>
    </w:rPr>
  </w:style>
  <w:style w:type="character" w:customStyle="1" w:styleId="Tekensvoorkop1">
    <w:name w:val="Tekens voor kop 1"/>
    <w:link w:val="kop1"/>
    <w:uiPriority w:val="1"/>
    <w:rsid w:val="00E53A35"/>
    <w:rPr>
      <w:rFonts w:ascii="Calibri" w:eastAsia="Calibri" w:hAnsi="Calibri" w:cs="Times New Roman"/>
      <w:kern w:val="20"/>
      <w:sz w:val="36"/>
      <w:lang w:val="nl-NL" w:eastAsia="en-US"/>
    </w:rPr>
  </w:style>
  <w:style w:type="character" w:customStyle="1" w:styleId="Extranadruk">
    <w:name w:val="Extra nadruk"/>
    <w:uiPriority w:val="1"/>
    <w:unhideWhenUsed/>
    <w:locked/>
    <w:rsid w:val="00E53A35"/>
    <w:rPr>
      <w:b/>
      <w:bCs/>
    </w:rPr>
  </w:style>
  <w:style w:type="character" w:customStyle="1" w:styleId="Tekensvoorgeenregelafstand">
    <w:name w:val="Tekens voor geen regelafstand"/>
    <w:link w:val="Geenregelafstand"/>
    <w:uiPriority w:val="1"/>
    <w:rsid w:val="00E53A35"/>
    <w:rPr>
      <w:rFonts w:ascii="Calibri" w:eastAsia="Calibri" w:hAnsi="Calibri" w:cs="Times New Roman"/>
      <w:color w:val="595959"/>
      <w:lang w:val="nl-NL" w:eastAsia="en-US"/>
    </w:rPr>
  </w:style>
  <w:style w:type="paragraph" w:customStyle="1" w:styleId="Tabeltekst">
    <w:name w:val="Tabeltekst"/>
    <w:basedOn w:val="Normal"/>
    <w:uiPriority w:val="9"/>
    <w:locked/>
    <w:rsid w:val="00E53A35"/>
    <w:pPr>
      <w:spacing w:before="60" w:after="60"/>
      <w:ind w:left="144" w:right="144"/>
    </w:pPr>
    <w:rPr>
      <w:rFonts w:ascii="Calibri" w:eastAsia="Calibri" w:hAnsi="Calibri"/>
      <w:kern w:val="20"/>
      <w:sz w:val="22"/>
      <w:lang w:val="nl-NL"/>
    </w:rPr>
  </w:style>
  <w:style w:type="paragraph" w:customStyle="1" w:styleId="Kopvooromgekeerdetabel">
    <w:name w:val="Kop voor omgekeerde tabel"/>
    <w:basedOn w:val="Normal"/>
    <w:uiPriority w:val="9"/>
    <w:locked/>
    <w:rsid w:val="00E53A35"/>
    <w:pPr>
      <w:spacing w:after="40"/>
      <w:ind w:left="144" w:right="144"/>
    </w:pPr>
    <w:rPr>
      <w:rFonts w:ascii="Cambria" w:eastAsia="MS Gothic" w:hAnsi="Cambria"/>
      <w:caps/>
      <w:color w:val="FFFFFF"/>
      <w:kern w:val="20"/>
      <w:lang w:val="nl-NL"/>
    </w:rPr>
  </w:style>
  <w:style w:type="character" w:styleId="CommentReference">
    <w:name w:val="annotation reference"/>
    <w:uiPriority w:val="99"/>
    <w:semiHidden/>
    <w:unhideWhenUsed/>
    <w:rsid w:val="00F858E3"/>
    <w:rPr>
      <w:sz w:val="16"/>
      <w:szCs w:val="16"/>
    </w:rPr>
  </w:style>
  <w:style w:type="paragraph" w:styleId="CommentSubject">
    <w:name w:val="annotation subject"/>
    <w:basedOn w:val="CommentText"/>
    <w:next w:val="CommentText"/>
    <w:link w:val="CommentSubjectChar"/>
    <w:semiHidden/>
    <w:unhideWhenUsed/>
    <w:rsid w:val="00F858E3"/>
    <w:rPr>
      <w:b/>
      <w:bCs/>
    </w:rPr>
  </w:style>
  <w:style w:type="character" w:customStyle="1" w:styleId="CommentTextChar">
    <w:name w:val="Comment Text Char"/>
    <w:link w:val="CommentText"/>
    <w:uiPriority w:val="99"/>
    <w:semiHidden/>
    <w:rsid w:val="00F858E3"/>
    <w:rPr>
      <w:lang w:val="fr-FR" w:eastAsia="en-US"/>
    </w:rPr>
  </w:style>
  <w:style w:type="character" w:customStyle="1" w:styleId="CommentSubjectChar">
    <w:name w:val="Comment Subject Char"/>
    <w:link w:val="CommentSubject"/>
    <w:semiHidden/>
    <w:rsid w:val="00F858E3"/>
    <w:rPr>
      <w:b/>
      <w:bCs/>
      <w:lang w:val="fr-FR" w:eastAsia="en-US"/>
    </w:rPr>
  </w:style>
  <w:style w:type="character" w:customStyle="1" w:styleId="FootnoteTextChar">
    <w:name w:val="Footnote Text Char"/>
    <w:aliases w:val="Footnote Char,Fußnote Char,Fotnotstext1 Char,fn Char,Footnote Text Char2 Char Char,Footnote Text Char Char Char1 Char,Footnote Text Char1 Char Char Char Char,Footnote Text Char2 Char Char Char Char Char,footnote te Char,f Char,Ch Char"/>
    <w:uiPriority w:val="99"/>
    <w:rsid w:val="009F5957"/>
    <w:rPr>
      <w:lang w:val="fr-FR" w:eastAsia="en-US"/>
    </w:rPr>
  </w:style>
  <w:style w:type="paragraph" w:styleId="Revision">
    <w:name w:val="Revision"/>
    <w:hidden/>
    <w:uiPriority w:val="99"/>
    <w:semiHidden/>
    <w:rsid w:val="006E3CFA"/>
    <w:rPr>
      <w:sz w:val="24"/>
      <w:lang w:val="fr-FR" w:eastAsia="en-US"/>
    </w:rPr>
  </w:style>
  <w:style w:type="character" w:styleId="FollowedHyperlink">
    <w:name w:val="FollowedHyperlink"/>
    <w:semiHidden/>
    <w:unhideWhenUsed/>
    <w:rsid w:val="00FF4F57"/>
    <w:rPr>
      <w:color w:val="3EBBF0"/>
      <w:u w:val="single"/>
    </w:rPr>
  </w:style>
  <w:style w:type="character" w:customStyle="1" w:styleId="affairetitle">
    <w:name w:val="affaire_title"/>
    <w:basedOn w:val="DefaultParagraphFont"/>
    <w:rsid w:val="00594C96"/>
  </w:style>
  <w:style w:type="paragraph" w:customStyle="1" w:styleId="Kop4">
    <w:name w:val="Kop 4"/>
    <w:basedOn w:val="kop3"/>
    <w:link w:val="Kop4Char"/>
    <w:qFormat/>
    <w:rsid w:val="000D3644"/>
    <w:pPr>
      <w:numPr>
        <w:ilvl w:val="1"/>
      </w:numPr>
    </w:pPr>
    <w:rPr>
      <w:rFonts w:cs="Arial"/>
      <w:b/>
      <w:bCs w:val="0"/>
      <w:i/>
      <w:color w:val="95B3D7" w:themeColor="accent1" w:themeTint="99"/>
    </w:rPr>
  </w:style>
  <w:style w:type="paragraph" w:customStyle="1" w:styleId="Kop5">
    <w:name w:val="Kop 5"/>
    <w:basedOn w:val="Normal"/>
    <w:link w:val="Kop5Char"/>
    <w:qFormat/>
    <w:rsid w:val="00637929"/>
    <w:pPr>
      <w:ind w:left="709"/>
    </w:pPr>
    <w:rPr>
      <w:rFonts w:ascii="Verdana" w:hAnsi="Verdana"/>
      <w:color w:val="7BCCFF"/>
    </w:rPr>
  </w:style>
  <w:style w:type="character" w:customStyle="1" w:styleId="Kop4Char">
    <w:name w:val="Kop 4 Char"/>
    <w:link w:val="Kop4"/>
    <w:rsid w:val="000D3644"/>
    <w:rPr>
      <w:rFonts w:ascii="Arial" w:hAnsi="Arial" w:cs="Arial"/>
      <w:b/>
      <w:i/>
      <w:color w:val="95B3D7" w:themeColor="accent1" w:themeTint="99"/>
      <w:sz w:val="24"/>
      <w:lang w:eastAsia="en-US"/>
    </w:rPr>
  </w:style>
  <w:style w:type="character" w:customStyle="1" w:styleId="Kop5Char">
    <w:name w:val="Kop 5 Char"/>
    <w:link w:val="Kop5"/>
    <w:rsid w:val="00637929"/>
    <w:rPr>
      <w:rFonts w:ascii="Verdana" w:hAnsi="Verdana"/>
      <w:color w:val="7BCCFF"/>
      <w:sz w:val="24"/>
      <w:lang w:val="en-GB" w:eastAsia="en-US"/>
    </w:rPr>
  </w:style>
  <w:style w:type="paragraph" w:customStyle="1" w:styleId="MemberStateHeader">
    <w:name w:val="Member State Header"/>
    <w:basedOn w:val="Normal"/>
    <w:link w:val="MemberStateHeaderChar"/>
    <w:qFormat/>
    <w:rsid w:val="00F6371E"/>
    <w:pPr>
      <w:keepNext/>
      <w:keepLines/>
      <w:spacing w:after="0"/>
      <w:jc w:val="center"/>
      <w:outlineLvl w:val="1"/>
    </w:pPr>
    <w:rPr>
      <w:rFonts w:ascii="Verdana" w:eastAsia="MS Gothic" w:hAnsi="Verdana"/>
      <w:caps/>
      <w:color w:val="242852"/>
      <w:kern w:val="20"/>
      <w:sz w:val="28"/>
      <w:lang w:val="en-US"/>
    </w:rPr>
  </w:style>
  <w:style w:type="character" w:customStyle="1" w:styleId="MemberStateHeaderChar">
    <w:name w:val="Member State Header Char"/>
    <w:link w:val="MemberStateHeader"/>
    <w:rsid w:val="00F6371E"/>
    <w:rPr>
      <w:rFonts w:ascii="Verdana" w:eastAsia="MS Gothic" w:hAnsi="Verdana" w:cs="Times New Roman"/>
      <w:caps/>
      <w:color w:val="242852"/>
      <w:kern w:val="20"/>
      <w:sz w:val="28"/>
      <w:lang w:val="en-US" w:eastAsia="en-US"/>
    </w:rPr>
  </w:style>
  <w:style w:type="character" w:customStyle="1" w:styleId="Marker">
    <w:name w:val="Marker"/>
    <w:basedOn w:val="DefaultParagraphFont"/>
    <w:rsid w:val="00BE7533"/>
    <w:rPr>
      <w:color w:val="0000FF"/>
      <w:shd w:val="clear" w:color="auto" w:fill="auto"/>
    </w:rPr>
  </w:style>
  <w:style w:type="paragraph" w:customStyle="1" w:styleId="Pagedecouverture">
    <w:name w:val="Page de couverture"/>
    <w:basedOn w:val="Normal"/>
    <w:next w:val="Normal"/>
    <w:rsid w:val="00BE7533"/>
    <w:pPr>
      <w:spacing w:after="0"/>
    </w:pPr>
    <w:rPr>
      <w:rFonts w:eastAsiaTheme="minorHAnsi"/>
      <w:szCs w:val="22"/>
    </w:rPr>
  </w:style>
  <w:style w:type="paragraph" w:customStyle="1" w:styleId="FooterCoverPage">
    <w:name w:val="Footer Cover Page"/>
    <w:basedOn w:val="Normal"/>
    <w:link w:val="FooterCoverPageChar"/>
    <w:rsid w:val="00BE7533"/>
    <w:pPr>
      <w:tabs>
        <w:tab w:val="center" w:pos="4535"/>
        <w:tab w:val="right" w:pos="9071"/>
        <w:tab w:val="right" w:pos="9921"/>
      </w:tabs>
      <w:spacing w:before="360" w:after="0"/>
      <w:ind w:left="-850" w:right="-850"/>
      <w:jc w:val="left"/>
    </w:pPr>
    <w:rPr>
      <w:caps/>
    </w:rPr>
  </w:style>
  <w:style w:type="character" w:customStyle="1" w:styleId="FooterCoverPageChar">
    <w:name w:val="Footer Cover Page Char"/>
    <w:basedOn w:val="DefaultParagraphFont"/>
    <w:link w:val="FooterCoverPage"/>
    <w:rsid w:val="00BE7533"/>
    <w:rPr>
      <w:caps/>
      <w:sz w:val="24"/>
      <w:lang w:eastAsia="en-US"/>
    </w:rPr>
  </w:style>
  <w:style w:type="paragraph" w:customStyle="1" w:styleId="HeaderCoverPage">
    <w:name w:val="Header Cover Page"/>
    <w:basedOn w:val="Normal"/>
    <w:link w:val="HeaderCoverPageChar"/>
    <w:rsid w:val="00BE7533"/>
    <w:pPr>
      <w:tabs>
        <w:tab w:val="center" w:pos="4535"/>
        <w:tab w:val="right" w:pos="9071"/>
      </w:tabs>
      <w:spacing w:after="120"/>
    </w:pPr>
    <w:rPr>
      <w:caps/>
    </w:rPr>
  </w:style>
  <w:style w:type="character" w:customStyle="1" w:styleId="HeaderCoverPageChar">
    <w:name w:val="Header Cover Page Char"/>
    <w:basedOn w:val="DefaultParagraphFont"/>
    <w:link w:val="HeaderCoverPage"/>
    <w:rsid w:val="00BE7533"/>
    <w:rPr>
      <w:caps/>
      <w:sz w:val="24"/>
      <w:lang w:eastAsia="en-US"/>
    </w:rPr>
  </w:style>
  <w:style w:type="paragraph" w:customStyle="1" w:styleId="Title1">
    <w:name w:val="Title1"/>
    <w:basedOn w:val="Normal"/>
    <w:next w:val="Normal"/>
    <w:link w:val="TITLEChar"/>
    <w:autoRedefine/>
    <w:uiPriority w:val="1"/>
    <w:unhideWhenUsed/>
    <w:rsid w:val="006428C1"/>
    <w:pPr>
      <w:keepNext/>
      <w:keepLines/>
      <w:outlineLvl w:val="1"/>
    </w:pPr>
    <w:rPr>
      <w:rFonts w:ascii="Arial" w:eastAsia="MS Gothic" w:hAnsi="Arial" w:cs="Arial"/>
      <w:caps/>
      <w:color w:val="4F81BD" w:themeColor="accent1"/>
      <w:kern w:val="20"/>
      <w:sz w:val="28"/>
    </w:rPr>
  </w:style>
  <w:style w:type="character" w:customStyle="1" w:styleId="TITLEChar">
    <w:name w:val="TITLE Char"/>
    <w:link w:val="Title1"/>
    <w:uiPriority w:val="1"/>
    <w:rsid w:val="006428C1"/>
    <w:rPr>
      <w:rFonts w:ascii="Arial" w:eastAsia="MS Gothic" w:hAnsi="Arial" w:cs="Arial"/>
      <w:caps/>
      <w:color w:val="4F81BD" w:themeColor="accent1"/>
      <w:kern w:val="20"/>
      <w:sz w:val="28"/>
      <w:lang w:eastAsia="en-US"/>
    </w:rPr>
  </w:style>
  <w:style w:type="paragraph" w:customStyle="1" w:styleId="Stylekop2LatinArialCustomColorRGB79129189After">
    <w:name w:val="Style kop 2 + (Latin) Arial Custom Color(RGB(79129189)) After: ..."/>
    <w:basedOn w:val="kop2"/>
    <w:rsid w:val="004671D2"/>
    <w:rPr>
      <w:rFonts w:eastAsia="Times New Roman"/>
    </w:rPr>
  </w:style>
  <w:style w:type="paragraph" w:customStyle="1" w:styleId="Style2">
    <w:name w:val="Style2"/>
    <w:basedOn w:val="kop2"/>
    <w:link w:val="Style2Char"/>
    <w:rsid w:val="004671D2"/>
  </w:style>
  <w:style w:type="paragraph" w:customStyle="1" w:styleId="StyleSubtitleBoldAccent1Left">
    <w:name w:val="Style Subtitle + Bold Accent 1 Left"/>
    <w:basedOn w:val="Subtitle"/>
    <w:qFormat/>
    <w:rsid w:val="00BE0BB7"/>
    <w:pPr>
      <w:jc w:val="left"/>
    </w:pPr>
    <w:rPr>
      <w:b/>
      <w:bCs/>
      <w:color w:val="4F81BD" w:themeColor="accent1"/>
    </w:rPr>
  </w:style>
  <w:style w:type="character" w:customStyle="1" w:styleId="Style2Char">
    <w:name w:val="Style2 Char"/>
    <w:basedOn w:val="kop2Char"/>
    <w:link w:val="Style2"/>
    <w:rsid w:val="004671D2"/>
    <w:rPr>
      <w:rFonts w:ascii="Arial" w:eastAsia="MS Gothic" w:hAnsi="Arial" w:cs="Arial"/>
      <w:caps/>
      <w:color w:val="4F81BD"/>
      <w:kern w:val="20"/>
      <w:sz w:val="24"/>
      <w:szCs w:val="24"/>
      <w:lang w:eastAsia="en-US"/>
    </w:rPr>
  </w:style>
  <w:style w:type="paragraph" w:customStyle="1" w:styleId="StyleSubtitleBoldAccent1Left1">
    <w:name w:val="Style Subtitle + Bold Accent 1 Left1"/>
    <w:basedOn w:val="Subtitle"/>
    <w:qFormat/>
    <w:rsid w:val="00BE0BB7"/>
    <w:pPr>
      <w:jc w:val="left"/>
    </w:pPr>
    <w:rPr>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910">
      <w:bodyDiv w:val="1"/>
      <w:marLeft w:val="0"/>
      <w:marRight w:val="0"/>
      <w:marTop w:val="0"/>
      <w:marBottom w:val="0"/>
      <w:divBdr>
        <w:top w:val="none" w:sz="0" w:space="0" w:color="auto"/>
        <w:left w:val="none" w:sz="0" w:space="0" w:color="auto"/>
        <w:bottom w:val="none" w:sz="0" w:space="0" w:color="auto"/>
        <w:right w:val="none" w:sz="0" w:space="0" w:color="auto"/>
      </w:divBdr>
    </w:div>
    <w:div w:id="22949177">
      <w:bodyDiv w:val="1"/>
      <w:marLeft w:val="0"/>
      <w:marRight w:val="0"/>
      <w:marTop w:val="0"/>
      <w:marBottom w:val="0"/>
      <w:divBdr>
        <w:top w:val="none" w:sz="0" w:space="0" w:color="auto"/>
        <w:left w:val="none" w:sz="0" w:space="0" w:color="auto"/>
        <w:bottom w:val="none" w:sz="0" w:space="0" w:color="auto"/>
        <w:right w:val="none" w:sz="0" w:space="0" w:color="auto"/>
      </w:divBdr>
      <w:divsChild>
        <w:div w:id="900822404">
          <w:marLeft w:val="0"/>
          <w:marRight w:val="0"/>
          <w:marTop w:val="0"/>
          <w:marBottom w:val="0"/>
          <w:divBdr>
            <w:top w:val="none" w:sz="0" w:space="0" w:color="auto"/>
            <w:left w:val="none" w:sz="0" w:space="0" w:color="auto"/>
            <w:bottom w:val="none" w:sz="0" w:space="0" w:color="auto"/>
            <w:right w:val="none" w:sz="0" w:space="0" w:color="auto"/>
          </w:divBdr>
          <w:divsChild>
            <w:div w:id="1230457846">
              <w:marLeft w:val="0"/>
              <w:marRight w:val="0"/>
              <w:marTop w:val="0"/>
              <w:marBottom w:val="0"/>
              <w:divBdr>
                <w:top w:val="none" w:sz="0" w:space="0" w:color="auto"/>
                <w:left w:val="none" w:sz="0" w:space="0" w:color="auto"/>
                <w:bottom w:val="none" w:sz="0" w:space="0" w:color="auto"/>
                <w:right w:val="none" w:sz="0" w:space="0" w:color="auto"/>
              </w:divBdr>
              <w:divsChild>
                <w:div w:id="1610042685">
                  <w:marLeft w:val="0"/>
                  <w:marRight w:val="0"/>
                  <w:marTop w:val="0"/>
                  <w:marBottom w:val="0"/>
                  <w:divBdr>
                    <w:top w:val="none" w:sz="0" w:space="0" w:color="auto"/>
                    <w:left w:val="none" w:sz="0" w:space="0" w:color="auto"/>
                    <w:bottom w:val="none" w:sz="0" w:space="0" w:color="auto"/>
                    <w:right w:val="none" w:sz="0" w:space="0" w:color="auto"/>
                  </w:divBdr>
                  <w:divsChild>
                    <w:div w:id="1445155071">
                      <w:marLeft w:val="0"/>
                      <w:marRight w:val="0"/>
                      <w:marTop w:val="0"/>
                      <w:marBottom w:val="0"/>
                      <w:divBdr>
                        <w:top w:val="none" w:sz="0" w:space="0" w:color="auto"/>
                        <w:left w:val="none" w:sz="0" w:space="0" w:color="auto"/>
                        <w:bottom w:val="none" w:sz="0" w:space="0" w:color="auto"/>
                        <w:right w:val="none" w:sz="0" w:space="0" w:color="auto"/>
                      </w:divBdr>
                      <w:divsChild>
                        <w:div w:id="782308462">
                          <w:marLeft w:val="0"/>
                          <w:marRight w:val="0"/>
                          <w:marTop w:val="0"/>
                          <w:marBottom w:val="0"/>
                          <w:divBdr>
                            <w:top w:val="none" w:sz="0" w:space="0" w:color="auto"/>
                            <w:left w:val="none" w:sz="0" w:space="0" w:color="auto"/>
                            <w:bottom w:val="none" w:sz="0" w:space="0" w:color="auto"/>
                            <w:right w:val="none" w:sz="0" w:space="0" w:color="auto"/>
                          </w:divBdr>
                          <w:divsChild>
                            <w:div w:id="986128834">
                              <w:marLeft w:val="0"/>
                              <w:marRight w:val="0"/>
                              <w:marTop w:val="0"/>
                              <w:marBottom w:val="0"/>
                              <w:divBdr>
                                <w:top w:val="none" w:sz="0" w:space="0" w:color="auto"/>
                                <w:left w:val="none" w:sz="0" w:space="0" w:color="auto"/>
                                <w:bottom w:val="none" w:sz="0" w:space="0" w:color="auto"/>
                                <w:right w:val="none" w:sz="0" w:space="0" w:color="auto"/>
                              </w:divBdr>
                              <w:divsChild>
                                <w:div w:id="430785409">
                                  <w:marLeft w:val="0"/>
                                  <w:marRight w:val="0"/>
                                  <w:marTop w:val="0"/>
                                  <w:marBottom w:val="0"/>
                                  <w:divBdr>
                                    <w:top w:val="none" w:sz="0" w:space="0" w:color="auto"/>
                                    <w:left w:val="none" w:sz="0" w:space="0" w:color="auto"/>
                                    <w:bottom w:val="none" w:sz="0" w:space="0" w:color="auto"/>
                                    <w:right w:val="none" w:sz="0" w:space="0" w:color="auto"/>
                                  </w:divBdr>
                                  <w:divsChild>
                                    <w:div w:id="9205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76703">
      <w:bodyDiv w:val="1"/>
      <w:marLeft w:val="0"/>
      <w:marRight w:val="0"/>
      <w:marTop w:val="0"/>
      <w:marBottom w:val="0"/>
      <w:divBdr>
        <w:top w:val="none" w:sz="0" w:space="0" w:color="auto"/>
        <w:left w:val="none" w:sz="0" w:space="0" w:color="auto"/>
        <w:bottom w:val="none" w:sz="0" w:space="0" w:color="auto"/>
        <w:right w:val="none" w:sz="0" w:space="0" w:color="auto"/>
      </w:divBdr>
    </w:div>
    <w:div w:id="123623349">
      <w:bodyDiv w:val="1"/>
      <w:marLeft w:val="0"/>
      <w:marRight w:val="0"/>
      <w:marTop w:val="0"/>
      <w:marBottom w:val="0"/>
      <w:divBdr>
        <w:top w:val="none" w:sz="0" w:space="0" w:color="auto"/>
        <w:left w:val="none" w:sz="0" w:space="0" w:color="auto"/>
        <w:bottom w:val="none" w:sz="0" w:space="0" w:color="auto"/>
        <w:right w:val="none" w:sz="0" w:space="0" w:color="auto"/>
      </w:divBdr>
      <w:divsChild>
        <w:div w:id="1707676523">
          <w:marLeft w:val="0"/>
          <w:marRight w:val="0"/>
          <w:marTop w:val="0"/>
          <w:marBottom w:val="0"/>
          <w:divBdr>
            <w:top w:val="none" w:sz="0" w:space="0" w:color="auto"/>
            <w:left w:val="none" w:sz="0" w:space="0" w:color="auto"/>
            <w:bottom w:val="none" w:sz="0" w:space="0" w:color="auto"/>
            <w:right w:val="none" w:sz="0" w:space="0" w:color="auto"/>
          </w:divBdr>
          <w:divsChild>
            <w:div w:id="637105600">
              <w:marLeft w:val="0"/>
              <w:marRight w:val="0"/>
              <w:marTop w:val="0"/>
              <w:marBottom w:val="0"/>
              <w:divBdr>
                <w:top w:val="none" w:sz="0" w:space="0" w:color="auto"/>
                <w:left w:val="none" w:sz="0" w:space="0" w:color="auto"/>
                <w:bottom w:val="none" w:sz="0" w:space="0" w:color="auto"/>
                <w:right w:val="none" w:sz="0" w:space="0" w:color="auto"/>
              </w:divBdr>
              <w:divsChild>
                <w:div w:id="496699497">
                  <w:marLeft w:val="0"/>
                  <w:marRight w:val="0"/>
                  <w:marTop w:val="0"/>
                  <w:marBottom w:val="0"/>
                  <w:divBdr>
                    <w:top w:val="none" w:sz="0" w:space="0" w:color="auto"/>
                    <w:left w:val="none" w:sz="0" w:space="0" w:color="auto"/>
                    <w:bottom w:val="none" w:sz="0" w:space="0" w:color="auto"/>
                    <w:right w:val="none" w:sz="0" w:space="0" w:color="auto"/>
                  </w:divBdr>
                  <w:divsChild>
                    <w:div w:id="672487117">
                      <w:marLeft w:val="0"/>
                      <w:marRight w:val="0"/>
                      <w:marTop w:val="0"/>
                      <w:marBottom w:val="0"/>
                      <w:divBdr>
                        <w:top w:val="single" w:sz="6" w:space="0" w:color="CCCCCC"/>
                        <w:left w:val="single" w:sz="2" w:space="0" w:color="CCCCCC"/>
                        <w:bottom w:val="single" w:sz="6" w:space="0" w:color="CCCCCC"/>
                        <w:right w:val="single" w:sz="2" w:space="0" w:color="CCCCCC"/>
                      </w:divBdr>
                      <w:divsChild>
                        <w:div w:id="1008867738">
                          <w:marLeft w:val="0"/>
                          <w:marRight w:val="0"/>
                          <w:marTop w:val="0"/>
                          <w:marBottom w:val="0"/>
                          <w:divBdr>
                            <w:top w:val="none" w:sz="0" w:space="0" w:color="auto"/>
                            <w:left w:val="none" w:sz="0" w:space="0" w:color="auto"/>
                            <w:bottom w:val="none" w:sz="0" w:space="0" w:color="auto"/>
                            <w:right w:val="none" w:sz="0" w:space="0" w:color="auto"/>
                          </w:divBdr>
                          <w:divsChild>
                            <w:div w:id="1317493264">
                              <w:marLeft w:val="0"/>
                              <w:marRight w:val="0"/>
                              <w:marTop w:val="0"/>
                              <w:marBottom w:val="0"/>
                              <w:divBdr>
                                <w:top w:val="none" w:sz="0" w:space="0" w:color="auto"/>
                                <w:left w:val="none" w:sz="0" w:space="0" w:color="auto"/>
                                <w:bottom w:val="none" w:sz="0" w:space="0" w:color="auto"/>
                                <w:right w:val="none" w:sz="0" w:space="0" w:color="auto"/>
                              </w:divBdr>
                              <w:divsChild>
                                <w:div w:id="50424938">
                                  <w:marLeft w:val="0"/>
                                  <w:marRight w:val="0"/>
                                  <w:marTop w:val="0"/>
                                  <w:marBottom w:val="0"/>
                                  <w:divBdr>
                                    <w:top w:val="none" w:sz="0" w:space="0" w:color="auto"/>
                                    <w:left w:val="none" w:sz="0" w:space="0" w:color="auto"/>
                                    <w:bottom w:val="none" w:sz="0" w:space="0" w:color="auto"/>
                                    <w:right w:val="none" w:sz="0" w:space="0" w:color="auto"/>
                                  </w:divBdr>
                                  <w:divsChild>
                                    <w:div w:id="1860655277">
                                      <w:marLeft w:val="0"/>
                                      <w:marRight w:val="0"/>
                                      <w:marTop w:val="0"/>
                                      <w:marBottom w:val="0"/>
                                      <w:divBdr>
                                        <w:top w:val="none" w:sz="0" w:space="0" w:color="auto"/>
                                        <w:left w:val="none" w:sz="0" w:space="0" w:color="auto"/>
                                        <w:bottom w:val="none" w:sz="0" w:space="0" w:color="auto"/>
                                        <w:right w:val="none" w:sz="0" w:space="0" w:color="auto"/>
                                      </w:divBdr>
                                      <w:divsChild>
                                        <w:div w:id="137418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23123">
      <w:bodyDiv w:val="1"/>
      <w:marLeft w:val="0"/>
      <w:marRight w:val="0"/>
      <w:marTop w:val="0"/>
      <w:marBottom w:val="0"/>
      <w:divBdr>
        <w:top w:val="none" w:sz="0" w:space="0" w:color="auto"/>
        <w:left w:val="none" w:sz="0" w:space="0" w:color="auto"/>
        <w:bottom w:val="none" w:sz="0" w:space="0" w:color="auto"/>
        <w:right w:val="none" w:sz="0" w:space="0" w:color="auto"/>
      </w:divBdr>
    </w:div>
    <w:div w:id="322779903">
      <w:bodyDiv w:val="1"/>
      <w:marLeft w:val="0"/>
      <w:marRight w:val="0"/>
      <w:marTop w:val="0"/>
      <w:marBottom w:val="0"/>
      <w:divBdr>
        <w:top w:val="none" w:sz="0" w:space="0" w:color="auto"/>
        <w:left w:val="none" w:sz="0" w:space="0" w:color="auto"/>
        <w:bottom w:val="none" w:sz="0" w:space="0" w:color="auto"/>
        <w:right w:val="none" w:sz="0" w:space="0" w:color="auto"/>
      </w:divBdr>
    </w:div>
    <w:div w:id="358243850">
      <w:bodyDiv w:val="1"/>
      <w:marLeft w:val="0"/>
      <w:marRight w:val="0"/>
      <w:marTop w:val="0"/>
      <w:marBottom w:val="0"/>
      <w:divBdr>
        <w:top w:val="none" w:sz="0" w:space="0" w:color="auto"/>
        <w:left w:val="none" w:sz="0" w:space="0" w:color="auto"/>
        <w:bottom w:val="none" w:sz="0" w:space="0" w:color="auto"/>
        <w:right w:val="none" w:sz="0" w:space="0" w:color="auto"/>
      </w:divBdr>
      <w:divsChild>
        <w:div w:id="1575889633">
          <w:marLeft w:val="0"/>
          <w:marRight w:val="0"/>
          <w:marTop w:val="0"/>
          <w:marBottom w:val="0"/>
          <w:divBdr>
            <w:top w:val="none" w:sz="0" w:space="0" w:color="auto"/>
            <w:left w:val="none" w:sz="0" w:space="0" w:color="auto"/>
            <w:bottom w:val="none" w:sz="0" w:space="0" w:color="auto"/>
            <w:right w:val="none" w:sz="0" w:space="0" w:color="auto"/>
          </w:divBdr>
          <w:divsChild>
            <w:div w:id="679549920">
              <w:marLeft w:val="0"/>
              <w:marRight w:val="0"/>
              <w:marTop w:val="0"/>
              <w:marBottom w:val="0"/>
              <w:divBdr>
                <w:top w:val="none" w:sz="0" w:space="0" w:color="auto"/>
                <w:left w:val="none" w:sz="0" w:space="0" w:color="auto"/>
                <w:bottom w:val="none" w:sz="0" w:space="0" w:color="auto"/>
                <w:right w:val="none" w:sz="0" w:space="0" w:color="auto"/>
              </w:divBdr>
              <w:divsChild>
                <w:div w:id="599528447">
                  <w:marLeft w:val="0"/>
                  <w:marRight w:val="0"/>
                  <w:marTop w:val="0"/>
                  <w:marBottom w:val="0"/>
                  <w:divBdr>
                    <w:top w:val="none" w:sz="0" w:space="0" w:color="auto"/>
                    <w:left w:val="none" w:sz="0" w:space="0" w:color="auto"/>
                    <w:bottom w:val="none" w:sz="0" w:space="0" w:color="auto"/>
                    <w:right w:val="none" w:sz="0" w:space="0" w:color="auto"/>
                  </w:divBdr>
                  <w:divsChild>
                    <w:div w:id="23138079">
                      <w:marLeft w:val="0"/>
                      <w:marRight w:val="0"/>
                      <w:marTop w:val="0"/>
                      <w:marBottom w:val="0"/>
                      <w:divBdr>
                        <w:top w:val="none" w:sz="0" w:space="0" w:color="auto"/>
                        <w:left w:val="none" w:sz="0" w:space="0" w:color="auto"/>
                        <w:bottom w:val="none" w:sz="0" w:space="0" w:color="auto"/>
                        <w:right w:val="none" w:sz="0" w:space="0" w:color="auto"/>
                      </w:divBdr>
                      <w:divsChild>
                        <w:div w:id="332076590">
                          <w:marLeft w:val="0"/>
                          <w:marRight w:val="0"/>
                          <w:marTop w:val="0"/>
                          <w:marBottom w:val="0"/>
                          <w:divBdr>
                            <w:top w:val="none" w:sz="0" w:space="0" w:color="auto"/>
                            <w:left w:val="none" w:sz="0" w:space="0" w:color="auto"/>
                            <w:bottom w:val="none" w:sz="0" w:space="0" w:color="auto"/>
                            <w:right w:val="none" w:sz="0" w:space="0" w:color="auto"/>
                          </w:divBdr>
                          <w:divsChild>
                            <w:div w:id="184558091">
                              <w:marLeft w:val="0"/>
                              <w:marRight w:val="0"/>
                              <w:marTop w:val="0"/>
                              <w:marBottom w:val="0"/>
                              <w:divBdr>
                                <w:top w:val="none" w:sz="0" w:space="0" w:color="auto"/>
                                <w:left w:val="none" w:sz="0" w:space="0" w:color="auto"/>
                                <w:bottom w:val="none" w:sz="0" w:space="0" w:color="auto"/>
                                <w:right w:val="none" w:sz="0" w:space="0" w:color="auto"/>
                              </w:divBdr>
                              <w:divsChild>
                                <w:div w:id="1370717600">
                                  <w:marLeft w:val="0"/>
                                  <w:marRight w:val="0"/>
                                  <w:marTop w:val="0"/>
                                  <w:marBottom w:val="0"/>
                                  <w:divBdr>
                                    <w:top w:val="none" w:sz="0" w:space="0" w:color="auto"/>
                                    <w:left w:val="none" w:sz="0" w:space="0" w:color="auto"/>
                                    <w:bottom w:val="none" w:sz="0" w:space="0" w:color="auto"/>
                                    <w:right w:val="none" w:sz="0" w:space="0" w:color="auto"/>
                                  </w:divBdr>
                                  <w:divsChild>
                                    <w:div w:id="15254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517910">
      <w:bodyDiv w:val="1"/>
      <w:marLeft w:val="0"/>
      <w:marRight w:val="0"/>
      <w:marTop w:val="0"/>
      <w:marBottom w:val="0"/>
      <w:divBdr>
        <w:top w:val="none" w:sz="0" w:space="0" w:color="auto"/>
        <w:left w:val="none" w:sz="0" w:space="0" w:color="auto"/>
        <w:bottom w:val="none" w:sz="0" w:space="0" w:color="auto"/>
        <w:right w:val="none" w:sz="0" w:space="0" w:color="auto"/>
      </w:divBdr>
    </w:div>
    <w:div w:id="453520694">
      <w:bodyDiv w:val="1"/>
      <w:marLeft w:val="0"/>
      <w:marRight w:val="0"/>
      <w:marTop w:val="0"/>
      <w:marBottom w:val="0"/>
      <w:divBdr>
        <w:top w:val="none" w:sz="0" w:space="0" w:color="auto"/>
        <w:left w:val="none" w:sz="0" w:space="0" w:color="auto"/>
        <w:bottom w:val="none" w:sz="0" w:space="0" w:color="auto"/>
        <w:right w:val="none" w:sz="0" w:space="0" w:color="auto"/>
      </w:divBdr>
    </w:div>
    <w:div w:id="579101762">
      <w:bodyDiv w:val="1"/>
      <w:marLeft w:val="0"/>
      <w:marRight w:val="0"/>
      <w:marTop w:val="0"/>
      <w:marBottom w:val="0"/>
      <w:divBdr>
        <w:top w:val="none" w:sz="0" w:space="0" w:color="auto"/>
        <w:left w:val="none" w:sz="0" w:space="0" w:color="auto"/>
        <w:bottom w:val="none" w:sz="0" w:space="0" w:color="auto"/>
        <w:right w:val="none" w:sz="0" w:space="0" w:color="auto"/>
      </w:divBdr>
    </w:div>
    <w:div w:id="686325501">
      <w:bodyDiv w:val="1"/>
      <w:marLeft w:val="0"/>
      <w:marRight w:val="0"/>
      <w:marTop w:val="0"/>
      <w:marBottom w:val="0"/>
      <w:divBdr>
        <w:top w:val="none" w:sz="0" w:space="0" w:color="auto"/>
        <w:left w:val="none" w:sz="0" w:space="0" w:color="auto"/>
        <w:bottom w:val="none" w:sz="0" w:space="0" w:color="auto"/>
        <w:right w:val="none" w:sz="0" w:space="0" w:color="auto"/>
      </w:divBdr>
    </w:div>
    <w:div w:id="719208015">
      <w:bodyDiv w:val="1"/>
      <w:marLeft w:val="0"/>
      <w:marRight w:val="0"/>
      <w:marTop w:val="0"/>
      <w:marBottom w:val="0"/>
      <w:divBdr>
        <w:top w:val="none" w:sz="0" w:space="0" w:color="auto"/>
        <w:left w:val="none" w:sz="0" w:space="0" w:color="auto"/>
        <w:bottom w:val="none" w:sz="0" w:space="0" w:color="auto"/>
        <w:right w:val="none" w:sz="0" w:space="0" w:color="auto"/>
      </w:divBdr>
    </w:div>
    <w:div w:id="789740923">
      <w:bodyDiv w:val="1"/>
      <w:marLeft w:val="0"/>
      <w:marRight w:val="0"/>
      <w:marTop w:val="0"/>
      <w:marBottom w:val="0"/>
      <w:divBdr>
        <w:top w:val="none" w:sz="0" w:space="0" w:color="auto"/>
        <w:left w:val="none" w:sz="0" w:space="0" w:color="auto"/>
        <w:bottom w:val="none" w:sz="0" w:space="0" w:color="auto"/>
        <w:right w:val="none" w:sz="0" w:space="0" w:color="auto"/>
      </w:divBdr>
    </w:div>
    <w:div w:id="833106307">
      <w:bodyDiv w:val="1"/>
      <w:marLeft w:val="0"/>
      <w:marRight w:val="0"/>
      <w:marTop w:val="0"/>
      <w:marBottom w:val="0"/>
      <w:divBdr>
        <w:top w:val="none" w:sz="0" w:space="0" w:color="auto"/>
        <w:left w:val="none" w:sz="0" w:space="0" w:color="auto"/>
        <w:bottom w:val="none" w:sz="0" w:space="0" w:color="auto"/>
        <w:right w:val="none" w:sz="0" w:space="0" w:color="auto"/>
      </w:divBdr>
    </w:div>
    <w:div w:id="1239368096">
      <w:bodyDiv w:val="1"/>
      <w:marLeft w:val="0"/>
      <w:marRight w:val="0"/>
      <w:marTop w:val="0"/>
      <w:marBottom w:val="0"/>
      <w:divBdr>
        <w:top w:val="none" w:sz="0" w:space="0" w:color="auto"/>
        <w:left w:val="none" w:sz="0" w:space="0" w:color="auto"/>
        <w:bottom w:val="none" w:sz="0" w:space="0" w:color="auto"/>
        <w:right w:val="none" w:sz="0" w:space="0" w:color="auto"/>
      </w:divBdr>
    </w:div>
    <w:div w:id="1288703011">
      <w:bodyDiv w:val="1"/>
      <w:marLeft w:val="0"/>
      <w:marRight w:val="0"/>
      <w:marTop w:val="0"/>
      <w:marBottom w:val="0"/>
      <w:divBdr>
        <w:top w:val="none" w:sz="0" w:space="0" w:color="auto"/>
        <w:left w:val="none" w:sz="0" w:space="0" w:color="auto"/>
        <w:bottom w:val="none" w:sz="0" w:space="0" w:color="auto"/>
        <w:right w:val="none" w:sz="0" w:space="0" w:color="auto"/>
      </w:divBdr>
    </w:div>
    <w:div w:id="1300956973">
      <w:bodyDiv w:val="1"/>
      <w:marLeft w:val="0"/>
      <w:marRight w:val="0"/>
      <w:marTop w:val="0"/>
      <w:marBottom w:val="0"/>
      <w:divBdr>
        <w:top w:val="none" w:sz="0" w:space="0" w:color="auto"/>
        <w:left w:val="none" w:sz="0" w:space="0" w:color="auto"/>
        <w:bottom w:val="none" w:sz="0" w:space="0" w:color="auto"/>
        <w:right w:val="none" w:sz="0" w:space="0" w:color="auto"/>
      </w:divBdr>
    </w:div>
    <w:div w:id="1385760670">
      <w:bodyDiv w:val="1"/>
      <w:marLeft w:val="0"/>
      <w:marRight w:val="0"/>
      <w:marTop w:val="0"/>
      <w:marBottom w:val="0"/>
      <w:divBdr>
        <w:top w:val="none" w:sz="0" w:space="0" w:color="auto"/>
        <w:left w:val="none" w:sz="0" w:space="0" w:color="auto"/>
        <w:bottom w:val="none" w:sz="0" w:space="0" w:color="auto"/>
        <w:right w:val="none" w:sz="0" w:space="0" w:color="auto"/>
      </w:divBdr>
    </w:div>
    <w:div w:id="1527908422">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sChild>
        <w:div w:id="1547569192">
          <w:marLeft w:val="0"/>
          <w:marRight w:val="0"/>
          <w:marTop w:val="0"/>
          <w:marBottom w:val="0"/>
          <w:divBdr>
            <w:top w:val="none" w:sz="0" w:space="0" w:color="auto"/>
            <w:left w:val="none" w:sz="0" w:space="0" w:color="auto"/>
            <w:bottom w:val="none" w:sz="0" w:space="0" w:color="auto"/>
            <w:right w:val="none" w:sz="0" w:space="0" w:color="auto"/>
          </w:divBdr>
          <w:divsChild>
            <w:div w:id="1998605590">
              <w:marLeft w:val="0"/>
              <w:marRight w:val="0"/>
              <w:marTop w:val="0"/>
              <w:marBottom w:val="0"/>
              <w:divBdr>
                <w:top w:val="none" w:sz="0" w:space="0" w:color="auto"/>
                <w:left w:val="none" w:sz="0" w:space="0" w:color="auto"/>
                <w:bottom w:val="none" w:sz="0" w:space="0" w:color="auto"/>
                <w:right w:val="none" w:sz="0" w:space="0" w:color="auto"/>
              </w:divBdr>
              <w:divsChild>
                <w:div w:id="269632737">
                  <w:marLeft w:val="0"/>
                  <w:marRight w:val="0"/>
                  <w:marTop w:val="0"/>
                  <w:marBottom w:val="0"/>
                  <w:divBdr>
                    <w:top w:val="none" w:sz="0" w:space="0" w:color="auto"/>
                    <w:left w:val="none" w:sz="0" w:space="0" w:color="auto"/>
                    <w:bottom w:val="none" w:sz="0" w:space="0" w:color="auto"/>
                    <w:right w:val="none" w:sz="0" w:space="0" w:color="auto"/>
                  </w:divBdr>
                  <w:divsChild>
                    <w:div w:id="908923535">
                      <w:marLeft w:val="0"/>
                      <w:marRight w:val="0"/>
                      <w:marTop w:val="0"/>
                      <w:marBottom w:val="0"/>
                      <w:divBdr>
                        <w:top w:val="single" w:sz="6" w:space="0" w:color="CCCCCC"/>
                        <w:left w:val="single" w:sz="2" w:space="0" w:color="CCCCCC"/>
                        <w:bottom w:val="single" w:sz="6" w:space="0" w:color="CCCCCC"/>
                        <w:right w:val="single" w:sz="2" w:space="0" w:color="CCCCCC"/>
                      </w:divBdr>
                      <w:divsChild>
                        <w:div w:id="941495245">
                          <w:marLeft w:val="0"/>
                          <w:marRight w:val="0"/>
                          <w:marTop w:val="0"/>
                          <w:marBottom w:val="0"/>
                          <w:divBdr>
                            <w:top w:val="none" w:sz="0" w:space="0" w:color="auto"/>
                            <w:left w:val="none" w:sz="0" w:space="0" w:color="auto"/>
                            <w:bottom w:val="none" w:sz="0" w:space="0" w:color="auto"/>
                            <w:right w:val="none" w:sz="0" w:space="0" w:color="auto"/>
                          </w:divBdr>
                          <w:divsChild>
                            <w:div w:id="1664894565">
                              <w:marLeft w:val="0"/>
                              <w:marRight w:val="0"/>
                              <w:marTop w:val="0"/>
                              <w:marBottom w:val="0"/>
                              <w:divBdr>
                                <w:top w:val="none" w:sz="0" w:space="0" w:color="auto"/>
                                <w:left w:val="none" w:sz="0" w:space="0" w:color="auto"/>
                                <w:bottom w:val="none" w:sz="0" w:space="0" w:color="auto"/>
                                <w:right w:val="none" w:sz="0" w:space="0" w:color="auto"/>
                              </w:divBdr>
                              <w:divsChild>
                                <w:div w:id="1912546412">
                                  <w:marLeft w:val="0"/>
                                  <w:marRight w:val="0"/>
                                  <w:marTop w:val="0"/>
                                  <w:marBottom w:val="0"/>
                                  <w:divBdr>
                                    <w:top w:val="none" w:sz="0" w:space="0" w:color="auto"/>
                                    <w:left w:val="none" w:sz="0" w:space="0" w:color="auto"/>
                                    <w:bottom w:val="none" w:sz="0" w:space="0" w:color="auto"/>
                                    <w:right w:val="none" w:sz="0" w:space="0" w:color="auto"/>
                                  </w:divBdr>
                                  <w:divsChild>
                                    <w:div w:id="1540628682">
                                      <w:marLeft w:val="0"/>
                                      <w:marRight w:val="0"/>
                                      <w:marTop w:val="0"/>
                                      <w:marBottom w:val="0"/>
                                      <w:divBdr>
                                        <w:top w:val="none" w:sz="0" w:space="0" w:color="auto"/>
                                        <w:left w:val="none" w:sz="0" w:space="0" w:color="auto"/>
                                        <w:bottom w:val="none" w:sz="0" w:space="0" w:color="auto"/>
                                        <w:right w:val="none" w:sz="0" w:space="0" w:color="auto"/>
                                      </w:divBdr>
                                      <w:divsChild>
                                        <w:div w:id="148088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5482284">
      <w:bodyDiv w:val="1"/>
      <w:marLeft w:val="0"/>
      <w:marRight w:val="0"/>
      <w:marTop w:val="0"/>
      <w:marBottom w:val="0"/>
      <w:divBdr>
        <w:top w:val="none" w:sz="0" w:space="0" w:color="auto"/>
        <w:left w:val="none" w:sz="0" w:space="0" w:color="auto"/>
        <w:bottom w:val="none" w:sz="0" w:space="0" w:color="auto"/>
        <w:right w:val="none" w:sz="0" w:space="0" w:color="auto"/>
      </w:divBdr>
    </w:div>
    <w:div w:id="1886716613">
      <w:bodyDiv w:val="1"/>
      <w:marLeft w:val="0"/>
      <w:marRight w:val="0"/>
      <w:marTop w:val="0"/>
      <w:marBottom w:val="0"/>
      <w:divBdr>
        <w:top w:val="none" w:sz="0" w:space="0" w:color="auto"/>
        <w:left w:val="none" w:sz="0" w:space="0" w:color="auto"/>
        <w:bottom w:val="none" w:sz="0" w:space="0" w:color="auto"/>
        <w:right w:val="none" w:sz="0" w:space="0" w:color="auto"/>
      </w:divBdr>
    </w:div>
    <w:div w:id="2038850130">
      <w:bodyDiv w:val="1"/>
      <w:marLeft w:val="0"/>
      <w:marRight w:val="0"/>
      <w:marTop w:val="0"/>
      <w:marBottom w:val="0"/>
      <w:divBdr>
        <w:top w:val="none" w:sz="0" w:space="0" w:color="auto"/>
        <w:left w:val="none" w:sz="0" w:space="0" w:color="auto"/>
        <w:bottom w:val="none" w:sz="0" w:space="0" w:color="auto"/>
        <w:right w:val="none" w:sz="0" w:space="0" w:color="auto"/>
      </w:divBdr>
      <w:divsChild>
        <w:div w:id="1729841038">
          <w:marLeft w:val="1166"/>
          <w:marRight w:val="0"/>
          <w:marTop w:val="115"/>
          <w:marBottom w:val="120"/>
          <w:divBdr>
            <w:top w:val="none" w:sz="0" w:space="0" w:color="auto"/>
            <w:left w:val="none" w:sz="0" w:space="0" w:color="auto"/>
            <w:bottom w:val="none" w:sz="0" w:space="0" w:color="auto"/>
            <w:right w:val="none" w:sz="0" w:space="0" w:color="auto"/>
          </w:divBdr>
        </w:div>
        <w:div w:id="1913462369">
          <w:marLeft w:val="1166"/>
          <w:marRight w:val="0"/>
          <w:marTop w:val="115"/>
          <w:marBottom w:val="120"/>
          <w:divBdr>
            <w:top w:val="none" w:sz="0" w:space="0" w:color="auto"/>
            <w:left w:val="none" w:sz="0" w:space="0" w:color="auto"/>
            <w:bottom w:val="none" w:sz="0" w:space="0" w:color="auto"/>
            <w:right w:val="none" w:sz="0" w:space="0" w:color="auto"/>
          </w:divBdr>
        </w:div>
      </w:divsChild>
    </w:div>
    <w:div w:id="2039692787">
      <w:bodyDiv w:val="1"/>
      <w:marLeft w:val="0"/>
      <w:marRight w:val="0"/>
      <w:marTop w:val="0"/>
      <w:marBottom w:val="0"/>
      <w:divBdr>
        <w:top w:val="none" w:sz="0" w:space="0" w:color="auto"/>
        <w:left w:val="none" w:sz="0" w:space="0" w:color="auto"/>
        <w:bottom w:val="none" w:sz="0" w:space="0" w:color="auto"/>
        <w:right w:val="none" w:sz="0" w:space="0" w:color="auto"/>
      </w:divBdr>
    </w:div>
    <w:div w:id="2040743901">
      <w:bodyDiv w:val="1"/>
      <w:marLeft w:val="0"/>
      <w:marRight w:val="0"/>
      <w:marTop w:val="0"/>
      <w:marBottom w:val="0"/>
      <w:divBdr>
        <w:top w:val="none" w:sz="0" w:space="0" w:color="auto"/>
        <w:left w:val="none" w:sz="0" w:space="0" w:color="auto"/>
        <w:bottom w:val="none" w:sz="0" w:space="0" w:color="auto"/>
        <w:right w:val="none" w:sz="0" w:space="0" w:color="auto"/>
      </w:divBdr>
    </w:div>
    <w:div w:id="208051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eur-lex.europa.eu/legal-content/BG/ALL/?uri=CELEX%3A32003F0568" TargetMode="External"/><Relationship Id="rId39" Type="http://schemas.openxmlformats.org/officeDocument/2006/relationships/chart" Target="charts/chart8.xml"/><Relationship Id="rId21" Type="http://schemas.openxmlformats.org/officeDocument/2006/relationships/footer" Target="footer4.xml"/><Relationship Id="rId34" Type="http://schemas.openxmlformats.org/officeDocument/2006/relationships/chart" Target="charts/chart3.xml"/><Relationship Id="rId42" Type="http://schemas.openxmlformats.org/officeDocument/2006/relationships/chart" Target="charts/chart11.xml"/><Relationship Id="rId47" Type="http://schemas.openxmlformats.org/officeDocument/2006/relationships/chart" Target="charts/chart16.xml"/><Relationship Id="rId50" Type="http://schemas.openxmlformats.org/officeDocument/2006/relationships/header" Target="header8.xml"/><Relationship Id="rId55"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eur-lex.europa.eu/legal-content/BG/TXT/?qid=1454945214802&amp;uri=CELEX:32006F0960" TargetMode="External"/><Relationship Id="rId33" Type="http://schemas.openxmlformats.org/officeDocument/2006/relationships/chart" Target="charts/chart2.xml"/><Relationship Id="rId38" Type="http://schemas.openxmlformats.org/officeDocument/2006/relationships/chart" Target="charts/chart7.xml"/><Relationship Id="rId46" Type="http://schemas.openxmlformats.org/officeDocument/2006/relationships/chart" Target="charts/chart1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yperlink" Target="http://eur-lex.europa.eu/legal-content/BG/TXT/?qid=1454944990881&amp;uri=CELEX:32009F0829" TargetMode="External"/><Relationship Id="rId41" Type="http://schemas.openxmlformats.org/officeDocument/2006/relationships/chart" Target="charts/chart10.xml"/><Relationship Id="rId54"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chart" Target="charts/chart1.xml"/><Relationship Id="rId37" Type="http://schemas.openxmlformats.org/officeDocument/2006/relationships/chart" Target="charts/chart6.xml"/><Relationship Id="rId40" Type="http://schemas.openxmlformats.org/officeDocument/2006/relationships/chart" Target="charts/chart9.xml"/><Relationship Id="rId45" Type="http://schemas.openxmlformats.org/officeDocument/2006/relationships/chart" Target="charts/chart14.xml"/><Relationship Id="rId53"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yperlink" Target="http://eur-lex.europa.eu/legal-content/BG/TXT/?qid=1454944891473&amp;uri=CELEX:32009F0315" TargetMode="External"/><Relationship Id="rId36" Type="http://schemas.openxmlformats.org/officeDocument/2006/relationships/chart" Target="charts/chart5.xml"/><Relationship Id="rId49"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http://eur-lex.europa.eu/legal-content/BG/TXT/?qid=1454945169273&amp;uri=CELEX:32008F0909" TargetMode="External"/><Relationship Id="rId44" Type="http://schemas.openxmlformats.org/officeDocument/2006/relationships/chart" Target="charts/chart13.xml"/><Relationship Id="rId52"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eur-lex.europa.eu/legal-content/BG/TXT/?qid=1454944788655&amp;uri=CELEX:32008F0841" TargetMode="External"/><Relationship Id="rId30" Type="http://schemas.openxmlformats.org/officeDocument/2006/relationships/hyperlink" Target="http://eur-lex.europa.eu/legal-content/BG/TXT/?qid=1454945031991&amp;uri=CELEX:32008F0947" TargetMode="External"/><Relationship Id="rId35" Type="http://schemas.openxmlformats.org/officeDocument/2006/relationships/chart" Target="charts/chart4.xml"/><Relationship Id="rId43" Type="http://schemas.openxmlformats.org/officeDocument/2006/relationships/chart" Target="charts/chart12.xml"/><Relationship Id="rId48" Type="http://schemas.openxmlformats.org/officeDocument/2006/relationships/chart" Target="charts/chart17.xm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footer" Target="footer7.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6" Type="http://schemas.openxmlformats.org/officeDocument/2006/relationships/hyperlink" Target="http://ec.europa.eu/consumers/consumer_rights/unfair-trade/unfair-practices/index_en.htm" TargetMode="External"/><Relationship Id="rId117" Type="http://schemas.openxmlformats.org/officeDocument/2006/relationships/hyperlink" Target="http://eur-lex.europa.eu/legal-content/BG/TXT/?qid=1455021012168&amp;uri=CELEX:32014L0051" TargetMode="External"/><Relationship Id="rId21" Type="http://schemas.openxmlformats.org/officeDocument/2006/relationships/hyperlink" Target="http://eur-lex.europa.eu/legal-content/BG/TXT/?qid=1454940452353&amp;uri=CELEX:52015DC0550" TargetMode="External"/><Relationship Id="rId42" Type="http://schemas.openxmlformats.org/officeDocument/2006/relationships/hyperlink" Target="http://eur-lex.europa.eu/legal-content/BG/TXT/?qid=1454941621385&amp;uri=CELEX:32014L0049" TargetMode="External"/><Relationship Id="rId47" Type="http://schemas.openxmlformats.org/officeDocument/2006/relationships/hyperlink" Target="http://eur-lex.europa.eu/legal-content/BG/TXT/?qid=1454941828677&amp;uri=CELEX:32014L0051" TargetMode="External"/><Relationship Id="rId63" Type="http://schemas.openxmlformats.org/officeDocument/2006/relationships/hyperlink" Target="http://eur-lex.europa.eu/legal-content/EN/TXT/?qid=1463669154004&amp;uri=CELEX:31998R2013" TargetMode="External"/><Relationship Id="rId68" Type="http://schemas.openxmlformats.org/officeDocument/2006/relationships/hyperlink" Target="http://eur-lex.europa.eu/legal-content/BG/TXT/?qid=1454942558811&amp;uri=CELEX:32013L0032" TargetMode="External"/><Relationship Id="rId84" Type="http://schemas.openxmlformats.org/officeDocument/2006/relationships/hyperlink" Target="http://eur-lex.europa.eu/legal-content/BG/TXT/?uri=OJ:C:2011:369:TOC" TargetMode="External"/><Relationship Id="rId89" Type="http://schemas.openxmlformats.org/officeDocument/2006/relationships/hyperlink" Target="http://eur-lex.europa.eu/legal-content/BG/TXT/?qid=1454943317956&amp;uri=CELEX:32014L0049" TargetMode="External"/><Relationship Id="rId112" Type="http://schemas.openxmlformats.org/officeDocument/2006/relationships/hyperlink" Target="http://eur-lex.europa.eu/legal-content/BG/TXT/?qid=1455028291421&amp;uri=CELEX:32003L0004" TargetMode="External"/><Relationship Id="rId16" Type="http://schemas.openxmlformats.org/officeDocument/2006/relationships/hyperlink" Target="http://eur-lex.europa.eu/legal-content/BG/TXT/?qid=1456480409255&amp;uri=CELEX:32008L0101" TargetMode="External"/><Relationship Id="rId107" Type="http://schemas.openxmlformats.org/officeDocument/2006/relationships/hyperlink" Target="http://eur-lex.europa.eu/legal-content/BG/TXT/?qid=1454943884549&amp;uri=CELEX:32013L0033" TargetMode="External"/><Relationship Id="rId11" Type="http://schemas.openxmlformats.org/officeDocument/2006/relationships/hyperlink" Target="http://eur-lex.europa.eu/legal-content/BG/TXT/?qid=1454940056281&amp;uri=CELEX:32012L0027" TargetMode="External"/><Relationship Id="rId32" Type="http://schemas.openxmlformats.org/officeDocument/2006/relationships/hyperlink" Target="http://eur-lex.europa.eu/legal-content/BG/TXT/?qid=1454941177022&amp;uri=CELEX:32004L0023" TargetMode="External"/><Relationship Id="rId37" Type="http://schemas.openxmlformats.org/officeDocument/2006/relationships/hyperlink" Target="http://eur-lex.europa.eu/legal-content/BG/TXT/?qid=1454941454344&amp;uri=CELEX:32006L0126" TargetMode="External"/><Relationship Id="rId53" Type="http://schemas.openxmlformats.org/officeDocument/2006/relationships/hyperlink" Target="http://eur-lex.europa.eu/legal-content/BG/TXT/?qid=1454941987159&amp;uri=CELEX:32012L0029" TargetMode="External"/><Relationship Id="rId58" Type="http://schemas.openxmlformats.org/officeDocument/2006/relationships/hyperlink" Target="http://curia.europa.eu/juris/liste.jsf?td=ALL&amp;language=bg&amp;jur=C,T,F&amp;num=C-362/14" TargetMode="External"/><Relationship Id="rId74" Type="http://schemas.openxmlformats.org/officeDocument/2006/relationships/hyperlink" Target="http://eur-lex.europa.eu/legal-content/BG/TXT/?qid=1454942791432&amp;uri=CELEX:52015DC0510" TargetMode="External"/><Relationship Id="rId79" Type="http://schemas.openxmlformats.org/officeDocument/2006/relationships/hyperlink" Target="http://eur-lex.europa.eu/legal-content/BG/TXT/?qid=1455189814088&amp;uri=CELEX:31999L0031" TargetMode="External"/><Relationship Id="rId102" Type="http://schemas.openxmlformats.org/officeDocument/2006/relationships/hyperlink" Target="http://eur-lex.europa.eu/legal-content/BG/TXT/?qid=1454943752545&amp;uri=CELEX:32009L0138" TargetMode="External"/><Relationship Id="rId123" Type="http://schemas.openxmlformats.org/officeDocument/2006/relationships/hyperlink" Target="http://curia.europa.eu/juris/liste.jsf?pro=&amp;nat=or&amp;oqp=&amp;dates=&amp;lg=&amp;language=bg&amp;jur=C%2CT%2CF&amp;cit=none%252CC%252CCJ%252CR%252C2008E%252C%252C%252C%252C%252C%252C%252C%252C%252C%252Ctrue%252Cfalse%252Cfalse&amp;num=C-546%252F15&amp;td=%3BALL&amp;pcs=Oor&amp;avg=&amp;page=1&amp;mat=or&amp;jge=&amp;for=&amp;cid=402301" TargetMode="External"/><Relationship Id="rId128" Type="http://schemas.openxmlformats.org/officeDocument/2006/relationships/hyperlink" Target="http://curia.europa.eu/juris/liste.jsf?pro=&amp;nat=or&amp;oqp=&amp;dates=&amp;lg=&amp;language=bg&amp;jur=C%2CT%2CF&amp;cit=none%252CC%252CCJ%252CR%252C2008E%252C%252C%252C%252C%252C%252C%252C%252C%252C%252Ctrue%252Cfalse%252Cfalse&amp;num=C-320%252F13&amp;td=%3BALL&amp;pcs=Oor&amp;avg=&amp;page=1&amp;mat=or&amp;jge=&amp;for=&amp;cid=680512" TargetMode="External"/><Relationship Id="rId5" Type="http://schemas.openxmlformats.org/officeDocument/2006/relationships/hyperlink" Target="http://eur-lex.europa.eu/legal-content/BG/TXT/?qid=1454939385464&amp;uri=CELEX:52015DC0614" TargetMode="External"/><Relationship Id="rId90" Type="http://schemas.openxmlformats.org/officeDocument/2006/relationships/hyperlink" Target="http://eur-lex.europa.eu/legal-content/BG/TXT/?qid=1454943342508&amp;uri=CELEX:32014L0051" TargetMode="External"/><Relationship Id="rId95" Type="http://schemas.openxmlformats.org/officeDocument/2006/relationships/hyperlink" Target="http://eur-lex.europa.eu/legal-content/BG/TXT/?qid=1454943465485&amp;uri=CELEX:32014L0085" TargetMode="External"/><Relationship Id="rId19" Type="http://schemas.openxmlformats.org/officeDocument/2006/relationships/hyperlink" Target="http://eur-lex.europa.eu/legal-content/BG/TXT/?qid=1456480487321&amp;uri=CELEX:32009L0031" TargetMode="External"/><Relationship Id="rId14" Type="http://schemas.openxmlformats.org/officeDocument/2006/relationships/hyperlink" Target="http://eur-lex.europa.eu/legal-content/BG/TXT/?qid=1454940105317&amp;uri=CELEX:32009L0119" TargetMode="External"/><Relationship Id="rId22" Type="http://schemas.openxmlformats.org/officeDocument/2006/relationships/hyperlink" Target="http://eur-lex.europa.eu/legal-content/BG/TXT/?qid=1454940630078&amp;uri=CELEX:32011L0007" TargetMode="External"/><Relationship Id="rId27" Type="http://schemas.openxmlformats.org/officeDocument/2006/relationships/hyperlink" Target="http://eur-lex.europa.eu/legal-content/BG/TXT/?qid=1454941037635&amp;uri=CELEX:31990L0314" TargetMode="External"/><Relationship Id="rId30" Type="http://schemas.openxmlformats.org/officeDocument/2006/relationships/hyperlink" Target="http://ec.europa.eu/justice/newsroom/consumer-marketing/news/150713_en.htm" TargetMode="External"/><Relationship Id="rId35" Type="http://schemas.openxmlformats.org/officeDocument/2006/relationships/hyperlink" Target="http://eur-lex.europa.eu/legal-content/BG/TXT/?qid=1454941399324&amp;uri=CELEX:32012L0034" TargetMode="External"/><Relationship Id="rId43" Type="http://schemas.openxmlformats.org/officeDocument/2006/relationships/hyperlink" Target="http://eur-lex.europa.eu/legal-content/BG/TXT/?qid=1454941650891&amp;uri=CELEX:32013L0034" TargetMode="External"/><Relationship Id="rId48" Type="http://schemas.openxmlformats.org/officeDocument/2006/relationships/hyperlink" Target="http://eur-lex.europa.eu/legal-content/BG/TXT/?qid=1454941856470&amp;uri=CELEX:32011L0061" TargetMode="External"/><Relationship Id="rId56" Type="http://schemas.openxmlformats.org/officeDocument/2006/relationships/hyperlink" Target="http://eur-lex.europa.eu/legal-content/BG/TXT/?qid=1458572498576&amp;uri=CELEX:32003R2201" TargetMode="External"/><Relationship Id="rId64" Type="http://schemas.openxmlformats.org/officeDocument/2006/relationships/hyperlink" Target="http://eur-lex.europa.eu/legal-content/BG/TXT/?qid=1463669204423&amp;uri=CELEX:32011L0036" TargetMode="External"/><Relationship Id="rId69" Type="http://schemas.openxmlformats.org/officeDocument/2006/relationships/hyperlink" Target="http://eur-lex.europa.eu/legal-content/BG/TXT/?qid=1454942589751&amp;uri=CELEX:32013L0033" TargetMode="External"/><Relationship Id="rId77" Type="http://schemas.openxmlformats.org/officeDocument/2006/relationships/hyperlink" Target="http://eur-lex.europa.eu/legal-content/BG/TXT/?qid=1455189706762&amp;uri=CELEX:32008L0098" TargetMode="External"/><Relationship Id="rId100" Type="http://schemas.openxmlformats.org/officeDocument/2006/relationships/hyperlink" Target="http://eur-lex.europa.eu/legal-content/BG/TXT/?qid=1454943695438&amp;uri=CELEX:32014L0049" TargetMode="External"/><Relationship Id="rId105" Type="http://schemas.openxmlformats.org/officeDocument/2006/relationships/hyperlink" Target="http://eur-lex.europa.eu/legal-content/BG/TXT/?qid=1454943836452&amp;uri=CELEX:32014L0085" TargetMode="External"/><Relationship Id="rId113" Type="http://schemas.openxmlformats.org/officeDocument/2006/relationships/hyperlink" Target="http://curia.europa.eu/juris/liste.jsf?pro=&amp;nat=or&amp;oqp=&amp;dates=&amp;lg=&amp;language=bg&amp;jur=C%2CT%2CF&amp;cit=none%252CC%252CCJ%252CR%252C2008E%252C%252C%252C%252C%252C%252C%252C%252C%252C%252Ctrue%252Cfalse%252Cfalse&amp;num=C-653%252F13&amp;td=%3BALL&amp;pcs=Oor&amp;avg=&amp;page=1&amp;mat=or&amp;jge=&amp;for=&amp;cid=402301" TargetMode="External"/><Relationship Id="rId118" Type="http://schemas.openxmlformats.org/officeDocument/2006/relationships/hyperlink" Target="http://eur-lex.europa.eu/legal-content/BG/TXT/?qid=1455020984695&amp;uri=CELEX:32009L0138" TargetMode="External"/><Relationship Id="rId126" Type="http://schemas.openxmlformats.org/officeDocument/2006/relationships/hyperlink" Target="http://curia.europa.eu/juris/liste.jsf?pro=&amp;nat=or&amp;oqp=&amp;dates=&amp;lg=&amp;language=bg&amp;jur=C%2CT%2CF&amp;cit=none%252CC%252CCJ%252CR%252C2008E%252C%252C%252C%252C%252C%252C%252C%252C%252C%252Ctrue%252Cfalse%252Cfalse&amp;num=C-357%252F15&amp;td=%3BALL&amp;pcs=Oor&amp;avg=&amp;page=1&amp;mat=or&amp;jge=&amp;for=&amp;cid=413937" TargetMode="External"/><Relationship Id="rId8" Type="http://schemas.openxmlformats.org/officeDocument/2006/relationships/hyperlink" Target="http://eur-lex.europa.eu/legal-content/BG/TXT/?qid=1454939975010&amp;uri=CELEX:32009L0072" TargetMode="External"/><Relationship Id="rId51" Type="http://schemas.openxmlformats.org/officeDocument/2006/relationships/hyperlink" Target="http://eur-lex.europa.eu/legal-content/BG/TXT/?qid=1454941929591&amp;uri=CELEX:32004L0038" TargetMode="External"/><Relationship Id="rId72" Type="http://schemas.openxmlformats.org/officeDocument/2006/relationships/hyperlink" Target="http://eur-lex.europa.eu/legal-content/BG/TXT/?qid=1454942695061&amp;uri=CELEX:32008L0115" TargetMode="External"/><Relationship Id="rId80" Type="http://schemas.openxmlformats.org/officeDocument/2006/relationships/hyperlink" Target="http://eur-lex.europa.eu/legal-content/BG/TXT/?qid=1455189841276&amp;uri=CELEX:32000L0053" TargetMode="External"/><Relationship Id="rId85" Type="http://schemas.openxmlformats.org/officeDocument/2006/relationships/hyperlink" Target="http://eur-lex.europa.eu/legal-content/BG/TXT/?qid=1454943219703&amp;uri=CELEX:32012L0018" TargetMode="External"/><Relationship Id="rId93" Type="http://schemas.openxmlformats.org/officeDocument/2006/relationships/hyperlink" Target="http://eur-lex.europa.eu/legal-content/BG/TXT/?qid=1454943417391&amp;uri=CELEX:32013L0011" TargetMode="External"/><Relationship Id="rId98" Type="http://schemas.openxmlformats.org/officeDocument/2006/relationships/hyperlink" Target="http://eur-lex.europa.eu/legal-content/BG/TXT/?qid=1454943650977&amp;uri=CELEX:32013L0034" TargetMode="External"/><Relationship Id="rId121" Type="http://schemas.openxmlformats.org/officeDocument/2006/relationships/hyperlink" Target="http://curia.europa.eu/juris/liste.jsf?pro=&amp;nat=or&amp;oqp=&amp;dates=&amp;lg=&amp;language=bg&amp;jur=C%2CT%2CF&amp;cit=none%252CC%252CCJ%252CR%252C2008E%252C%252C%252C%252C%252C%252C%252C%252C%252C%252Ctrue%252Cfalse%252Cfalse&amp;num=C-545%252F15&amp;td=%3BALL&amp;pcs=Oor&amp;avg=&amp;page=1&amp;mat=or&amp;jge=&amp;for=&amp;cid=413937" TargetMode="External"/><Relationship Id="rId3" Type="http://schemas.openxmlformats.org/officeDocument/2006/relationships/hyperlink" Target="http://eur-lex.europa.eu/legal-content/BG/TXT/?qid=1463638951904&amp;uri=CELEX:32008R1272" TargetMode="External"/><Relationship Id="rId12" Type="http://schemas.openxmlformats.org/officeDocument/2006/relationships/hyperlink" Target="http://eur-lex.europa.eu/legal-content/BG/TXT/?qid=1454940078169&amp;uri=CELEX:32010L0031" TargetMode="External"/><Relationship Id="rId17" Type="http://schemas.openxmlformats.org/officeDocument/2006/relationships/hyperlink" Target="http://eur-lex.europa.eu/legal-content/BG/TXT/?qid=1463667806483&amp;uri=CELEX:32009L0029" TargetMode="External"/><Relationship Id="rId25" Type="http://schemas.openxmlformats.org/officeDocument/2006/relationships/hyperlink" Target="http://eur-lex.europa.eu/legal-content/BG/TXT/?qid=1463668466385&amp;uri=CELEX:32005L0029" TargetMode="External"/><Relationship Id="rId33" Type="http://schemas.openxmlformats.org/officeDocument/2006/relationships/hyperlink" Target="http://eur-lex.europa.eu/legal-content/BG/TXT/?qid=1454941322301&amp;uri=CELEX:31999L0074" TargetMode="External"/><Relationship Id="rId38" Type="http://schemas.openxmlformats.org/officeDocument/2006/relationships/hyperlink" Target="http://europa.eu/rapid/press-release_IP-11-1551_bg.htm" TargetMode="External"/><Relationship Id="rId46" Type="http://schemas.openxmlformats.org/officeDocument/2006/relationships/hyperlink" Target="http://eur-lex.europa.eu/legal-content/BG/TXT/?qid=1454941802504&amp;uri=CELEX:32009L0138" TargetMode="External"/><Relationship Id="rId59" Type="http://schemas.openxmlformats.org/officeDocument/2006/relationships/hyperlink" Target="http://eur-lex.europa.eu/legal-content/BG/TXT/?qid=1454942160935&amp;uri=CELEX:32000D0520" TargetMode="External"/><Relationship Id="rId67" Type="http://schemas.openxmlformats.org/officeDocument/2006/relationships/hyperlink" Target="http://eur-lex.europa.eu/legal-content/BG/TXT/?qid=1454942431709&amp;uri=CELEX:52015DC0240" TargetMode="External"/><Relationship Id="rId103" Type="http://schemas.openxmlformats.org/officeDocument/2006/relationships/hyperlink" Target="http://eur-lex.europa.eu/legal-content/BG/TXT/?qid=1454943784395&amp;uri=CELEX:32003L0071" TargetMode="External"/><Relationship Id="rId108" Type="http://schemas.openxmlformats.org/officeDocument/2006/relationships/hyperlink" Target="http://eur-lex.europa.eu/legal-content/BG/TXT/?qid=1454943906678&amp;uri=CELEX:32013L0011" TargetMode="External"/><Relationship Id="rId116" Type="http://schemas.openxmlformats.org/officeDocument/2006/relationships/hyperlink" Target="http://eur-lex.europa.eu/legal-content/BG/TXT/?qid=1455021039014&amp;uri=CELEX:32014L0059" TargetMode="External"/><Relationship Id="rId124" Type="http://schemas.openxmlformats.org/officeDocument/2006/relationships/hyperlink" Target="http://curia.europa.eu/juris/liste.jsf?pro=&amp;lgrec=en&amp;nat=or&amp;oqp=&amp;dates=&amp;lg=&amp;language=bg&amp;jur=C%2CT%2CF&amp;cit=none%252CC%252CCJ%252CR%252C2008E%252C%252C%252C%252C%252C%252C%252C%252C%252C%252Ctrue%252Cfalse%252Cfalse&amp;num=C-540%252F15&amp;td=%3BALL&amp;pcs=Oor&amp;avg=&amp;page=1&amp;mat=or&amp;jge=&amp;for=&amp;cid=413937" TargetMode="External"/><Relationship Id="rId129" Type="http://schemas.openxmlformats.org/officeDocument/2006/relationships/hyperlink" Target="http://europa.eu/rapid/press-release_IP-15-4499_en.htm" TargetMode="External"/><Relationship Id="rId20" Type="http://schemas.openxmlformats.org/officeDocument/2006/relationships/hyperlink" Target="http://eur-lex.europa.eu/legal-content/BG/TXT/?qid=1454940294613&amp;uri=CELEX:32010R0994" TargetMode="External"/><Relationship Id="rId41" Type="http://schemas.openxmlformats.org/officeDocument/2006/relationships/hyperlink" Target="http://eur-lex.europa.eu/legal-content/BG/TXT/?qid=1454941597737&amp;uri=CELEX:32014L0059" TargetMode="External"/><Relationship Id="rId54" Type="http://schemas.openxmlformats.org/officeDocument/2006/relationships/hyperlink" Target="http://eur-lex.europa.eu/legal-content/BG/TXT/?qid=1454942018917&amp;uri=CELEX:32010L0064" TargetMode="External"/><Relationship Id="rId62" Type="http://schemas.openxmlformats.org/officeDocument/2006/relationships/hyperlink" Target="http://eur-lex.europa.eu/legal-content/BG/TXT/?qid=1454942393917&amp;uri=CELEX:52015DC0185" TargetMode="External"/><Relationship Id="rId70" Type="http://schemas.openxmlformats.org/officeDocument/2006/relationships/hyperlink" Target="http://eur-lex.europa.eu/legal-content/BG/TXT/?qid=1454942618862&amp;uri=CELEX:32011L0095" TargetMode="External"/><Relationship Id="rId75" Type="http://schemas.openxmlformats.org/officeDocument/2006/relationships/hyperlink" Target="http://eur-lex.europa.eu/legal-content/BG/TXT/?qid=1454943055596&amp;uri=CELEX:52015PC0615" TargetMode="External"/><Relationship Id="rId83" Type="http://schemas.openxmlformats.org/officeDocument/2006/relationships/hyperlink" Target="http://eur-lex.europa.eu/legal-content/BG/TXT/?uri=OJ:C:2011:369:TOC" TargetMode="External"/><Relationship Id="rId88" Type="http://schemas.openxmlformats.org/officeDocument/2006/relationships/hyperlink" Target="http://eur-lex.europa.eu/legal-content/BG/TXT/?qid=1454943292151&amp;uri=CELEX:32013L0050" TargetMode="External"/><Relationship Id="rId91" Type="http://schemas.openxmlformats.org/officeDocument/2006/relationships/hyperlink" Target="http://eur-lex.europa.eu/legal-content/BG/TXT/?qid=1454943370776&amp;uri=CELEX:32013L0032" TargetMode="External"/><Relationship Id="rId96" Type="http://schemas.openxmlformats.org/officeDocument/2006/relationships/hyperlink" Target="http://eur-lex.europa.eu/legal-content/BG/TXT/?qid=1454943600048&amp;uri=CELEX:32012L0018" TargetMode="External"/><Relationship Id="rId111" Type="http://schemas.openxmlformats.org/officeDocument/2006/relationships/hyperlink" Target="http://eur-lex.europa.eu/legal-content/BG/TXT/?qid=1455028270469&amp;uri=CELEX:32001L0042" TargetMode="External"/><Relationship Id="rId1" Type="http://schemas.openxmlformats.org/officeDocument/2006/relationships/hyperlink" Target="http://eur-lex.europa.eu/legal-content/BG/TXT/?uri=CELEX:12012M017" TargetMode="External"/><Relationship Id="rId6" Type="http://schemas.openxmlformats.org/officeDocument/2006/relationships/hyperlink" Target="http://eur-lex.europa.eu/legal-content/BG/TXT/?qid=1454939769050&amp;uri=CELEX:32013L0037" TargetMode="External"/><Relationship Id="rId15" Type="http://schemas.openxmlformats.org/officeDocument/2006/relationships/hyperlink" Target="http://eur-lex.europa.eu/legal-content/BG/TXT/?qid=1454940211165&amp;uri=CELEX:32011L0070" TargetMode="External"/><Relationship Id="rId23" Type="http://schemas.openxmlformats.org/officeDocument/2006/relationships/hyperlink" Target="http://eur-lex.europa.eu/legal-content/BG/TXT/?qid=1454940657511&amp;uri=CELEX:32013L0011" TargetMode="External"/><Relationship Id="rId28" Type="http://schemas.openxmlformats.org/officeDocument/2006/relationships/hyperlink" Target="http://eur-lex.europa.eu/legal-content/BG/TXT/?qid=1454941098713&amp;uri=CELEX:52015DC0644" TargetMode="External"/><Relationship Id="rId36" Type="http://schemas.openxmlformats.org/officeDocument/2006/relationships/hyperlink" Target="http://eur-lex.europa.eu/legal-content/BG/TXT/?qid=1454941431583&amp;uri=CELEX:32004L0052" TargetMode="External"/><Relationship Id="rId49" Type="http://schemas.openxmlformats.org/officeDocument/2006/relationships/hyperlink" Target="http://eur-lex.europa.eu/legal-content/BG/TXT/?qid=1454941881693&amp;uri=CELEX:32013L0014" TargetMode="External"/><Relationship Id="rId57" Type="http://schemas.openxmlformats.org/officeDocument/2006/relationships/hyperlink" Target="http://eur-lex.europa.eu/legal-content/BG/TXT/?qid=1455021695868&amp;uri=CELEX:62013CG0001" TargetMode="External"/><Relationship Id="rId106" Type="http://schemas.openxmlformats.org/officeDocument/2006/relationships/hyperlink" Target="http://eur-lex.europa.eu/legal-content/BG/TXT/?qid=1454943862002&amp;uri=CELEX:32013L0032" TargetMode="External"/><Relationship Id="rId114" Type="http://schemas.openxmlformats.org/officeDocument/2006/relationships/hyperlink" Target="http://curia.europa.eu/juris/liste.jsf?pro=&amp;nat=or&amp;oqp=&amp;dates=&amp;lg=&amp;language=bg&amp;jur=C%2CT%2CF&amp;cit=none%252CC%252CCJ%252CR%252C2008E%252C%252C%252C%252C%252C%252C%252C%252C%252C%252Ctrue%252Cfalse%252Cfalse&amp;num=C-367%252F14&amp;td=%3BALL&amp;pcs=Oor&amp;avg=&amp;page=1&amp;mat=or&amp;jge=&amp;for=&amp;cid=732146" TargetMode="External"/><Relationship Id="rId119" Type="http://schemas.openxmlformats.org/officeDocument/2006/relationships/hyperlink" Target="http://eur-lex.europa.eu/legal-content/BG/TXT/?qid=1455020929767&amp;uri=CELEX:32012L0018" TargetMode="External"/><Relationship Id="rId127" Type="http://schemas.openxmlformats.org/officeDocument/2006/relationships/hyperlink" Target="http://eur-lex.europa.eu/legal-content/BG/TXT/?qid=1455020837566&amp;uri=CELEX:32012L0019" TargetMode="External"/><Relationship Id="rId10" Type="http://schemas.openxmlformats.org/officeDocument/2006/relationships/hyperlink" Target="http://eur-lex.europa.eu/legal-content/BG/TXT/?qid=1454940030920&amp;uri=CELEX:32013L0030" TargetMode="External"/><Relationship Id="rId31" Type="http://schemas.openxmlformats.org/officeDocument/2006/relationships/hyperlink" Target="http://eur-lex.europa.eu/legal-content/BG/TXT/?qid=1454941151098&amp;uri=CELEX:32011L0024" TargetMode="External"/><Relationship Id="rId44" Type="http://schemas.openxmlformats.org/officeDocument/2006/relationships/hyperlink" Target="http://eur-lex.europa.eu/legal-content/BG/TXT/?qid=1454941747654&amp;uri=CELEX:32013L0036" TargetMode="External"/><Relationship Id="rId52" Type="http://schemas.openxmlformats.org/officeDocument/2006/relationships/hyperlink" Target="http://eur-lex.europa.eu/legal-content/BG/TXT/?qid=1454941954441&amp;uri=CELEX:32011L0099" TargetMode="External"/><Relationship Id="rId60" Type="http://schemas.openxmlformats.org/officeDocument/2006/relationships/hyperlink" Target="http://eur-lex.europa.eu/legal-content/BG/TXT/?qid=1454942334156&amp;uri=CELEX:31995L0046" TargetMode="External"/><Relationship Id="rId65" Type="http://schemas.openxmlformats.org/officeDocument/2006/relationships/hyperlink" Target="http://eur-lex.europa.eu/legal-content/BG/TXT/?qid=1463669250406&amp;uri=CELEX:32011L0093" TargetMode="External"/><Relationship Id="rId73" Type="http://schemas.openxmlformats.org/officeDocument/2006/relationships/hyperlink" Target="http://eur-lex.europa.eu/legal-content/BG/TXT/?qid=1454942728624&amp;uri=CELEX:52015DC0490" TargetMode="External"/><Relationship Id="rId78" Type="http://schemas.openxmlformats.org/officeDocument/2006/relationships/hyperlink" Target="http://eur-lex.europa.eu/legal-content/BG/TXT/?qid=1455189763234&amp;uri=CELEX:31994L0062" TargetMode="External"/><Relationship Id="rId81" Type="http://schemas.openxmlformats.org/officeDocument/2006/relationships/hyperlink" Target="http://eur-lex.europa.eu/legal-content/BG/TXT/?qid=1455190385482&amp;uri=CELEX:32006L0066" TargetMode="External"/><Relationship Id="rId86" Type="http://schemas.openxmlformats.org/officeDocument/2006/relationships/hyperlink" Target="http://eur-lex.europa.eu/legal-content/BG/TXT/?qid=1454943241783&amp;uri=CELEX:32013L0039" TargetMode="External"/><Relationship Id="rId94" Type="http://schemas.openxmlformats.org/officeDocument/2006/relationships/hyperlink" Target="http://eur-lex.europa.eu/legal-content/BG/TXT/?qid=1454943442853&amp;uri=CELEX:32012L0034" TargetMode="External"/><Relationship Id="rId99" Type="http://schemas.openxmlformats.org/officeDocument/2006/relationships/hyperlink" Target="http://eur-lex.europa.eu/legal-content/BG/TXT/?qid=1454943672888&amp;uri=CELEX:32013L0050" TargetMode="External"/><Relationship Id="rId101" Type="http://schemas.openxmlformats.org/officeDocument/2006/relationships/hyperlink" Target="http://eur-lex.europa.eu/legal-content/BG/TXT/?qid=1454943716732&amp;uri=CELEX:32014L0051" TargetMode="External"/><Relationship Id="rId122" Type="http://schemas.openxmlformats.org/officeDocument/2006/relationships/hyperlink" Target="http://curia.europa.eu/juris/liste.jsf?pro=&amp;nat=or&amp;oqp=&amp;dates=&amp;lg=&amp;language=bg&amp;jur=C%2CT%2CF&amp;cit=none%252CC%252CCJ%252CR%252C2008E%252C%252C%252C%252C%252C%252C%252C%252C%252C%252Ctrue%252Cfalse%252Cfalse&amp;num=C-683%252F15&amp;td=%3BALL&amp;pcs=Oor&amp;avg=&amp;page=1&amp;mat=or&amp;jge=&amp;for=&amp;cid=413937" TargetMode="External"/><Relationship Id="rId130" Type="http://schemas.openxmlformats.org/officeDocument/2006/relationships/hyperlink" Target="http://eur-lex.europa.eu/legal-content/BG/TXT/HTML/?uri=OJ:C:2011:012:FULL&amp;from=EN" TargetMode="External"/><Relationship Id="rId4" Type="http://schemas.openxmlformats.org/officeDocument/2006/relationships/hyperlink" Target="http://eur-lex.europa.eu/legal-content/BG/TXT/?qid=1454939688411&amp;uri=CELEX:32010L0032" TargetMode="External"/><Relationship Id="rId9" Type="http://schemas.openxmlformats.org/officeDocument/2006/relationships/hyperlink" Target="http://eur-lex.europa.eu/legal-content/BG/TXT/?qid=1454940005165&amp;uri=CELEX:32009L0073" TargetMode="External"/><Relationship Id="rId13" Type="http://schemas.openxmlformats.org/officeDocument/2006/relationships/hyperlink" Target="http://eur-lex.europa.eu/legal-content/BG/ALL/?uri=CELEX:32009L0028" TargetMode="External"/><Relationship Id="rId18" Type="http://schemas.openxmlformats.org/officeDocument/2006/relationships/hyperlink" Target="http://eur-lex.europa.eu/legal-content/BG/TXT/?qid=1463669382881&amp;uri=CELEX:32009L0030" TargetMode="External"/><Relationship Id="rId39" Type="http://schemas.openxmlformats.org/officeDocument/2006/relationships/hyperlink" Target="http://europa.eu/rapid/press-release_IP-12-340_en.htm" TargetMode="External"/><Relationship Id="rId109" Type="http://schemas.openxmlformats.org/officeDocument/2006/relationships/hyperlink" Target="http://eur-lex.europa.eu/legal-content/BG/TXT/?qid=1458663251852&amp;uri=CELEX:52012DC0154" TargetMode="External"/><Relationship Id="rId34" Type="http://schemas.openxmlformats.org/officeDocument/2006/relationships/hyperlink" Target="http://eur-lex.europa.eu/legal-content/BG/TXT/?qid=1454941373118&amp;uri=CELEX:32008L0120" TargetMode="External"/><Relationship Id="rId50" Type="http://schemas.openxmlformats.org/officeDocument/2006/relationships/hyperlink" Target="http://eur-lex.europa.eu/legal-content/BG/TXT/?qid=1454941902954&amp;uri=CELEX:32013L0050" TargetMode="External"/><Relationship Id="rId55" Type="http://schemas.openxmlformats.org/officeDocument/2006/relationships/hyperlink" Target="http://eur-lex.europa.eu/legal-content/BG/TXT/?qid=1454942041935&amp;uri=CELEX:32012L0013" TargetMode="External"/><Relationship Id="rId76" Type="http://schemas.openxmlformats.org/officeDocument/2006/relationships/hyperlink" Target="http://europa.eu/rapid/press-release_IP-15-6203_bg.htm" TargetMode="External"/><Relationship Id="rId97" Type="http://schemas.openxmlformats.org/officeDocument/2006/relationships/hyperlink" Target="http://eur-lex.europa.eu/legal-content/BG/TXT/?qid=1454943624470&amp;uri=CELEX:32013L0039" TargetMode="External"/><Relationship Id="rId104" Type="http://schemas.openxmlformats.org/officeDocument/2006/relationships/hyperlink" Target="http://eur-lex.europa.eu/legal-content/BG/TXT/?qid=1454943813693&amp;uri=CELEX:32012L0034" TargetMode="External"/><Relationship Id="rId120" Type="http://schemas.openxmlformats.org/officeDocument/2006/relationships/hyperlink" Target="http://eur-lex.europa.eu/legal-content/BG/TXT/?qid=1455020881366&amp;uri=CELEX:32012L0034" TargetMode="External"/><Relationship Id="rId125" Type="http://schemas.openxmlformats.org/officeDocument/2006/relationships/hyperlink" Target="http://curia.europa.eu/juris/liste.jsf?pro=&amp;nat=or&amp;oqp=&amp;dates=&amp;lg=&amp;language=bg&amp;jur=C%2CT%2CF&amp;cit=none%252CC%252CCJ%252CR%252C2008E%252C%252C%252C%252C%252C%252C%252C%252C%252C%252Ctrue%252Cfalse%252Cfalse&amp;num=C-684%252F15&amp;td=%3BALL&amp;pcs=Oor&amp;avg=&amp;page=1&amp;mat=or&amp;jge=&amp;for=&amp;cid=413937" TargetMode="External"/><Relationship Id="rId7" Type="http://schemas.openxmlformats.org/officeDocument/2006/relationships/hyperlink" Target="http://eur-lex.europa.eu/legal-content/BG/TXT/?qid=1454939907662&amp;uri=CELEX:52015DC0080" TargetMode="External"/><Relationship Id="rId71" Type="http://schemas.openxmlformats.org/officeDocument/2006/relationships/hyperlink" Target="http://eur-lex.europa.eu/legal-content/BG/TXT/?qid=1454942645394&amp;uri=CELEX:32013R0603" TargetMode="External"/><Relationship Id="rId92" Type="http://schemas.openxmlformats.org/officeDocument/2006/relationships/hyperlink" Target="http://eur-lex.europa.eu/legal-content/BG/TXT/?qid=1454943393275&amp;uri=CELEX:32013L0033" TargetMode="External"/><Relationship Id="rId2" Type="http://schemas.openxmlformats.org/officeDocument/2006/relationships/hyperlink" Target="http://eur-lex.europa.eu/legal-content/BG/TXT/?qid=1454939572886&amp;uri=CELEX:32014L0027" TargetMode="External"/><Relationship Id="rId29" Type="http://schemas.openxmlformats.org/officeDocument/2006/relationships/hyperlink" Target="http://eur-lex.europa.eu/legal-content/BG/TXT/?qid=1454941069323&amp;uri=CELEX:32008L0122" TargetMode="External"/><Relationship Id="rId24" Type="http://schemas.openxmlformats.org/officeDocument/2006/relationships/hyperlink" Target="http://eur-lex.europa.eu/legal-content/BG/TXT/?qid=1454940684705&amp;uri=CELEX:32011L0083" TargetMode="External"/><Relationship Id="rId40" Type="http://schemas.openxmlformats.org/officeDocument/2006/relationships/hyperlink" Target="http://europa.eu/rapid/press-release_IP-14-31_bg.htm" TargetMode="External"/><Relationship Id="rId45" Type="http://schemas.openxmlformats.org/officeDocument/2006/relationships/hyperlink" Target="http://eur-lex.europa.eu/legal-content/BG/TXT/?qid=1454941770599&amp;uri=CELEX:32011L0089" TargetMode="External"/><Relationship Id="rId66" Type="http://schemas.openxmlformats.org/officeDocument/2006/relationships/hyperlink" Target="http://eur-lex.europa.eu/legal-content/BG/TXT/?qid=1463669294037&amp;uri=CELEX:32013L0040" TargetMode="External"/><Relationship Id="rId87" Type="http://schemas.openxmlformats.org/officeDocument/2006/relationships/hyperlink" Target="http://eur-lex.europa.eu/legal-content/BG/TXT/?qid=1454943265567&amp;uri=CELEX:32013L0034" TargetMode="External"/><Relationship Id="rId110" Type="http://schemas.openxmlformats.org/officeDocument/2006/relationships/hyperlink" Target="http://eur-lex.europa.eu/legal-content/BG/TXT/?qid=1455028238612&amp;uri=CELEX:32003L0004" TargetMode="External"/><Relationship Id="rId115" Type="http://schemas.openxmlformats.org/officeDocument/2006/relationships/hyperlink" Target="http://curia.europa.eu/juris/liste.jsf?language=bg&amp;num=C-167/14" TargetMode="External"/><Relationship Id="rId131" Type="http://schemas.openxmlformats.org/officeDocument/2006/relationships/hyperlink" Target="http://europa.eu/rapid/press-release_IP-15-4499_en.htm" TargetMode="External"/><Relationship Id="rId61" Type="http://schemas.openxmlformats.org/officeDocument/2006/relationships/hyperlink" Target="http://eur-lex.europa.eu/legal-content/EN/TXT/?qid=1464274678253&amp;uri=CELEX:32000L0043" TargetMode="External"/><Relationship Id="rId82" Type="http://schemas.openxmlformats.org/officeDocument/2006/relationships/hyperlink" Target="http://eur-lex.europa.eu/legal-content/BG/TXT/?qid=1455190407338&amp;uri=CELEX:32012L00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6.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8.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9.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0.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1.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2.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7.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bg-BG" sz="1100" b="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bg-BG" sz="1100" b="0">
                <a:solidFill>
                  <a:srgbClr val="002060"/>
                </a:solidFill>
                <a:latin typeface="Arial" panose="020B0604020202020204" pitchFamily="34" charset="0"/>
                <a:cs typeface="Arial" panose="020B0604020202020204" pitchFamily="34" charset="0"/>
              </a:rPr>
              <a:t>Брой жалби</a:t>
            </a:r>
            <a:r>
              <a:rPr lang="en-GB" sz="1100" b="0">
                <a:solidFill>
                  <a:srgbClr val="002060"/>
                </a:solidFill>
                <a:latin typeface="Arial" panose="020B0604020202020204" pitchFamily="34" charset="0"/>
                <a:cs typeface="Arial" panose="020B0604020202020204" pitchFamily="34" charset="0"/>
              </a:rPr>
              <a:t> (2011</a:t>
            </a:r>
            <a:r>
              <a:rPr lang="en-GB" sz="1100" b="0">
                <a:solidFill>
                  <a:srgbClr val="002060"/>
                </a:solidFill>
                <a:latin typeface="Arial"/>
                <a:cs typeface="Arial"/>
              </a:rPr>
              <a:t>—</a:t>
            </a:r>
            <a:r>
              <a:rPr lang="en-GB" sz="1100" b="0">
                <a:solidFill>
                  <a:srgbClr val="002060"/>
                </a:solidFill>
                <a:latin typeface="Arial" panose="020B0604020202020204" pitchFamily="34" charset="0"/>
                <a:cs typeface="Arial" panose="020B0604020202020204" pitchFamily="34" charset="0"/>
              </a:rPr>
              <a:t>2015</a:t>
            </a:r>
            <a:r>
              <a:rPr lang="bg-BG" sz="1100" b="0">
                <a:solidFill>
                  <a:srgbClr val="002060"/>
                </a:solidFill>
                <a:latin typeface="Arial" panose="020B0604020202020204" pitchFamily="34" charset="0"/>
                <a:cs typeface="Arial" panose="020B0604020202020204" pitchFamily="34" charset="0"/>
              </a:rPr>
              <a:t> г.</a:t>
            </a:r>
            <a:r>
              <a:rPr lang="en-GB" sz="1100" b="0">
                <a:solidFill>
                  <a:srgbClr val="002060"/>
                </a:solidFill>
                <a:latin typeface="Arial" panose="020B0604020202020204" pitchFamily="34" charset="0"/>
                <a:cs typeface="Arial" panose="020B0604020202020204" pitchFamily="34" charset="0"/>
              </a:rPr>
              <a:t>)</a:t>
            </a:r>
          </a:p>
        </c:rich>
      </c:tx>
      <c:layout>
        <c:manualLayout>
          <c:xMode val="edge"/>
          <c:yMode val="edge"/>
          <c:x val="0.23146987176285841"/>
          <c:y val="2.3809384421742841E-2"/>
        </c:manualLayout>
      </c:layout>
      <c:overlay val="0"/>
    </c:title>
    <c:autoTitleDeleted val="0"/>
    <c:plotArea>
      <c:layout/>
      <c:lineChart>
        <c:grouping val="standard"/>
        <c:varyColors val="0"/>
        <c:ser>
          <c:idx val="0"/>
          <c:order val="0"/>
          <c:tx>
            <c:strRef>
              <c:f>Blad1!$B$2</c:f>
              <c:strCache>
                <c:ptCount val="1"/>
                <c:pt idx="0">
                  <c:v>Number of complaints (2011-14)</c:v>
                </c:pt>
              </c:strCache>
            </c:strRef>
          </c:tx>
          <c:spPr>
            <a:effectLst>
              <a:outerShdw blurRad="40000" dist="23000" dir="5400000" rotWithShape="0">
                <a:srgbClr val="000000">
                  <a:alpha val="35000"/>
                </a:srgbClr>
              </a:outerShdw>
            </a:effectLst>
          </c:spPr>
          <c:dLbls>
            <c:dLbl>
              <c:idx val="1"/>
              <c:layout>
                <c:manualLayout>
                  <c:x val="-8.0764316589140892E-2"/>
                  <c:y val="-7.9029095084705514E-2"/>
                </c:manualLayout>
              </c:layout>
              <c:dLblPos val="r"/>
              <c:showLegendKey val="0"/>
              <c:showVal val="1"/>
              <c:showCatName val="0"/>
              <c:showSerName val="0"/>
              <c:showPercent val="0"/>
              <c:showBubbleSize val="0"/>
            </c:dLbl>
            <c:dLbl>
              <c:idx val="2"/>
              <c:layout>
                <c:manualLayout>
                  <c:x val="1.5053763865711828E-4"/>
                  <c:y val="3.3326951484482448E-2"/>
                </c:manualLayout>
              </c:layout>
              <c:dLblPos val="r"/>
              <c:showLegendKey val="0"/>
              <c:showVal val="1"/>
              <c:showCatName val="0"/>
              <c:showSerName val="0"/>
              <c:showPercent val="0"/>
              <c:showBubbleSize val="0"/>
            </c:dLbl>
            <c:dLbl>
              <c:idx val="3"/>
              <c:layout>
                <c:manualLayout>
                  <c:x val="-7.01003604013309E-2"/>
                  <c:y val="-7.3747591437550081E-2"/>
                </c:manualLayout>
              </c:layout>
              <c:dLblPos val="r"/>
              <c:showLegendKey val="0"/>
              <c:showVal val="1"/>
              <c:showCatName val="0"/>
              <c:showSerName val="0"/>
              <c:showPercent val="0"/>
              <c:showBubbleSize val="0"/>
            </c:dLbl>
            <c:dLbl>
              <c:idx val="4"/>
              <c:layout>
                <c:manualLayout>
                  <c:x val="-5.0028675247049133E-2"/>
                  <c:y val="-5.1440394995459493E-2"/>
                </c:manualLayout>
              </c:layout>
              <c:dLblPos val="r"/>
              <c:showLegendKey val="0"/>
              <c:showVal val="1"/>
              <c:showCatName val="0"/>
              <c:showSerName val="0"/>
              <c:showPercent val="0"/>
              <c:showBubbleSize val="0"/>
            </c:dLbl>
            <c:spPr>
              <a:noFill/>
              <a:ln w="25401">
                <a:noFill/>
              </a:ln>
            </c:spPr>
            <c:txPr>
              <a:bodyPr rot="0" spcFirstLastPara="1" vertOverflow="ellipsis" vert="horz" wrap="square" lIns="38100" tIns="19050" rIns="38100" bIns="19050" anchor="ctr" anchorCtr="1">
                <a:spAutoFit/>
              </a:bodyPr>
              <a:lstStyle/>
              <a:p>
                <a:pPr>
                  <a:defRPr lang="bg-BG" sz="900" b="0" i="0" u="none" strike="noStrike" kern="1200" baseline="0">
                    <a:solidFill>
                      <a:schemeClr val="accent2"/>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b"/>
            <c:showLegendKey val="0"/>
            <c:showVal val="1"/>
            <c:showCatName val="0"/>
            <c:showSerName val="0"/>
            <c:showPercent val="0"/>
            <c:showBubbleSize val="0"/>
            <c:showLeaderLines val="0"/>
          </c:dLbls>
          <c:cat>
            <c:strRef>
              <c:f>Blad1!$A$3:$A$7</c:f>
              <c:strCache>
                <c:ptCount val="5"/>
                <c:pt idx="0">
                  <c:v>2011 г.</c:v>
                </c:pt>
                <c:pt idx="1">
                  <c:v>2012 г.</c:v>
                </c:pt>
                <c:pt idx="2">
                  <c:v>2013 г.</c:v>
                </c:pt>
                <c:pt idx="3">
                  <c:v>2014 г.</c:v>
                </c:pt>
                <c:pt idx="4">
                  <c:v>2015 г.</c:v>
                </c:pt>
              </c:strCache>
            </c:strRef>
          </c:cat>
          <c:val>
            <c:numRef>
              <c:f>Blad1!$B$3:$B$7</c:f>
              <c:numCache>
                <c:formatCode>General</c:formatCode>
                <c:ptCount val="5"/>
                <c:pt idx="0">
                  <c:v>3115</c:v>
                </c:pt>
                <c:pt idx="1">
                  <c:v>3141</c:v>
                </c:pt>
                <c:pt idx="2">
                  <c:v>3505</c:v>
                </c:pt>
                <c:pt idx="3">
                  <c:v>3715</c:v>
                </c:pt>
                <c:pt idx="4">
                  <c:v>3450</c:v>
                </c:pt>
              </c:numCache>
            </c:numRef>
          </c:val>
          <c:smooth val="0"/>
        </c:ser>
        <c:dLbls>
          <c:showLegendKey val="0"/>
          <c:showVal val="0"/>
          <c:showCatName val="0"/>
          <c:showSerName val="0"/>
          <c:showPercent val="0"/>
          <c:showBubbleSize val="0"/>
        </c:dLbls>
        <c:marker val="1"/>
        <c:smooth val="0"/>
        <c:axId val="111229568"/>
        <c:axId val="157674496"/>
      </c:lineChart>
      <c:catAx>
        <c:axId val="11122956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bg-BG" sz="900"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157674496"/>
        <c:crosses val="autoZero"/>
        <c:auto val="1"/>
        <c:lblAlgn val="ctr"/>
        <c:lblOffset val="100"/>
        <c:noMultiLvlLbl val="0"/>
      </c:catAx>
      <c:valAx>
        <c:axId val="157674496"/>
        <c:scaling>
          <c:orientation val="minMax"/>
          <c:min val="3000"/>
        </c:scaling>
        <c:delete val="1"/>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one"/>
        <c:crossAx val="111229568"/>
        <c:crosses val="autoZero"/>
        <c:crossBetween val="between"/>
      </c:valAx>
      <c:spPr>
        <a:noFill/>
        <a:ln w="25401">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bg-BG" sz="1100" b="0" i="0" u="none" strike="noStrike" baseline="0"/>
              <a:t>Мотивирани становища, изпратени на държави членки </a:t>
            </a:r>
            <a:endParaRPr lang="en-GB" sz="1100">
              <a:effectLst/>
              <a:latin typeface="Arial" panose="020B0604020202020204" pitchFamily="34" charset="0"/>
              <a:cs typeface="Arial" panose="020B0604020202020204" pitchFamily="34" charset="0"/>
            </a:endParaRPr>
          </a:p>
        </c:rich>
      </c:tx>
      <c:overlay val="0"/>
    </c:title>
    <c:autoTitleDeleted val="0"/>
    <c:plotArea>
      <c:layout/>
      <c:barChart>
        <c:barDir val="col"/>
        <c:grouping val="clustered"/>
        <c:varyColors val="0"/>
        <c:ser>
          <c:idx val="0"/>
          <c:order val="0"/>
          <c:tx>
            <c:strRef>
              <c:f>Blad1!$B$2</c:f>
              <c:strCache>
                <c:ptCount val="1"/>
                <c:pt idx="0">
                  <c:v>Number of late infringement cases</c:v>
                </c:pt>
              </c:strCache>
            </c:strRef>
          </c:tx>
          <c:spPr>
            <a:solidFill>
              <a:schemeClr val="accent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en-US"/>
              </a:p>
            </c:txPr>
            <c:dLblPos val="outEnd"/>
            <c:showLegendKey val="0"/>
            <c:showVal val="1"/>
            <c:showCatName val="0"/>
            <c:showSerName val="0"/>
            <c:showPercent val="0"/>
            <c:showBubbleSize val="0"/>
            <c:showLeaderLines val="0"/>
          </c:dLbls>
          <c:cat>
            <c:strRef>
              <c:f>Blad1!$A$3:$A$30</c:f>
              <c:strCache>
                <c:ptCount val="28"/>
                <c:pt idx="0">
                  <c:v>HR</c:v>
                </c:pt>
                <c:pt idx="1">
                  <c:v>LV</c:v>
                </c:pt>
                <c:pt idx="2">
                  <c:v>DK</c:v>
                </c:pt>
                <c:pt idx="3">
                  <c:v>SK</c:v>
                </c:pt>
                <c:pt idx="4">
                  <c:v>LT</c:v>
                </c:pt>
                <c:pt idx="5">
                  <c:v>MT</c:v>
                </c:pt>
                <c:pt idx="6">
                  <c:v>PT</c:v>
                </c:pt>
                <c:pt idx="7">
                  <c:v>IE</c:v>
                </c:pt>
                <c:pt idx="8">
                  <c:v>NL</c:v>
                </c:pt>
                <c:pt idx="9">
                  <c:v>UK</c:v>
                </c:pt>
                <c:pt idx="10">
                  <c:v>HU</c:v>
                </c:pt>
                <c:pt idx="11">
                  <c:v>SE</c:v>
                </c:pt>
                <c:pt idx="12">
                  <c:v>AT</c:v>
                </c:pt>
                <c:pt idx="13">
                  <c:v>FI</c:v>
                </c:pt>
                <c:pt idx="14">
                  <c:v>CY</c:v>
                </c:pt>
                <c:pt idx="15">
                  <c:v>EE</c:v>
                </c:pt>
                <c:pt idx="16">
                  <c:v>RO</c:v>
                </c:pt>
                <c:pt idx="17">
                  <c:v>SI</c:v>
                </c:pt>
                <c:pt idx="18">
                  <c:v>BG</c:v>
                </c:pt>
                <c:pt idx="19">
                  <c:v>CZ</c:v>
                </c:pt>
                <c:pt idx="20">
                  <c:v>BE</c:v>
                </c:pt>
                <c:pt idx="21">
                  <c:v>DE</c:v>
                </c:pt>
                <c:pt idx="22">
                  <c:v>FR</c:v>
                </c:pt>
                <c:pt idx="23">
                  <c:v>IT</c:v>
                </c:pt>
                <c:pt idx="24">
                  <c:v>LU</c:v>
                </c:pt>
                <c:pt idx="25">
                  <c:v>EL</c:v>
                </c:pt>
                <c:pt idx="26">
                  <c:v>ES</c:v>
                </c:pt>
                <c:pt idx="27">
                  <c:v>PL</c:v>
                </c:pt>
              </c:strCache>
            </c:strRef>
          </c:cat>
          <c:val>
            <c:numRef>
              <c:f>Blad1!$B$3:$B$30</c:f>
              <c:numCache>
                <c:formatCode>General</c:formatCode>
                <c:ptCount val="28"/>
                <c:pt idx="0">
                  <c:v>1</c:v>
                </c:pt>
                <c:pt idx="1">
                  <c:v>2</c:v>
                </c:pt>
                <c:pt idx="2">
                  <c:v>4</c:v>
                </c:pt>
                <c:pt idx="3">
                  <c:v>4</c:v>
                </c:pt>
                <c:pt idx="4">
                  <c:v>5</c:v>
                </c:pt>
                <c:pt idx="5">
                  <c:v>5</c:v>
                </c:pt>
                <c:pt idx="6">
                  <c:v>5</c:v>
                </c:pt>
                <c:pt idx="7">
                  <c:v>6</c:v>
                </c:pt>
                <c:pt idx="8">
                  <c:v>6</c:v>
                </c:pt>
                <c:pt idx="9">
                  <c:v>6</c:v>
                </c:pt>
                <c:pt idx="10">
                  <c:v>7</c:v>
                </c:pt>
                <c:pt idx="11">
                  <c:v>7</c:v>
                </c:pt>
                <c:pt idx="12">
                  <c:v>8</c:v>
                </c:pt>
                <c:pt idx="13">
                  <c:v>8</c:v>
                </c:pt>
                <c:pt idx="14">
                  <c:v>9</c:v>
                </c:pt>
                <c:pt idx="15">
                  <c:v>9</c:v>
                </c:pt>
                <c:pt idx="16">
                  <c:v>9</c:v>
                </c:pt>
                <c:pt idx="17">
                  <c:v>9</c:v>
                </c:pt>
                <c:pt idx="18">
                  <c:v>10</c:v>
                </c:pt>
                <c:pt idx="19">
                  <c:v>10</c:v>
                </c:pt>
                <c:pt idx="20">
                  <c:v>11</c:v>
                </c:pt>
                <c:pt idx="21">
                  <c:v>12</c:v>
                </c:pt>
                <c:pt idx="22">
                  <c:v>13</c:v>
                </c:pt>
                <c:pt idx="23">
                  <c:v>13</c:v>
                </c:pt>
                <c:pt idx="24">
                  <c:v>13</c:v>
                </c:pt>
                <c:pt idx="25">
                  <c:v>16</c:v>
                </c:pt>
                <c:pt idx="26">
                  <c:v>19</c:v>
                </c:pt>
                <c:pt idx="27">
                  <c:v>21</c:v>
                </c:pt>
              </c:numCache>
            </c:numRef>
          </c:val>
        </c:ser>
        <c:dLbls>
          <c:dLblPos val="outEnd"/>
          <c:showLegendKey val="0"/>
          <c:showVal val="1"/>
          <c:showCatName val="0"/>
          <c:showSerName val="0"/>
          <c:showPercent val="0"/>
          <c:showBubbleSize val="0"/>
        </c:dLbls>
        <c:gapWidth val="75"/>
        <c:overlap val="-25"/>
        <c:axId val="181596160"/>
        <c:axId val="181599232"/>
      </c:barChart>
      <c:catAx>
        <c:axId val="181596160"/>
        <c:scaling>
          <c:orientation val="minMax"/>
        </c:scaling>
        <c:delete val="0"/>
        <c:axPos val="b"/>
        <c:numFmt formatCode="General" sourceLinked="1"/>
        <c:majorTickMark val="none"/>
        <c:minorTickMark val="none"/>
        <c:tickLblPos val="nextTo"/>
        <c:spPr>
          <a:noFill/>
          <a:ln w="12702"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181599232"/>
        <c:crosses val="autoZero"/>
        <c:auto val="1"/>
        <c:lblAlgn val="ctr"/>
        <c:lblOffset val="100"/>
        <c:noMultiLvlLbl val="0"/>
      </c:catAx>
      <c:valAx>
        <c:axId val="181599232"/>
        <c:scaling>
          <c:orientation val="minMax"/>
        </c:scaling>
        <c:delete val="1"/>
        <c:axPos val="l"/>
        <c:majorGridlines>
          <c:spPr>
            <a:ln w="9526" cap="flat" cmpd="sng" algn="ctr">
              <a:solidFill>
                <a:schemeClr val="tx1">
                  <a:lumMod val="15000"/>
                  <a:lumOff val="85000"/>
                </a:schemeClr>
              </a:solidFill>
              <a:round/>
            </a:ln>
            <a:effectLst/>
          </c:spPr>
        </c:majorGridlines>
        <c:numFmt formatCode="General" sourceLinked="1"/>
        <c:majorTickMark val="none"/>
        <c:minorTickMark val="none"/>
        <c:tickLblPos val="nextTo"/>
        <c:crossAx val="181596160"/>
        <c:crosses val="autoZero"/>
        <c:crossBetween val="between"/>
      </c:valAx>
      <c:spPr>
        <a:noFill/>
        <a:ln w="25403">
          <a:noFill/>
        </a:ln>
      </c:spPr>
    </c:plotArea>
    <c:plotVisOnly val="1"/>
    <c:dispBlanksAs val="gap"/>
    <c:showDLblsOverMax val="0"/>
  </c:chart>
  <c:spPr>
    <a:solidFill>
      <a:schemeClr val="bg1"/>
    </a:solidFill>
    <a:ln w="9526"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bg-BG" sz="1100" b="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bg-BG" sz="1100" b="0" baseline="0">
                <a:solidFill>
                  <a:srgbClr val="002060"/>
                </a:solidFill>
                <a:latin typeface="Arial" panose="020B0604020202020204" pitchFamily="34" charset="0"/>
                <a:cs typeface="Arial" panose="020B0604020202020204" pitchFamily="34" charset="0"/>
              </a:rPr>
              <a:t>Висящи производства за установяване на неизпълнение на задължения към края на годината </a:t>
            </a:r>
            <a:r>
              <a:rPr lang="en-GB" sz="1100" b="0">
                <a:solidFill>
                  <a:srgbClr val="002060"/>
                </a:solidFill>
                <a:latin typeface="Arial" panose="020B0604020202020204" pitchFamily="34" charset="0"/>
                <a:cs typeface="Arial" panose="020B0604020202020204" pitchFamily="34" charset="0"/>
              </a:rPr>
              <a:t>(2011</a:t>
            </a:r>
            <a:r>
              <a:rPr lang="bg-BG" sz="1100" b="0">
                <a:solidFill>
                  <a:srgbClr val="002060"/>
                </a:solidFill>
                <a:latin typeface="Arial" panose="020B0604020202020204" pitchFamily="34" charset="0"/>
                <a:cs typeface="Arial" panose="020B0604020202020204" pitchFamily="34" charset="0"/>
              </a:rPr>
              <a:t>—</a:t>
            </a:r>
            <a:r>
              <a:rPr lang="en-GB" sz="1100" b="0">
                <a:solidFill>
                  <a:srgbClr val="002060"/>
                </a:solidFill>
                <a:latin typeface="Arial" panose="020B0604020202020204" pitchFamily="34" charset="0"/>
                <a:cs typeface="Arial" panose="020B0604020202020204" pitchFamily="34" charset="0"/>
              </a:rPr>
              <a:t>2015</a:t>
            </a:r>
            <a:r>
              <a:rPr lang="bg-BG" sz="1100" b="0">
                <a:solidFill>
                  <a:srgbClr val="002060"/>
                </a:solidFill>
                <a:latin typeface="Arial" panose="020B0604020202020204" pitchFamily="34" charset="0"/>
                <a:cs typeface="Arial" panose="020B0604020202020204" pitchFamily="34" charset="0"/>
              </a:rPr>
              <a:t> г.</a:t>
            </a:r>
            <a:r>
              <a:rPr lang="en-GB" sz="1100" b="0">
                <a:solidFill>
                  <a:srgbClr val="002060"/>
                </a:solidFill>
                <a:latin typeface="Arial" panose="020B0604020202020204" pitchFamily="34" charset="0"/>
                <a:cs typeface="Arial" panose="020B0604020202020204" pitchFamily="34" charset="0"/>
              </a:rPr>
              <a:t>)</a:t>
            </a:r>
          </a:p>
        </c:rich>
      </c:tx>
      <c:layout>
        <c:manualLayout>
          <c:xMode val="edge"/>
          <c:yMode val="edge"/>
          <c:x val="0.18054385767970449"/>
          <c:y val="2.3809674393110488E-2"/>
        </c:manualLayout>
      </c:layout>
      <c:overlay val="0"/>
    </c:title>
    <c:autoTitleDeleted val="0"/>
    <c:plotArea>
      <c:layout>
        <c:manualLayout>
          <c:layoutTarget val="inner"/>
          <c:xMode val="edge"/>
          <c:yMode val="edge"/>
          <c:x val="5.8121854991056057E-2"/>
          <c:y val="0.1419176492395974"/>
          <c:w val="0.88688283756197162"/>
          <c:h val="0.7497423634929069"/>
        </c:manualLayout>
      </c:layout>
      <c:lineChart>
        <c:grouping val="standard"/>
        <c:varyColors val="0"/>
        <c:ser>
          <c:idx val="0"/>
          <c:order val="0"/>
          <c:tx>
            <c:strRef>
              <c:f>Blad1!$B$2</c:f>
              <c:strCache>
                <c:ptCount val="1"/>
                <c:pt idx="0">
                  <c:v>Open infringement cases (2010-2014)</c:v>
                </c:pt>
              </c:strCache>
            </c:strRef>
          </c:tx>
          <c:spPr>
            <a:effectLst>
              <a:outerShdw blurRad="40000" dist="23000" dir="5400000" rotWithShape="0">
                <a:srgbClr val="000000">
                  <a:alpha val="35000"/>
                </a:srgbClr>
              </a:outerShdw>
            </a:effectLst>
          </c:spPr>
          <c:dLbls>
            <c:dLbl>
              <c:idx val="0"/>
              <c:layout>
                <c:manualLayout>
                  <c:x val="-5.0190574665213504E-2"/>
                  <c:y val="-6.3013981959544121E-2"/>
                </c:manualLayout>
              </c:layout>
              <c:dLblPos val="r"/>
              <c:showLegendKey val="0"/>
              <c:showVal val="1"/>
              <c:showCatName val="0"/>
              <c:showSerName val="0"/>
              <c:showPercent val="0"/>
              <c:showBubbleSize val="0"/>
            </c:dLbl>
            <c:dLbl>
              <c:idx val="1"/>
              <c:layout>
                <c:manualLayout>
                  <c:x val="-4.2639334745672851E-2"/>
                  <c:y val="-6.7671334654261284E-2"/>
                </c:manualLayout>
              </c:layout>
              <c:dLblPos val="r"/>
              <c:showLegendKey val="0"/>
              <c:showVal val="1"/>
              <c:showCatName val="0"/>
              <c:showSerName val="0"/>
              <c:showPercent val="0"/>
              <c:showBubbleSize val="0"/>
            </c:dLbl>
            <c:spPr>
              <a:noFill/>
              <a:ln w="25403">
                <a:noFill/>
              </a:ln>
            </c:spPr>
            <c:txPr>
              <a:bodyPr rot="0" spcFirstLastPara="1" vertOverflow="ellipsis" vert="horz" wrap="square" lIns="38100" tIns="19050" rIns="38100" bIns="19050" anchor="ctr" anchorCtr="1">
                <a:spAutoFit/>
              </a:bodyPr>
              <a:lstStyle/>
              <a:p>
                <a:pPr>
                  <a:defRPr lang="bg-BG" sz="900" b="0" i="0" u="none" strike="noStrike" kern="1200" baseline="0">
                    <a:solidFill>
                      <a:schemeClr val="accent2"/>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b"/>
            <c:showLegendKey val="0"/>
            <c:showVal val="1"/>
            <c:showCatName val="0"/>
            <c:showSerName val="0"/>
            <c:showPercent val="0"/>
            <c:showBubbleSize val="0"/>
            <c:showLeaderLines val="0"/>
          </c:dLbls>
          <c:cat>
            <c:strRef>
              <c:f>Blad1!$A$3:$A$7</c:f>
              <c:strCache>
                <c:ptCount val="5"/>
                <c:pt idx="0">
                  <c:v>2011 г.</c:v>
                </c:pt>
                <c:pt idx="1">
                  <c:v>2012 г.</c:v>
                </c:pt>
                <c:pt idx="2">
                  <c:v>2013 г.</c:v>
                </c:pt>
                <c:pt idx="3">
                  <c:v>2014 г.</c:v>
                </c:pt>
                <c:pt idx="4">
                  <c:v>2015 г.</c:v>
                </c:pt>
              </c:strCache>
            </c:strRef>
          </c:cat>
          <c:val>
            <c:numRef>
              <c:f>Blad1!$B$3:$B$7</c:f>
              <c:numCache>
                <c:formatCode>General</c:formatCode>
                <c:ptCount val="5"/>
                <c:pt idx="0">
                  <c:v>1775</c:v>
                </c:pt>
                <c:pt idx="1">
                  <c:v>1343</c:v>
                </c:pt>
                <c:pt idx="2">
                  <c:v>1300</c:v>
                </c:pt>
                <c:pt idx="3">
                  <c:v>1347</c:v>
                </c:pt>
                <c:pt idx="4">
                  <c:v>1368</c:v>
                </c:pt>
              </c:numCache>
            </c:numRef>
          </c:val>
          <c:smooth val="0"/>
        </c:ser>
        <c:dLbls>
          <c:showLegendKey val="0"/>
          <c:showVal val="0"/>
          <c:showCatName val="0"/>
          <c:showSerName val="0"/>
          <c:showPercent val="0"/>
          <c:showBubbleSize val="0"/>
        </c:dLbls>
        <c:marker val="1"/>
        <c:smooth val="0"/>
        <c:axId val="202638464"/>
        <c:axId val="202640000"/>
      </c:lineChart>
      <c:catAx>
        <c:axId val="202638464"/>
        <c:scaling>
          <c:orientation val="minMax"/>
        </c:scaling>
        <c:delete val="0"/>
        <c:axPos val="b"/>
        <c:numFmt formatCode="General" sourceLinked="1"/>
        <c:majorTickMark val="none"/>
        <c:minorTickMark val="none"/>
        <c:tickLblPos val="nextTo"/>
        <c:spPr>
          <a:noFill/>
          <a:ln w="12701" cap="flat" cmpd="sng" algn="ctr">
            <a:solidFill>
              <a:schemeClr val="tx1">
                <a:lumMod val="15000"/>
                <a:lumOff val="85000"/>
              </a:schemeClr>
            </a:solidFill>
            <a:round/>
          </a:ln>
          <a:effectLst/>
        </c:spPr>
        <c:txPr>
          <a:bodyPr rot="-60000000" spcFirstLastPara="1" vertOverflow="ellipsis" vert="horz" wrap="square" anchor="ctr" anchorCtr="1"/>
          <a:lstStyle/>
          <a:p>
            <a:pPr>
              <a:defRPr lang="bg-BG" sz="900"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202640000"/>
        <c:crosses val="autoZero"/>
        <c:auto val="1"/>
        <c:lblAlgn val="ctr"/>
        <c:lblOffset val="100"/>
        <c:noMultiLvlLbl val="0"/>
      </c:catAx>
      <c:valAx>
        <c:axId val="202640000"/>
        <c:scaling>
          <c:orientation val="minMax"/>
          <c:min val="1000"/>
        </c:scaling>
        <c:delete val="1"/>
        <c:axPos val="l"/>
        <c:majorGridlines>
          <c:spPr>
            <a:ln w="9526" cap="flat" cmpd="sng" algn="ctr">
              <a:solidFill>
                <a:schemeClr val="tx1">
                  <a:lumMod val="15000"/>
                  <a:lumOff val="85000"/>
                </a:schemeClr>
              </a:solidFill>
              <a:round/>
            </a:ln>
            <a:effectLst/>
          </c:spPr>
        </c:majorGridlines>
        <c:numFmt formatCode="General" sourceLinked="1"/>
        <c:majorTickMark val="none"/>
        <c:minorTickMark val="none"/>
        <c:tickLblPos val="none"/>
        <c:crossAx val="202638464"/>
        <c:crosses val="autoZero"/>
        <c:crossBetween val="between"/>
      </c:valAx>
      <c:spPr>
        <a:noFill/>
        <a:ln w="25403">
          <a:noFill/>
        </a:ln>
      </c:spPr>
    </c:plotArea>
    <c:plotVisOnly val="1"/>
    <c:dispBlanksAs val="gap"/>
    <c:showDLblsOverMax val="0"/>
  </c:chart>
  <c:spPr>
    <a:solidFill>
      <a:schemeClr val="bg1"/>
    </a:solidFill>
    <a:ln w="9526"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bg-BG" sz="1100" b="0">
                <a:solidFill>
                  <a:srgbClr val="002060"/>
                </a:solidFill>
              </a:defRPr>
            </a:pPr>
            <a:r>
              <a:rPr lang="bg-BG" sz="1100" b="0" baseline="0">
                <a:solidFill>
                  <a:srgbClr val="002060"/>
                </a:solidFill>
                <a:latin typeface="Arial" panose="020B0604020202020204" pitchFamily="34" charset="0"/>
                <a:ea typeface="Verdana" panose="020B0604030504040204" pitchFamily="34" charset="0"/>
                <a:cs typeface="Arial" panose="020B0604020202020204" pitchFamily="34" charset="0"/>
              </a:rPr>
              <a:t>Висящи производства за установяване на неизпълнение на задължения към 31 декември </a:t>
            </a:r>
            <a:r>
              <a:rPr lang="nl-BE" sz="1100" b="0" baseline="0">
                <a:solidFill>
                  <a:srgbClr val="002060"/>
                </a:solidFill>
                <a:latin typeface="Arial" panose="020B0604020202020204" pitchFamily="34" charset="0"/>
                <a:ea typeface="Verdana" panose="020B0604030504040204" pitchFamily="34" charset="0"/>
                <a:cs typeface="Arial" panose="020B0604020202020204" pitchFamily="34" charset="0"/>
              </a:rPr>
              <a:t>2015</a:t>
            </a:r>
            <a:r>
              <a:rPr lang="bg-BG" sz="1100" b="0" baseline="0">
                <a:solidFill>
                  <a:srgbClr val="002060"/>
                </a:solidFill>
                <a:latin typeface="Arial" panose="020B0604020202020204" pitchFamily="34" charset="0"/>
                <a:ea typeface="Verdana" panose="020B0604030504040204" pitchFamily="34" charset="0"/>
                <a:cs typeface="Arial" panose="020B0604020202020204" pitchFamily="34" charset="0"/>
              </a:rPr>
              <a:t> г.</a:t>
            </a:r>
            <a:endParaRPr lang="nl-BE" sz="1100" b="0">
              <a:solidFill>
                <a:srgbClr val="002060"/>
              </a:solidFill>
              <a:latin typeface="Arial" panose="020B0604020202020204" pitchFamily="34" charset="0"/>
              <a:ea typeface="Verdana" panose="020B0604030504040204" pitchFamily="34" charset="0"/>
              <a:cs typeface="Arial" panose="020B0604020202020204" pitchFamily="34" charset="0"/>
            </a:endParaRPr>
          </a:p>
        </c:rich>
      </c:tx>
      <c:overlay val="0"/>
    </c:title>
    <c:autoTitleDeleted val="0"/>
    <c:plotArea>
      <c:layout/>
      <c:barChart>
        <c:barDir val="col"/>
        <c:grouping val="stacked"/>
        <c:varyColors val="0"/>
        <c:ser>
          <c:idx val="0"/>
          <c:order val="0"/>
          <c:tx>
            <c:strRef>
              <c:f>Sheet1!$B$1</c:f>
              <c:strCache>
                <c:ptCount val="1"/>
                <c:pt idx="0">
                  <c:v>Производства за ненавременно транспониране</c:v>
                </c:pt>
              </c:strCache>
            </c:strRef>
          </c:tx>
          <c:spPr>
            <a:solidFill>
              <a:srgbClr val="92D050"/>
            </a:solidFill>
            <a:scene3d>
              <a:camera prst="orthographicFront"/>
              <a:lightRig rig="threePt" dir="t"/>
            </a:scene3d>
            <a:sp3d prstMaterial="matte">
              <a:bevelT w="25400" h="19050" prst="artDeco"/>
              <a:contourClr>
                <a:srgbClr val="000000"/>
              </a:contourClr>
            </a:sp3d>
          </c:spPr>
          <c:invertIfNegative val="0"/>
          <c:dLbls>
            <c:dLbl>
              <c:idx val="0"/>
              <c:spPr>
                <a:effectLst>
                  <a:outerShdw blurRad="50800" dist="50800" dir="5400000" algn="ctr" rotWithShape="0">
                    <a:srgbClr val="FFFFFF"/>
                  </a:outerShdw>
                </a:effectLst>
              </c:spPr>
              <c:txPr>
                <a:bodyPr rot="0" anchor="b" anchorCtr="0"/>
                <a:lstStyle/>
                <a:p>
                  <a:pPr>
                    <a:defRPr lang="bg-BG" sz="800" b="0" baseline="0">
                      <a:solidFill>
                        <a:sysClr val="windowText" lastClr="000000"/>
                      </a:solidFill>
                      <a:latin typeface="Verdana" panose="020B0604030504040204" pitchFamily="34" charset="0"/>
                    </a:defRPr>
                  </a:pPr>
                  <a:endParaRPr lang="en-US"/>
                </a:p>
              </c:txPr>
              <c:dLblPos val="ctr"/>
              <c:showLegendKey val="0"/>
              <c:showVal val="1"/>
              <c:showCatName val="0"/>
              <c:showSerName val="0"/>
              <c:showPercent val="0"/>
              <c:showBubbleSize val="0"/>
            </c:dLbl>
            <c:dLbl>
              <c:idx val="1"/>
              <c:layout>
                <c:manualLayout>
                  <c:x val="0"/>
                  <c:y val="4.9034363662288733E-3"/>
                </c:manualLayout>
              </c:layout>
              <c:dLblPos val="ctr"/>
              <c:showLegendKey val="0"/>
              <c:showVal val="1"/>
              <c:showCatName val="0"/>
              <c:showSerName val="0"/>
              <c:showPercent val="0"/>
              <c:showBubbleSize val="0"/>
            </c:dLbl>
            <c:dLbl>
              <c:idx val="2"/>
              <c:layout>
                <c:manualLayout>
                  <c:x val="0"/>
                  <c:y val="2.1781608284880006E-2"/>
                </c:manualLayout>
              </c:layout>
              <c:dLblPos val="ctr"/>
              <c:showLegendKey val="0"/>
              <c:showVal val="1"/>
              <c:showCatName val="0"/>
              <c:showSerName val="0"/>
              <c:showPercent val="0"/>
              <c:showBubbleSize val="0"/>
            </c:dLbl>
            <c:dLbl>
              <c:idx val="3"/>
              <c:layout>
                <c:manualLayout>
                  <c:x val="2.4260067928190202E-3"/>
                  <c:y val="3.8358233389840353E-2"/>
                </c:manualLayout>
              </c:layout>
              <c:dLblPos val="ctr"/>
              <c:showLegendKey val="0"/>
              <c:showVal val="1"/>
              <c:showCatName val="0"/>
              <c:showSerName val="0"/>
              <c:showPercent val="0"/>
              <c:showBubbleSize val="0"/>
            </c:dLbl>
            <c:dLbl>
              <c:idx val="4"/>
              <c:layout>
                <c:manualLayout>
                  <c:x val="0"/>
                  <c:y val="4.3847335984410402E-2"/>
                </c:manualLayout>
              </c:layout>
              <c:dLblPos val="ctr"/>
              <c:showLegendKey val="0"/>
              <c:showVal val="1"/>
              <c:showCatName val="0"/>
              <c:showSerName val="0"/>
              <c:showPercent val="0"/>
              <c:showBubbleSize val="0"/>
            </c:dLbl>
            <c:spPr>
              <a:effectLst>
                <a:outerShdw blurRad="50800" dist="50800" dir="5400000" algn="ctr" rotWithShape="0">
                  <a:srgbClr val="FFFFFF"/>
                </a:outerShdw>
              </a:effectLst>
            </c:spPr>
            <c:txPr>
              <a:bodyPr anchor="b" anchorCtr="0"/>
              <a:lstStyle/>
              <a:p>
                <a:pPr>
                  <a:defRPr lang="bg-BG" sz="800" b="0" baseline="0">
                    <a:solidFill>
                      <a:sysClr val="windowText" lastClr="000000"/>
                    </a:solidFill>
                    <a:latin typeface="Verdana" panose="020B0604030504040204" pitchFamily="34" charset="0"/>
                  </a:defRPr>
                </a:pPr>
                <a:endParaRPr lang="en-US"/>
              </a:p>
            </c:txPr>
            <c:dLblPos val="inBase"/>
            <c:showLegendKey val="0"/>
            <c:showVal val="1"/>
            <c:showCatName val="0"/>
            <c:showSerName val="0"/>
            <c:showPercent val="0"/>
            <c:showBubbleSize val="0"/>
            <c:showLeaderLines val="0"/>
          </c:dLbls>
          <c:cat>
            <c:strRef>
              <c:f>Sheet1!$A$2:$A$29</c:f>
              <c:strCache>
                <c:ptCount val="28"/>
                <c:pt idx="0">
                  <c:v>HR</c:v>
                </c:pt>
                <c:pt idx="1">
                  <c:v>DK</c:v>
                </c:pt>
                <c:pt idx="2">
                  <c:v>MT</c:v>
                </c:pt>
                <c:pt idx="3">
                  <c:v>EE</c:v>
                </c:pt>
                <c:pt idx="4">
                  <c:v>LV</c:v>
                </c:pt>
                <c:pt idx="5">
                  <c:v>FI</c:v>
                </c:pt>
                <c:pt idx="6">
                  <c:v>LT</c:v>
                </c:pt>
                <c:pt idx="7">
                  <c:v>IE</c:v>
                </c:pt>
                <c:pt idx="8">
                  <c:v>LU</c:v>
                </c:pt>
                <c:pt idx="9">
                  <c:v>HU</c:v>
                </c:pt>
                <c:pt idx="10">
                  <c:v>NL</c:v>
                </c:pt>
                <c:pt idx="11">
                  <c:v>BG</c:v>
                </c:pt>
                <c:pt idx="12">
                  <c:v>SE</c:v>
                </c:pt>
                <c:pt idx="13">
                  <c:v>CZ</c:v>
                </c:pt>
                <c:pt idx="14">
                  <c:v>SK</c:v>
                </c:pt>
                <c:pt idx="15">
                  <c:v>CY</c:v>
                </c:pt>
                <c:pt idx="16">
                  <c:v>SI</c:v>
                </c:pt>
                <c:pt idx="17">
                  <c:v>UK</c:v>
                </c:pt>
                <c:pt idx="18">
                  <c:v>AT</c:v>
                </c:pt>
                <c:pt idx="19">
                  <c:v>RO</c:v>
                </c:pt>
                <c:pt idx="20">
                  <c:v>PT</c:v>
                </c:pt>
                <c:pt idx="21">
                  <c:v>BE</c:v>
                </c:pt>
                <c:pt idx="22">
                  <c:v>PL</c:v>
                </c:pt>
                <c:pt idx="23">
                  <c:v>FR</c:v>
                </c:pt>
                <c:pt idx="24">
                  <c:v>EL</c:v>
                </c:pt>
                <c:pt idx="25">
                  <c:v>ES</c:v>
                </c:pt>
                <c:pt idx="26">
                  <c:v>DE</c:v>
                </c:pt>
                <c:pt idx="27">
                  <c:v>IT</c:v>
                </c:pt>
              </c:strCache>
            </c:strRef>
          </c:cat>
          <c:val>
            <c:numRef>
              <c:f>Sheet1!$B$2:$B$29</c:f>
              <c:numCache>
                <c:formatCode>General</c:formatCode>
                <c:ptCount val="28"/>
                <c:pt idx="0">
                  <c:v>7</c:v>
                </c:pt>
                <c:pt idx="1">
                  <c:v>8</c:v>
                </c:pt>
                <c:pt idx="2">
                  <c:v>13</c:v>
                </c:pt>
                <c:pt idx="3">
                  <c:v>18</c:v>
                </c:pt>
                <c:pt idx="4">
                  <c:v>20</c:v>
                </c:pt>
                <c:pt idx="5">
                  <c:v>15</c:v>
                </c:pt>
                <c:pt idx="6">
                  <c:v>16</c:v>
                </c:pt>
                <c:pt idx="7">
                  <c:v>14</c:v>
                </c:pt>
                <c:pt idx="8">
                  <c:v>25</c:v>
                </c:pt>
                <c:pt idx="9">
                  <c:v>13</c:v>
                </c:pt>
                <c:pt idx="10">
                  <c:v>14</c:v>
                </c:pt>
                <c:pt idx="11">
                  <c:v>18</c:v>
                </c:pt>
                <c:pt idx="12">
                  <c:v>13</c:v>
                </c:pt>
                <c:pt idx="13">
                  <c:v>17</c:v>
                </c:pt>
                <c:pt idx="14">
                  <c:v>15</c:v>
                </c:pt>
                <c:pt idx="15">
                  <c:v>25</c:v>
                </c:pt>
                <c:pt idx="16">
                  <c:v>30</c:v>
                </c:pt>
                <c:pt idx="17">
                  <c:v>14</c:v>
                </c:pt>
                <c:pt idx="18">
                  <c:v>18</c:v>
                </c:pt>
                <c:pt idx="19">
                  <c:v>24</c:v>
                </c:pt>
                <c:pt idx="20">
                  <c:v>15</c:v>
                </c:pt>
                <c:pt idx="21">
                  <c:v>23</c:v>
                </c:pt>
                <c:pt idx="22">
                  <c:v>30</c:v>
                </c:pt>
                <c:pt idx="23">
                  <c:v>24</c:v>
                </c:pt>
                <c:pt idx="24">
                  <c:v>24</c:v>
                </c:pt>
                <c:pt idx="25">
                  <c:v>21</c:v>
                </c:pt>
                <c:pt idx="26">
                  <c:v>24</c:v>
                </c:pt>
                <c:pt idx="27">
                  <c:v>20</c:v>
                </c:pt>
              </c:numCache>
            </c:numRef>
          </c:val>
        </c:ser>
        <c:ser>
          <c:idx val="1"/>
          <c:order val="1"/>
          <c:tx>
            <c:strRef>
              <c:f>Sheet1!$C$1</c:f>
              <c:strCache>
                <c:ptCount val="1"/>
                <c:pt idx="0">
                  <c:v>Производства за неправилно транспониране и/или неправилно прилагане на законодателството на ЕС</c:v>
                </c:pt>
              </c:strCache>
            </c:strRef>
          </c:tx>
          <c:spPr>
            <a:solidFill>
              <a:srgbClr val="0070C0"/>
            </a:solidFill>
            <a:scene3d>
              <a:camera prst="orthographicFront"/>
              <a:lightRig rig="threePt" dir="t"/>
            </a:scene3d>
            <a:sp3d prstMaterial="matte">
              <a:bevelT w="31750" h="12700" prst="artDeco"/>
              <a:contourClr>
                <a:srgbClr val="000000"/>
              </a:contourClr>
            </a:sp3d>
          </c:spPr>
          <c:invertIfNegative val="0"/>
          <c:cat>
            <c:strRef>
              <c:f>Sheet1!$A$2:$A$29</c:f>
              <c:strCache>
                <c:ptCount val="28"/>
                <c:pt idx="0">
                  <c:v>HR</c:v>
                </c:pt>
                <c:pt idx="1">
                  <c:v>DK</c:v>
                </c:pt>
                <c:pt idx="2">
                  <c:v>MT</c:v>
                </c:pt>
                <c:pt idx="3">
                  <c:v>EE</c:v>
                </c:pt>
                <c:pt idx="4">
                  <c:v>LV</c:v>
                </c:pt>
                <c:pt idx="5">
                  <c:v>FI</c:v>
                </c:pt>
                <c:pt idx="6">
                  <c:v>LT</c:v>
                </c:pt>
                <c:pt idx="7">
                  <c:v>IE</c:v>
                </c:pt>
                <c:pt idx="8">
                  <c:v>LU</c:v>
                </c:pt>
                <c:pt idx="9">
                  <c:v>HU</c:v>
                </c:pt>
                <c:pt idx="10">
                  <c:v>NL</c:v>
                </c:pt>
                <c:pt idx="11">
                  <c:v>BG</c:v>
                </c:pt>
                <c:pt idx="12">
                  <c:v>SE</c:v>
                </c:pt>
                <c:pt idx="13">
                  <c:v>CZ</c:v>
                </c:pt>
                <c:pt idx="14">
                  <c:v>SK</c:v>
                </c:pt>
                <c:pt idx="15">
                  <c:v>CY</c:v>
                </c:pt>
                <c:pt idx="16">
                  <c:v>SI</c:v>
                </c:pt>
                <c:pt idx="17">
                  <c:v>UK</c:v>
                </c:pt>
                <c:pt idx="18">
                  <c:v>AT</c:v>
                </c:pt>
                <c:pt idx="19">
                  <c:v>RO</c:v>
                </c:pt>
                <c:pt idx="20">
                  <c:v>PT</c:v>
                </c:pt>
                <c:pt idx="21">
                  <c:v>BE</c:v>
                </c:pt>
                <c:pt idx="22">
                  <c:v>PL</c:v>
                </c:pt>
                <c:pt idx="23">
                  <c:v>FR</c:v>
                </c:pt>
                <c:pt idx="24">
                  <c:v>EL</c:v>
                </c:pt>
                <c:pt idx="25">
                  <c:v>ES</c:v>
                </c:pt>
                <c:pt idx="26">
                  <c:v>DE</c:v>
                </c:pt>
                <c:pt idx="27">
                  <c:v>IT</c:v>
                </c:pt>
              </c:strCache>
            </c:strRef>
          </c:cat>
          <c:val>
            <c:numRef>
              <c:f>Sheet1!$C$2:$C$29</c:f>
              <c:numCache>
                <c:formatCode>General</c:formatCode>
                <c:ptCount val="28"/>
                <c:pt idx="0">
                  <c:v>14</c:v>
                </c:pt>
                <c:pt idx="1">
                  <c:v>15</c:v>
                </c:pt>
                <c:pt idx="2">
                  <c:v>11</c:v>
                </c:pt>
                <c:pt idx="3">
                  <c:v>8</c:v>
                </c:pt>
                <c:pt idx="4">
                  <c:v>8</c:v>
                </c:pt>
                <c:pt idx="5">
                  <c:v>16</c:v>
                </c:pt>
                <c:pt idx="6">
                  <c:v>17</c:v>
                </c:pt>
                <c:pt idx="7">
                  <c:v>21</c:v>
                </c:pt>
                <c:pt idx="8">
                  <c:v>12</c:v>
                </c:pt>
                <c:pt idx="9">
                  <c:v>25</c:v>
                </c:pt>
                <c:pt idx="10">
                  <c:v>24</c:v>
                </c:pt>
                <c:pt idx="11">
                  <c:v>21</c:v>
                </c:pt>
                <c:pt idx="12">
                  <c:v>29</c:v>
                </c:pt>
                <c:pt idx="13">
                  <c:v>29</c:v>
                </c:pt>
                <c:pt idx="14">
                  <c:v>31</c:v>
                </c:pt>
                <c:pt idx="15">
                  <c:v>22</c:v>
                </c:pt>
                <c:pt idx="16">
                  <c:v>17</c:v>
                </c:pt>
                <c:pt idx="17">
                  <c:v>34</c:v>
                </c:pt>
                <c:pt idx="18">
                  <c:v>31</c:v>
                </c:pt>
                <c:pt idx="19">
                  <c:v>26</c:v>
                </c:pt>
                <c:pt idx="20">
                  <c:v>40</c:v>
                </c:pt>
                <c:pt idx="21">
                  <c:v>42</c:v>
                </c:pt>
                <c:pt idx="22">
                  <c:v>48</c:v>
                </c:pt>
                <c:pt idx="23">
                  <c:v>56</c:v>
                </c:pt>
                <c:pt idx="24">
                  <c:v>58</c:v>
                </c:pt>
                <c:pt idx="25">
                  <c:v>62</c:v>
                </c:pt>
                <c:pt idx="26">
                  <c:v>64</c:v>
                </c:pt>
                <c:pt idx="27">
                  <c:v>69</c:v>
                </c:pt>
              </c:numCache>
            </c:numRef>
          </c:val>
        </c:ser>
        <c:ser>
          <c:idx val="2"/>
          <c:order val="2"/>
          <c:tx>
            <c:strRef>
              <c:f>Sheet1!$D$1</c:f>
              <c:strCache>
                <c:ptCount val="1"/>
                <c:pt idx="0">
                  <c:v>Отгоре: Общ брой на производствата за установяване на неизпълнение на задължения</c:v>
                </c:pt>
              </c:strCache>
            </c:strRef>
          </c:tx>
          <c:spPr>
            <a:noFill/>
          </c:spPr>
          <c:invertIfNegative val="0"/>
          <c:dLbls>
            <c:txPr>
              <a:bodyPr/>
              <a:lstStyle/>
              <a:p>
                <a:pPr>
                  <a:defRPr lang="bg-BG" sz="800" baseline="0">
                    <a:solidFill>
                      <a:srgbClr val="002060"/>
                    </a:solidFill>
                    <a:latin typeface="Arial" panose="020B0604020202020204" pitchFamily="34" charset="0"/>
                    <a:cs typeface="Arial" panose="020B0604020202020204" pitchFamily="34" charset="0"/>
                  </a:defRPr>
                </a:pPr>
                <a:endParaRPr lang="en-US"/>
              </a:p>
            </c:txPr>
            <c:dLblPos val="inBase"/>
            <c:showLegendKey val="0"/>
            <c:showVal val="1"/>
            <c:showCatName val="0"/>
            <c:showSerName val="0"/>
            <c:showPercent val="0"/>
            <c:showBubbleSize val="0"/>
            <c:showLeaderLines val="0"/>
          </c:dLbls>
          <c:cat>
            <c:strRef>
              <c:f>Sheet1!$A$2:$A$29</c:f>
              <c:strCache>
                <c:ptCount val="28"/>
                <c:pt idx="0">
                  <c:v>HR</c:v>
                </c:pt>
                <c:pt idx="1">
                  <c:v>DK</c:v>
                </c:pt>
                <c:pt idx="2">
                  <c:v>MT</c:v>
                </c:pt>
                <c:pt idx="3">
                  <c:v>EE</c:v>
                </c:pt>
                <c:pt idx="4">
                  <c:v>LV</c:v>
                </c:pt>
                <c:pt idx="5">
                  <c:v>FI</c:v>
                </c:pt>
                <c:pt idx="6">
                  <c:v>LT</c:v>
                </c:pt>
                <c:pt idx="7">
                  <c:v>IE</c:v>
                </c:pt>
                <c:pt idx="8">
                  <c:v>LU</c:v>
                </c:pt>
                <c:pt idx="9">
                  <c:v>HU</c:v>
                </c:pt>
                <c:pt idx="10">
                  <c:v>NL</c:v>
                </c:pt>
                <c:pt idx="11">
                  <c:v>BG</c:v>
                </c:pt>
                <c:pt idx="12">
                  <c:v>SE</c:v>
                </c:pt>
                <c:pt idx="13">
                  <c:v>CZ</c:v>
                </c:pt>
                <c:pt idx="14">
                  <c:v>SK</c:v>
                </c:pt>
                <c:pt idx="15">
                  <c:v>CY</c:v>
                </c:pt>
                <c:pt idx="16">
                  <c:v>SI</c:v>
                </c:pt>
                <c:pt idx="17">
                  <c:v>UK</c:v>
                </c:pt>
                <c:pt idx="18">
                  <c:v>AT</c:v>
                </c:pt>
                <c:pt idx="19">
                  <c:v>RO</c:v>
                </c:pt>
                <c:pt idx="20">
                  <c:v>PT</c:v>
                </c:pt>
                <c:pt idx="21">
                  <c:v>BE</c:v>
                </c:pt>
                <c:pt idx="22">
                  <c:v>PL</c:v>
                </c:pt>
                <c:pt idx="23">
                  <c:v>FR</c:v>
                </c:pt>
                <c:pt idx="24">
                  <c:v>EL</c:v>
                </c:pt>
                <c:pt idx="25">
                  <c:v>ES</c:v>
                </c:pt>
                <c:pt idx="26">
                  <c:v>DE</c:v>
                </c:pt>
                <c:pt idx="27">
                  <c:v>IT</c:v>
                </c:pt>
              </c:strCache>
            </c:strRef>
          </c:cat>
          <c:val>
            <c:numRef>
              <c:f>Sheet1!$D$2:$D$29</c:f>
              <c:numCache>
                <c:formatCode>General</c:formatCode>
                <c:ptCount val="28"/>
                <c:pt idx="0">
                  <c:v>21</c:v>
                </c:pt>
                <c:pt idx="1">
                  <c:v>23</c:v>
                </c:pt>
                <c:pt idx="2">
                  <c:v>24</c:v>
                </c:pt>
                <c:pt idx="3">
                  <c:v>26</c:v>
                </c:pt>
                <c:pt idx="4">
                  <c:v>28</c:v>
                </c:pt>
                <c:pt idx="5">
                  <c:v>31</c:v>
                </c:pt>
                <c:pt idx="6">
                  <c:v>33</c:v>
                </c:pt>
                <c:pt idx="7">
                  <c:v>35</c:v>
                </c:pt>
                <c:pt idx="8">
                  <c:v>37</c:v>
                </c:pt>
                <c:pt idx="9">
                  <c:v>38</c:v>
                </c:pt>
                <c:pt idx="10">
                  <c:v>38</c:v>
                </c:pt>
                <c:pt idx="11">
                  <c:v>39</c:v>
                </c:pt>
                <c:pt idx="12">
                  <c:v>42</c:v>
                </c:pt>
                <c:pt idx="13">
                  <c:v>46</c:v>
                </c:pt>
                <c:pt idx="14">
                  <c:v>46</c:v>
                </c:pt>
                <c:pt idx="15">
                  <c:v>47</c:v>
                </c:pt>
                <c:pt idx="16">
                  <c:v>47</c:v>
                </c:pt>
                <c:pt idx="17">
                  <c:v>48</c:v>
                </c:pt>
                <c:pt idx="18">
                  <c:v>49</c:v>
                </c:pt>
                <c:pt idx="19">
                  <c:v>50</c:v>
                </c:pt>
                <c:pt idx="20">
                  <c:v>55</c:v>
                </c:pt>
                <c:pt idx="21">
                  <c:v>65</c:v>
                </c:pt>
                <c:pt idx="22">
                  <c:v>78</c:v>
                </c:pt>
                <c:pt idx="23">
                  <c:v>80</c:v>
                </c:pt>
                <c:pt idx="24">
                  <c:v>82</c:v>
                </c:pt>
                <c:pt idx="25">
                  <c:v>83</c:v>
                </c:pt>
                <c:pt idx="26">
                  <c:v>88</c:v>
                </c:pt>
                <c:pt idx="27">
                  <c:v>89</c:v>
                </c:pt>
              </c:numCache>
            </c:numRef>
          </c:val>
        </c:ser>
        <c:dLbls>
          <c:showLegendKey val="0"/>
          <c:showVal val="0"/>
          <c:showCatName val="0"/>
          <c:showSerName val="0"/>
          <c:showPercent val="0"/>
          <c:showBubbleSize val="0"/>
        </c:dLbls>
        <c:gapWidth val="150"/>
        <c:overlap val="100"/>
        <c:axId val="202690944"/>
        <c:axId val="202692480"/>
      </c:barChart>
      <c:catAx>
        <c:axId val="202690944"/>
        <c:scaling>
          <c:orientation val="minMax"/>
        </c:scaling>
        <c:delete val="0"/>
        <c:axPos val="b"/>
        <c:numFmt formatCode="General" sourceLinked="0"/>
        <c:majorTickMark val="out"/>
        <c:minorTickMark val="none"/>
        <c:tickLblPos val="nextTo"/>
        <c:txPr>
          <a:bodyPr/>
          <a:lstStyle/>
          <a:p>
            <a:pPr>
              <a:defRPr lang="bg-BG" sz="80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202692480"/>
        <c:crosses val="autoZero"/>
        <c:auto val="1"/>
        <c:lblAlgn val="ctr"/>
        <c:lblOffset val="100"/>
        <c:noMultiLvlLbl val="0"/>
      </c:catAx>
      <c:valAx>
        <c:axId val="202692480"/>
        <c:scaling>
          <c:orientation val="minMax"/>
          <c:max val="90"/>
        </c:scaling>
        <c:delete val="1"/>
        <c:axPos val="l"/>
        <c:majorGridlines>
          <c:spPr>
            <a:ln>
              <a:solidFill>
                <a:sysClr val="windowText" lastClr="000000">
                  <a:lumMod val="15000"/>
                  <a:lumOff val="85000"/>
                </a:sysClr>
              </a:solidFill>
            </a:ln>
          </c:spPr>
        </c:majorGridlines>
        <c:numFmt formatCode="General" sourceLinked="1"/>
        <c:majorTickMark val="out"/>
        <c:minorTickMark val="none"/>
        <c:tickLblPos val="none"/>
        <c:crossAx val="202690944"/>
        <c:crosses val="autoZero"/>
        <c:crossBetween val="between"/>
        <c:majorUnit val="10"/>
        <c:minorUnit val="5"/>
      </c:valAx>
    </c:plotArea>
    <c:legend>
      <c:legendPos val="b"/>
      <c:layout>
        <c:manualLayout>
          <c:xMode val="edge"/>
          <c:yMode val="edge"/>
          <c:x val="6.5553520570696036E-2"/>
          <c:y val="0.74970388762405982"/>
          <c:w val="0.86889295885860862"/>
          <c:h val="0.2502961123759424"/>
        </c:manualLayout>
      </c:layout>
      <c:overlay val="0"/>
      <c:txPr>
        <a:bodyPr/>
        <a:lstStyle/>
        <a:p>
          <a:pPr>
            <a:defRPr lang="bg-BG" sz="900">
              <a:latin typeface="Arial" panose="020B0604020202020204" pitchFamily="34" charset="0"/>
              <a:ea typeface="Verdana" panose="020B0604030504040204" pitchFamily="34" charset="0"/>
              <a:cs typeface="Arial" panose="020B0604020202020204" pitchFamily="34" charset="0"/>
            </a:defRPr>
          </a:pPr>
          <a:endParaRPr lang="en-US"/>
        </a:p>
      </c:txPr>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bg-BG" sz="1100" b="0" i="0" u="none" strike="noStrike" kern="1200" baseline="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bg-BG" sz="1100" b="0" baseline="0">
                <a:solidFill>
                  <a:srgbClr val="002060"/>
                </a:solidFill>
                <a:latin typeface="Arial" panose="020B0604020202020204" pitchFamily="34" charset="0"/>
                <a:ea typeface="Verdana" panose="020B0604030504040204" pitchFamily="34" charset="0"/>
                <a:cs typeface="Arial" panose="020B0604020202020204" pitchFamily="34" charset="0"/>
              </a:rPr>
              <a:t>Неприключени производства за установяван</a:t>
            </a:r>
            <a:r>
              <a:rPr lang="nl-BE" sz="1100" b="0" baseline="0">
                <a:solidFill>
                  <a:srgbClr val="002060"/>
                </a:solidFill>
                <a:latin typeface="Arial" panose="020B0604020202020204" pitchFamily="34" charset="0"/>
                <a:ea typeface="Verdana" panose="020B0604030504040204" pitchFamily="34" charset="0"/>
                <a:cs typeface="Arial" panose="020B0604020202020204" pitchFamily="34" charset="0"/>
              </a:rPr>
              <a:t>e</a:t>
            </a:r>
            <a:r>
              <a:rPr lang="bg-BG" sz="1100" b="0" baseline="0">
                <a:solidFill>
                  <a:srgbClr val="002060"/>
                </a:solidFill>
                <a:latin typeface="Arial" panose="020B0604020202020204" pitchFamily="34" charset="0"/>
                <a:ea typeface="Verdana" panose="020B0604030504040204" pitchFamily="34" charset="0"/>
                <a:cs typeface="Arial" panose="020B0604020202020204" pitchFamily="34" charset="0"/>
              </a:rPr>
              <a:t> на неизпълнение на задължения към края на </a:t>
            </a:r>
            <a:r>
              <a:rPr lang="nl-BE" sz="1100" b="0" baseline="0">
                <a:solidFill>
                  <a:srgbClr val="002060"/>
                </a:solidFill>
                <a:latin typeface="Arial" panose="020B0604020202020204" pitchFamily="34" charset="0"/>
                <a:ea typeface="Verdana" panose="020B0604030504040204" pitchFamily="34" charset="0"/>
                <a:cs typeface="Arial" panose="020B0604020202020204" pitchFamily="34" charset="0"/>
              </a:rPr>
              <a:t>2015</a:t>
            </a:r>
            <a:r>
              <a:rPr lang="bg-BG" sz="1100" b="0" baseline="0">
                <a:solidFill>
                  <a:srgbClr val="002060"/>
                </a:solidFill>
                <a:latin typeface="Arial" panose="020B0604020202020204" pitchFamily="34" charset="0"/>
                <a:ea typeface="Verdana" panose="020B0604030504040204" pitchFamily="34" charset="0"/>
                <a:cs typeface="Arial" panose="020B0604020202020204" pitchFamily="34" charset="0"/>
              </a:rPr>
              <a:t> г.</a:t>
            </a:r>
            <a:r>
              <a:rPr lang="nl-BE" sz="1100" b="0" baseline="0">
                <a:solidFill>
                  <a:srgbClr val="002060"/>
                </a:solidFill>
                <a:latin typeface="Arial" panose="020B0604020202020204" pitchFamily="34" charset="0"/>
                <a:ea typeface="Verdana" panose="020B0604030504040204" pitchFamily="34" charset="0"/>
                <a:cs typeface="Arial" panose="020B0604020202020204" pitchFamily="34" charset="0"/>
              </a:rPr>
              <a:t>: </a:t>
            </a:r>
            <a:r>
              <a:rPr lang="bg-BG" sz="1100" b="0" baseline="0">
                <a:solidFill>
                  <a:srgbClr val="002060"/>
                </a:solidFill>
                <a:latin typeface="Arial" panose="020B0604020202020204" pitchFamily="34" charset="0"/>
                <a:ea typeface="Verdana" panose="020B0604030504040204" pitchFamily="34" charset="0"/>
                <a:cs typeface="Arial" panose="020B0604020202020204" pitchFamily="34" charset="0"/>
              </a:rPr>
              <a:t>области на политиката</a:t>
            </a:r>
            <a:endParaRPr lang="nl-BE" sz="1100" b="0">
              <a:solidFill>
                <a:srgbClr val="002060"/>
              </a:solidFill>
              <a:latin typeface="Arial" panose="020B0604020202020204" pitchFamily="34" charset="0"/>
              <a:ea typeface="Verdana" panose="020B0604030504040204" pitchFamily="34" charset="0"/>
              <a:cs typeface="Arial" panose="020B0604020202020204" pitchFamily="34" charset="0"/>
            </a:endParaRPr>
          </a:p>
        </c:rich>
      </c:tx>
      <c:layout>
        <c:manualLayout>
          <c:xMode val="edge"/>
          <c:yMode val="edge"/>
          <c:x val="0.15492084746338344"/>
          <c:y val="1.7646038046897244E-3"/>
        </c:manualLayout>
      </c:layout>
      <c:overlay val="0"/>
      <c:spPr>
        <a:noFill/>
        <a:ln w="25400">
          <a:noFill/>
        </a:ln>
      </c:spPr>
    </c:title>
    <c:autoTitleDeleted val="0"/>
    <c:plotArea>
      <c:layout>
        <c:manualLayout>
          <c:layoutTarget val="inner"/>
          <c:xMode val="edge"/>
          <c:yMode val="edge"/>
          <c:x val="0.23420929862090939"/>
          <c:y val="0.22948907342866295"/>
          <c:w val="0.54154656660697198"/>
          <c:h val="0.68340956241517647"/>
        </c:manualLayout>
      </c:layout>
      <c:pieChart>
        <c:varyColors val="1"/>
        <c:ser>
          <c:idx val="0"/>
          <c:order val="0"/>
          <c:tx>
            <c:strRef>
              <c:f>Blad1!$B$1</c:f>
              <c:strCache>
                <c:ptCount val="1"/>
                <c:pt idx="0">
                  <c:v>1347 open infringement cases in 2014</c:v>
                </c:pt>
              </c:strCache>
            </c:strRef>
          </c:tx>
          <c:spPr>
            <a:scene3d>
              <a:camera prst="orthographicFront"/>
              <a:lightRig rig="threePt" dir="t"/>
            </a:scene3d>
            <a:sp3d>
              <a:bevelT w="63500" h="25400"/>
            </a:sp3d>
          </c:spPr>
          <c:dPt>
            <c:idx val="0"/>
            <c:bubble3D val="0"/>
            <c:spPr>
              <a:solidFill>
                <a:srgbClr val="00A676"/>
              </a:solidFill>
              <a:ln>
                <a:noFill/>
              </a:ln>
              <a:effectLst>
                <a:outerShdw blurRad="40000" dist="23000" dir="5400000" rotWithShape="0">
                  <a:srgbClr val="000000">
                    <a:alpha val="35000"/>
                  </a:srgbClr>
                </a:outerShdw>
              </a:effectLst>
              <a:scene3d>
                <a:camera prst="orthographicFront"/>
                <a:lightRig rig="threePt" dir="t"/>
              </a:scene3d>
              <a:sp3d>
                <a:bevelT w="63500" h="25400"/>
              </a:sp3d>
            </c:spPr>
          </c:dPt>
          <c:dPt>
            <c:idx val="1"/>
            <c:bubble3D val="0"/>
            <c:spPr>
              <a:solidFill>
                <a:srgbClr val="FF9900"/>
              </a:solidFill>
              <a:ln>
                <a:noFill/>
              </a:ln>
              <a:effectLst>
                <a:outerShdw blurRad="40000" dist="23000" dir="5400000" rotWithShape="0">
                  <a:srgbClr val="000000">
                    <a:alpha val="35000"/>
                  </a:srgbClr>
                </a:outerShdw>
              </a:effectLst>
              <a:scene3d>
                <a:camera prst="orthographicFront"/>
                <a:lightRig rig="threePt" dir="t"/>
              </a:scene3d>
              <a:sp3d>
                <a:bevelT w="63500" h="25400"/>
              </a:sp3d>
            </c:spPr>
          </c:dPt>
          <c:dPt>
            <c:idx val="2"/>
            <c:bubble3D val="0"/>
            <c:spPr>
              <a:solidFill>
                <a:srgbClr val="7030A0"/>
              </a:solidFill>
              <a:ln>
                <a:noFill/>
              </a:ln>
              <a:effectLst>
                <a:outerShdw blurRad="40000" dist="23000" dir="5400000" rotWithShape="0">
                  <a:srgbClr val="000000">
                    <a:alpha val="35000"/>
                  </a:srgbClr>
                </a:outerShdw>
              </a:effectLst>
              <a:scene3d>
                <a:camera prst="orthographicFront"/>
                <a:lightRig rig="threePt" dir="t"/>
              </a:scene3d>
              <a:sp3d>
                <a:bevelT w="63500" h="25400"/>
              </a:sp3d>
            </c:spPr>
          </c:dPt>
          <c:dPt>
            <c:idx val="3"/>
            <c:bubble3D val="0"/>
            <c:spPr>
              <a:solidFill>
                <a:srgbClr val="000099"/>
              </a:solidFill>
              <a:scene3d>
                <a:camera prst="orthographicFront"/>
                <a:lightRig rig="threePt" dir="t"/>
              </a:scene3d>
              <a:sp3d>
                <a:bevelT w="63500" h="25400"/>
              </a:sp3d>
            </c:spPr>
          </c:dPt>
          <c:dPt>
            <c:idx val="4"/>
            <c:bubble3D val="0"/>
            <c:spPr>
              <a:solidFill>
                <a:srgbClr val="37ACDE"/>
              </a:solidFill>
              <a:scene3d>
                <a:camera prst="orthographicFront"/>
                <a:lightRig rig="threePt" dir="t"/>
              </a:scene3d>
              <a:sp3d>
                <a:bevelT w="63500" h="25400"/>
              </a:sp3d>
            </c:spPr>
          </c:dPt>
          <c:dPt>
            <c:idx val="5"/>
            <c:bubble3D val="0"/>
            <c:spPr>
              <a:solidFill>
                <a:srgbClr val="A20000"/>
              </a:solidFill>
              <a:scene3d>
                <a:camera prst="orthographicFront"/>
                <a:lightRig rig="threePt" dir="t"/>
              </a:scene3d>
              <a:sp3d>
                <a:bevelT w="63500" h="25400"/>
              </a:sp3d>
            </c:spPr>
          </c:dPt>
          <c:dPt>
            <c:idx val="6"/>
            <c:bubble3D val="0"/>
            <c:spPr>
              <a:solidFill>
                <a:srgbClr val="996633"/>
              </a:solidFill>
              <a:scene3d>
                <a:camera prst="orthographicFront"/>
                <a:lightRig rig="threePt" dir="t"/>
              </a:scene3d>
              <a:sp3d>
                <a:bevelT w="63500" h="25400"/>
              </a:sp3d>
            </c:spPr>
          </c:dPt>
          <c:dPt>
            <c:idx val="7"/>
            <c:bubble3D val="0"/>
            <c:spPr>
              <a:solidFill>
                <a:srgbClr val="FFD617"/>
              </a:solidFill>
              <a:scene3d>
                <a:camera prst="orthographicFront"/>
                <a:lightRig rig="threePt" dir="t"/>
              </a:scene3d>
              <a:sp3d>
                <a:bevelT w="63500" h="25400"/>
              </a:sp3d>
            </c:spPr>
          </c:dPt>
          <c:dPt>
            <c:idx val="8"/>
            <c:bubble3D val="0"/>
            <c:spPr>
              <a:solidFill>
                <a:srgbClr val="E75113"/>
              </a:solidFill>
              <a:scene3d>
                <a:camera prst="orthographicFront"/>
                <a:lightRig rig="threePt" dir="t"/>
              </a:scene3d>
              <a:sp3d>
                <a:bevelT w="63500" h="25400"/>
              </a:sp3d>
            </c:spPr>
          </c:dPt>
          <c:dPt>
            <c:idx val="9"/>
            <c:bubble3D val="0"/>
            <c:spPr>
              <a:solidFill>
                <a:srgbClr val="95C154"/>
              </a:solidFill>
              <a:scene3d>
                <a:camera prst="orthographicFront"/>
                <a:lightRig rig="threePt" dir="t"/>
              </a:scene3d>
              <a:sp3d>
                <a:bevelT w="63500" h="25400"/>
              </a:sp3d>
            </c:spPr>
          </c:dPt>
          <c:dPt>
            <c:idx val="10"/>
            <c:bubble3D val="0"/>
            <c:spPr>
              <a:solidFill>
                <a:srgbClr val="FF7DFF"/>
              </a:solidFill>
              <a:scene3d>
                <a:camera prst="orthographicFront"/>
                <a:lightRig rig="threePt" dir="t"/>
              </a:scene3d>
              <a:sp3d>
                <a:bevelT w="63500" h="25400"/>
              </a:sp3d>
            </c:spPr>
          </c:dPt>
          <c:dPt>
            <c:idx val="11"/>
            <c:bubble3D val="0"/>
            <c:spPr>
              <a:solidFill>
                <a:srgbClr val="808AA4"/>
              </a:solidFill>
              <a:scene3d>
                <a:camera prst="orthographicFront"/>
                <a:lightRig rig="threePt" dir="t"/>
              </a:scene3d>
              <a:sp3d>
                <a:bevelT w="63500" h="25400"/>
              </a:sp3d>
            </c:spPr>
          </c:dPt>
          <c:dLbls>
            <c:dLbl>
              <c:idx val="0"/>
              <c:layout>
                <c:manualLayout>
                  <c:x val="-2.2057484866414819E-3"/>
                  <c:y val="-7.0190288713910712E-2"/>
                </c:manualLayout>
              </c:layout>
              <c:tx>
                <c:rich>
                  <a:bodyPr/>
                  <a:lstStyle/>
                  <a:p>
                    <a:r>
                      <a:rPr lang="bg-BG"/>
                      <a:t>Околна среда</a:t>
                    </a:r>
                    <a:r>
                      <a:rPr lang="en-US"/>
                      <a:t>
276</a:t>
                    </a:r>
                  </a:p>
                </c:rich>
              </c:tx>
              <c:dLblPos val="bestFit"/>
              <c:showLegendKey val="1"/>
              <c:showVal val="1"/>
              <c:showCatName val="1"/>
              <c:showSerName val="0"/>
              <c:showPercent val="0"/>
              <c:showBubbleSize val="0"/>
              <c:separator>
</c:separator>
            </c:dLbl>
            <c:dLbl>
              <c:idx val="1"/>
              <c:layout>
                <c:manualLayout>
                  <c:x val="7.4574983181253968E-2"/>
                  <c:y val="-7.5268894349481946E-2"/>
                </c:manualLayout>
              </c:layout>
              <c:tx>
                <c:rich>
                  <a:bodyPr/>
                  <a:lstStyle/>
                  <a:p>
                    <a:r>
                      <a:rPr lang="bg-BG"/>
                      <a:t>Мобилност и транспорт</a:t>
                    </a:r>
                    <a:r>
                      <a:rPr lang="en-US"/>
                      <a:t>
241</a:t>
                    </a:r>
                  </a:p>
                </c:rich>
              </c:tx>
              <c:dLblPos val="bestFit"/>
              <c:showLegendKey val="1"/>
              <c:showVal val="1"/>
              <c:showCatName val="1"/>
              <c:showSerName val="0"/>
              <c:showPercent val="0"/>
              <c:showBubbleSize val="0"/>
              <c:separator>
</c:separator>
            </c:dLbl>
            <c:dLbl>
              <c:idx val="2"/>
              <c:layout>
                <c:manualLayout>
                  <c:x val="-8.2587149530496408E-4"/>
                  <c:y val="0"/>
                </c:manualLayout>
              </c:layout>
              <c:tx>
                <c:rich>
                  <a:bodyPr/>
                  <a:lstStyle/>
                  <a:p>
                    <a:r>
                      <a:rPr lang="bg-BG" sz="890" baseline="0"/>
                      <a:t>Финансова стабилност</a:t>
                    </a:r>
                    <a:r>
                      <a:rPr lang="en-US" sz="890" baseline="0"/>
                      <a:t>, </a:t>
                    </a:r>
                    <a:r>
                      <a:rPr lang="bg-BG" sz="890" baseline="0"/>
                      <a:t>финансови услуги и съюз на капиталовите пазари</a:t>
                    </a:r>
                    <a:r>
                      <a:rPr lang="en-US" sz="890" baseline="0"/>
                      <a:t>
172</a:t>
                    </a:r>
                  </a:p>
                </c:rich>
              </c:tx>
              <c:dLblPos val="bestFit"/>
              <c:showLegendKey val="1"/>
              <c:showVal val="1"/>
              <c:showCatName val="1"/>
              <c:showSerName val="0"/>
              <c:showPercent val="0"/>
              <c:showBubbleSize val="0"/>
              <c:separator>
</c:separator>
            </c:dLbl>
            <c:dLbl>
              <c:idx val="3"/>
              <c:layout>
                <c:manualLayout>
                  <c:x val="-4.8134777376654635E-3"/>
                  <c:y val="-1.7345314751373617E-2"/>
                </c:manualLayout>
              </c:layout>
              <c:tx>
                <c:rich>
                  <a:bodyPr/>
                  <a:lstStyle/>
                  <a:p>
                    <a:r>
                      <a:rPr lang="bg-BG"/>
                      <a:t>Вътрешен пазар, промишленост</a:t>
                    </a:r>
                    <a:r>
                      <a:rPr lang="en-US"/>
                      <a:t>, </a:t>
                    </a:r>
                    <a:r>
                      <a:rPr lang="bg-BG"/>
                      <a:t>предприемачество</a:t>
                    </a:r>
                    <a:r>
                      <a:rPr lang="bg-BG" baseline="0"/>
                      <a:t> и МСП</a:t>
                    </a:r>
                    <a:r>
                      <a:rPr lang="en-US"/>
                      <a:t>
129</a:t>
                    </a:r>
                  </a:p>
                </c:rich>
              </c:tx>
              <c:dLblPos val="bestFit"/>
              <c:showLegendKey val="1"/>
              <c:showVal val="1"/>
              <c:showCatName val="1"/>
              <c:showSerName val="0"/>
              <c:showPercent val="0"/>
              <c:showBubbleSize val="0"/>
              <c:separator>
</c:separator>
            </c:dLbl>
            <c:dLbl>
              <c:idx val="4"/>
              <c:layout>
                <c:manualLayout>
                  <c:x val="0"/>
                  <c:y val="1.5993776987553974E-2"/>
                </c:manualLayout>
              </c:layout>
              <c:tx>
                <c:rich>
                  <a:bodyPr/>
                  <a:lstStyle/>
                  <a:p>
                    <a:r>
                      <a:rPr lang="bg-BG"/>
                      <a:t>Миграция и вътрешни работи</a:t>
                    </a:r>
                    <a:r>
                      <a:rPr lang="en-US"/>
                      <a:t>
109</a:t>
                    </a:r>
                  </a:p>
                </c:rich>
              </c:tx>
              <c:dLblPos val="bestFit"/>
              <c:showLegendKey val="1"/>
              <c:showVal val="1"/>
              <c:showCatName val="1"/>
              <c:showSerName val="0"/>
              <c:showPercent val="0"/>
              <c:showBubbleSize val="0"/>
              <c:separator>
</c:separator>
            </c:dLbl>
            <c:dLbl>
              <c:idx val="5"/>
              <c:layout>
                <c:manualLayout>
                  <c:x val="3.1394982780331648E-2"/>
                  <c:y val="2.3594107188214412E-2"/>
                </c:manualLayout>
              </c:layout>
              <c:tx>
                <c:rich>
                  <a:bodyPr/>
                  <a:lstStyle/>
                  <a:p>
                    <a:r>
                      <a:rPr lang="bg-BG"/>
                      <a:t>Данъчно облагане и митници</a:t>
                    </a:r>
                    <a:r>
                      <a:rPr lang="en-US"/>
                      <a:t>
108</a:t>
                    </a:r>
                  </a:p>
                </c:rich>
              </c:tx>
              <c:dLblPos val="bestFit"/>
              <c:showLegendKey val="1"/>
              <c:showVal val="1"/>
              <c:showCatName val="1"/>
              <c:showSerName val="0"/>
              <c:showPercent val="0"/>
              <c:showBubbleSize val="0"/>
              <c:separator>
</c:separator>
            </c:dLbl>
            <c:dLbl>
              <c:idx val="6"/>
              <c:layout>
                <c:manualLayout>
                  <c:x val="2.1676110934110256E-2"/>
                  <c:y val="2.5502921005841998E-2"/>
                </c:manualLayout>
              </c:layout>
              <c:tx>
                <c:rich>
                  <a:bodyPr/>
                  <a:lstStyle/>
                  <a:p>
                    <a:r>
                      <a:rPr lang="bg-BG"/>
                      <a:t>Правосъдие и потребители</a:t>
                    </a:r>
                    <a:r>
                      <a:rPr lang="en-US"/>
                      <a:t>
80</a:t>
                    </a:r>
                  </a:p>
                </c:rich>
              </c:tx>
              <c:dLblPos val="bestFit"/>
              <c:showLegendKey val="1"/>
              <c:showVal val="1"/>
              <c:showCatName val="1"/>
              <c:showSerName val="0"/>
              <c:showPercent val="0"/>
              <c:showBubbleSize val="0"/>
              <c:separator>
</c:separator>
            </c:dLbl>
            <c:dLbl>
              <c:idx val="7"/>
              <c:layout>
                <c:manualLayout>
                  <c:x val="2.4082881980792862E-3"/>
                  <c:y val="-1.7063965794598263E-2"/>
                </c:manualLayout>
              </c:layout>
              <c:tx>
                <c:rich>
                  <a:bodyPr/>
                  <a:lstStyle/>
                  <a:p>
                    <a:r>
                      <a:rPr lang="bg-BG"/>
                      <a:t>Трудова заетост</a:t>
                    </a:r>
                    <a:r>
                      <a:rPr lang="en-US"/>
                      <a:t>
75</a:t>
                    </a:r>
                  </a:p>
                </c:rich>
              </c:tx>
              <c:dLblPos val="bestFit"/>
              <c:showLegendKey val="1"/>
              <c:showVal val="1"/>
              <c:showCatName val="1"/>
              <c:showSerName val="0"/>
              <c:showPercent val="0"/>
              <c:showBubbleSize val="0"/>
              <c:separator>
</c:separator>
            </c:dLbl>
            <c:dLbl>
              <c:idx val="8"/>
              <c:layout>
                <c:manualLayout>
                  <c:x val="-5.4969998331134091E-2"/>
                  <c:y val="7.4638049276098432E-3"/>
                </c:manualLayout>
              </c:layout>
              <c:tx>
                <c:rich>
                  <a:bodyPr/>
                  <a:lstStyle/>
                  <a:p>
                    <a:r>
                      <a:rPr lang="bg-BG"/>
                      <a:t>Енергетика</a:t>
                    </a:r>
                    <a:r>
                      <a:rPr lang="en-US"/>
                      <a:t>
73</a:t>
                    </a:r>
                  </a:p>
                </c:rich>
              </c:tx>
              <c:dLblPos val="bestFit"/>
              <c:showLegendKey val="1"/>
              <c:showVal val="1"/>
              <c:showCatName val="1"/>
              <c:showSerName val="0"/>
              <c:showPercent val="0"/>
              <c:showBubbleSize val="0"/>
              <c:separator>
</c:separator>
            </c:dLbl>
            <c:dLbl>
              <c:idx val="9"/>
              <c:layout>
                <c:manualLayout>
                  <c:x val="-1.2042768497868551E-2"/>
                  <c:y val="-1.7346118025569384E-2"/>
                </c:manualLayout>
              </c:layout>
              <c:tx>
                <c:rich>
                  <a:bodyPr/>
                  <a:lstStyle/>
                  <a:p>
                    <a:r>
                      <a:rPr lang="bg-BG"/>
                      <a:t>Комуникационни мрежи</a:t>
                    </a:r>
                    <a:r>
                      <a:rPr lang="en-US"/>
                      <a:t>
31</a:t>
                    </a:r>
                  </a:p>
                </c:rich>
              </c:tx>
              <c:dLblPos val="bestFit"/>
              <c:showLegendKey val="1"/>
              <c:showVal val="1"/>
              <c:showCatName val="1"/>
              <c:showSerName val="0"/>
              <c:showPercent val="0"/>
              <c:showBubbleSize val="0"/>
              <c:separator>
</c:separator>
            </c:dLbl>
            <c:dLbl>
              <c:idx val="10"/>
              <c:layout>
                <c:manualLayout>
                  <c:x val="-1.2045822792006595E-2"/>
                  <c:y val="7.8026772849293616E-2"/>
                </c:manualLayout>
              </c:layout>
              <c:tx>
                <c:rich>
                  <a:bodyPr/>
                  <a:lstStyle/>
                  <a:p>
                    <a:r>
                      <a:rPr lang="bg-BG"/>
                      <a:t>Здравеопазване и безопасност на храните</a:t>
                    </a:r>
                    <a:r>
                      <a:rPr lang="en-US"/>
                      <a:t>
25</a:t>
                    </a:r>
                  </a:p>
                </c:rich>
              </c:tx>
              <c:dLblPos val="bestFit"/>
              <c:showLegendKey val="1"/>
              <c:showVal val="1"/>
              <c:showCatName val="1"/>
              <c:showSerName val="0"/>
              <c:showPercent val="0"/>
              <c:showBubbleSize val="0"/>
              <c:separator>
</c:separator>
            </c:dLbl>
            <c:dLbl>
              <c:idx val="11"/>
              <c:layout>
                <c:manualLayout>
                  <c:x val="2.2941148601912126E-2"/>
                  <c:y val="0.1035624988789841"/>
                </c:manualLayout>
              </c:layout>
              <c:tx>
                <c:rich>
                  <a:bodyPr/>
                  <a:lstStyle/>
                  <a:p>
                    <a:r>
                      <a:rPr lang="bg-BG"/>
                      <a:t>Други</a:t>
                    </a:r>
                    <a:r>
                      <a:rPr lang="en-US"/>
                      <a:t>
49</a:t>
                    </a:r>
                  </a:p>
                </c:rich>
              </c:tx>
              <c:dLblPos val="bestFit"/>
              <c:showLegendKey val="1"/>
              <c:showVal val="1"/>
              <c:showCatName val="1"/>
              <c:showSerName val="0"/>
              <c:showPercent val="0"/>
              <c:showBubbleSize val="0"/>
              <c:separator>
</c:separator>
            </c:dLbl>
            <c:spPr>
              <a:noFill/>
              <a:ln w="25400">
                <a:noFill/>
              </a:ln>
            </c:spPr>
            <c:txPr>
              <a:bodyPr rot="0" spcFirstLastPara="1" vertOverflow="ellipsis" vert="horz" wrap="square" lIns="38100" tIns="19050" rIns="38100" bIns="19050" anchor="ctr" anchorCtr="1">
                <a:spAutoFit/>
              </a:bodyPr>
              <a:lstStyle/>
              <a:p>
                <a:pPr>
                  <a:defRPr lang="bg-BG" sz="900" b="0" i="0" u="none" strike="noStrike" kern="1200" baseline="0">
                    <a:solidFill>
                      <a:sysClr val="windowText" lastClr="000000"/>
                    </a:solidFill>
                    <a:latin typeface="Arial" panose="020B0604020202020204" pitchFamily="34" charset="0"/>
                    <a:ea typeface="Verdana" panose="020B0604030504040204" pitchFamily="34" charset="0"/>
                    <a:cs typeface="Arial" panose="020B0604020202020204" pitchFamily="34" charset="0"/>
                  </a:defRPr>
                </a:pPr>
                <a:endParaRPr lang="en-US"/>
              </a:p>
            </c:txPr>
            <c:dLblPos val="outEnd"/>
            <c:showLegendKey val="1"/>
            <c:showVal val="1"/>
            <c:showCatName val="1"/>
            <c:showSerName val="0"/>
            <c:showPercent val="0"/>
            <c:showBubbleSize val="0"/>
            <c:separator>
</c:separator>
            <c:showLeaderLines val="0"/>
          </c:dLbls>
          <c:cat>
            <c:strRef>
              <c:f>Blad1!$A$3:$A$14</c:f>
              <c:strCache>
                <c:ptCount val="12"/>
                <c:pt idx="0">
                  <c:v>Environment</c:v>
                </c:pt>
                <c:pt idx="1">
                  <c:v>Mobility and transport</c:v>
                </c:pt>
                <c:pt idx="2">
                  <c:v>Financial stability, financial services and capital markets union</c:v>
                </c:pt>
                <c:pt idx="3">
                  <c:v>Internal market, industry, entrepreneurship and SMEs</c:v>
                </c:pt>
                <c:pt idx="4">
                  <c:v>Migration and home affairs</c:v>
                </c:pt>
                <c:pt idx="5">
                  <c:v>Taxation and customs</c:v>
                </c:pt>
                <c:pt idx="6">
                  <c:v>Justice and consumers</c:v>
                </c:pt>
                <c:pt idx="7">
                  <c:v>Employment</c:v>
                </c:pt>
                <c:pt idx="8">
                  <c:v>Energy</c:v>
                </c:pt>
                <c:pt idx="9">
                  <c:v>Communication networks</c:v>
                </c:pt>
                <c:pt idx="10">
                  <c:v>Health and food safety</c:v>
                </c:pt>
                <c:pt idx="11">
                  <c:v>Other</c:v>
                </c:pt>
              </c:strCache>
            </c:strRef>
          </c:cat>
          <c:val>
            <c:numRef>
              <c:f>Blad1!$B$3:$B$14</c:f>
              <c:numCache>
                <c:formatCode>General</c:formatCode>
                <c:ptCount val="12"/>
                <c:pt idx="0">
                  <c:v>276</c:v>
                </c:pt>
                <c:pt idx="1">
                  <c:v>241</c:v>
                </c:pt>
                <c:pt idx="2" formatCode="0">
                  <c:v>172</c:v>
                </c:pt>
                <c:pt idx="3">
                  <c:v>129</c:v>
                </c:pt>
                <c:pt idx="4">
                  <c:v>109</c:v>
                </c:pt>
                <c:pt idx="5">
                  <c:v>108</c:v>
                </c:pt>
                <c:pt idx="6">
                  <c:v>80</c:v>
                </c:pt>
                <c:pt idx="7">
                  <c:v>75</c:v>
                </c:pt>
                <c:pt idx="8">
                  <c:v>73</c:v>
                </c:pt>
                <c:pt idx="9">
                  <c:v>31</c:v>
                </c:pt>
                <c:pt idx="10">
                  <c:v>25</c:v>
                </c:pt>
                <c:pt idx="11" formatCode="0">
                  <c:v>49</c:v>
                </c:pt>
              </c:numCache>
            </c:numRef>
          </c:val>
        </c:ser>
        <c:dLbls>
          <c:showLegendKey val="0"/>
          <c:showVal val="0"/>
          <c:showCatName val="0"/>
          <c:showSerName val="0"/>
          <c:showPercent val="0"/>
          <c:showBubbleSize val="0"/>
          <c:showLeaderLines val="0"/>
        </c:dLbls>
        <c:firstSliceAng val="53"/>
      </c:pieChart>
      <c:spPr>
        <a:noFill/>
        <a:ln w="25400">
          <a:noFill/>
        </a:ln>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bg-BG" sz="1099" b="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bg-BG" sz="1099" b="0">
                <a:solidFill>
                  <a:srgbClr val="002060"/>
                </a:solidFill>
                <a:latin typeface="Arial" panose="020B0604020202020204" pitchFamily="34" charset="0"/>
                <a:ea typeface="Verdana" panose="020B0604030504040204" pitchFamily="34" charset="0"/>
                <a:cs typeface="Arial" panose="020B0604020202020204" pitchFamily="34" charset="0"/>
              </a:rPr>
              <a:t>Директиви и производства за ненавременно транспониране</a:t>
            </a:r>
            <a:endParaRPr lang="nl-BE" sz="1100" b="0">
              <a:solidFill>
                <a:srgbClr val="002060"/>
              </a:solidFill>
              <a:latin typeface="Arial" panose="020B0604020202020204" pitchFamily="34" charset="0"/>
              <a:ea typeface="Verdana" panose="020B0604030504040204" pitchFamily="34" charset="0"/>
              <a:cs typeface="Arial" panose="020B0604020202020204" pitchFamily="34" charset="0"/>
            </a:endParaRPr>
          </a:p>
        </c:rich>
      </c:tx>
      <c:layout>
        <c:manualLayout>
          <c:xMode val="edge"/>
          <c:yMode val="edge"/>
          <c:x val="0.19778445378063494"/>
          <c:y val="3.2653061224489806E-2"/>
        </c:manualLayout>
      </c:layout>
      <c:overlay val="0"/>
    </c:title>
    <c:autoTitleDeleted val="0"/>
    <c:plotArea>
      <c:layout>
        <c:manualLayout>
          <c:layoutTarget val="inner"/>
          <c:xMode val="edge"/>
          <c:yMode val="edge"/>
          <c:x val="9.32816020496985E-2"/>
          <c:y val="0.28296218832021403"/>
          <c:w val="0.88305424093872276"/>
          <c:h val="0.42638351874253388"/>
        </c:manualLayout>
      </c:layout>
      <c:barChart>
        <c:barDir val="col"/>
        <c:grouping val="clustered"/>
        <c:varyColors val="0"/>
        <c:ser>
          <c:idx val="0"/>
          <c:order val="0"/>
          <c:tx>
            <c:strRef>
              <c:f>Blad1!$B$2</c:f>
              <c:strCache>
                <c:ptCount val="1"/>
                <c:pt idx="0">
                  <c:v>Брой директиви с краен срок за транспониране в дадена година</c:v>
                </c:pt>
              </c:strCache>
            </c:strRef>
          </c:tx>
          <c:spPr>
            <a:solidFill>
              <a:srgbClr val="4F81BD"/>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4"/>
              <c:tx>
                <c:rich>
                  <a:bodyPr/>
                  <a:lstStyle/>
                  <a:p>
                    <a:r>
                      <a:rPr lang="en-US">
                        <a:solidFill>
                          <a:srgbClr val="0070C0"/>
                        </a:solidFill>
                      </a:rPr>
                      <a:t>56</a:t>
                    </a:r>
                    <a:endParaRPr lang="en-US"/>
                  </a:p>
                </c:rich>
              </c:tx>
              <c:dLblPos val="outEnd"/>
              <c:showLegendKey val="0"/>
              <c:showVal val="0"/>
              <c:showCatName val="0"/>
              <c:showSerName val="0"/>
              <c:showPercent val="0"/>
              <c:showBubbleSize val="0"/>
            </c:dLbl>
            <c:spPr>
              <a:noFill/>
              <a:ln w="25385">
                <a:noFill/>
              </a:ln>
            </c:spPr>
            <c:txPr>
              <a:bodyPr rot="0" spcFirstLastPara="1" vertOverflow="ellipsis" vert="horz" wrap="square" lIns="38100" tIns="19050" rIns="38100" bIns="19050" anchor="ctr" anchorCtr="1">
                <a:spAutoFit/>
              </a:bodyPr>
              <a:lstStyle/>
              <a:p>
                <a:pPr>
                  <a:defRPr lang="bg-BG" sz="899" b="0" i="0" u="none" strike="noStrike" kern="1200" baseline="0">
                    <a:solidFill>
                      <a:srgbClr val="0070C0"/>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outEnd"/>
            <c:showLegendKey val="0"/>
            <c:showVal val="1"/>
            <c:showCatName val="0"/>
            <c:showSerName val="0"/>
            <c:showPercent val="0"/>
            <c:showBubbleSize val="0"/>
            <c:showLeaderLines val="0"/>
          </c:dLbls>
          <c:cat>
            <c:strRef>
              <c:f>Blad1!$A$3:$A$7</c:f>
              <c:strCache>
                <c:ptCount val="5"/>
                <c:pt idx="0">
                  <c:v>2011 г.</c:v>
                </c:pt>
                <c:pt idx="1">
                  <c:v>2012 г.</c:v>
                </c:pt>
                <c:pt idx="2">
                  <c:v>2013 г.</c:v>
                </c:pt>
                <c:pt idx="3">
                  <c:v>2014 г.</c:v>
                </c:pt>
                <c:pt idx="4">
                  <c:v>2015 г.</c:v>
                </c:pt>
              </c:strCache>
            </c:strRef>
          </c:cat>
          <c:val>
            <c:numRef>
              <c:f>Blad1!$B$3:$B$7</c:f>
              <c:numCache>
                <c:formatCode>General</c:formatCode>
                <c:ptCount val="5"/>
                <c:pt idx="0">
                  <c:v>131</c:v>
                </c:pt>
                <c:pt idx="1">
                  <c:v>56</c:v>
                </c:pt>
                <c:pt idx="2">
                  <c:v>74</c:v>
                </c:pt>
                <c:pt idx="3">
                  <c:v>67</c:v>
                </c:pt>
                <c:pt idx="4">
                  <c:v>56</c:v>
                </c:pt>
              </c:numCache>
            </c:numRef>
          </c:val>
        </c:ser>
        <c:ser>
          <c:idx val="1"/>
          <c:order val="1"/>
          <c:tx>
            <c:strRef>
              <c:f>Blad1!$C$2</c:f>
              <c:strCache>
                <c:ptCount val="1"/>
                <c:pt idx="0">
                  <c:v>Нови производства за ненавременно транспониране</c:v>
                </c:pt>
              </c:strCache>
            </c:strRef>
          </c:tx>
          <c:spPr>
            <a:solidFill>
              <a:srgbClr val="92D050"/>
            </a:solidFill>
            <a:scene3d>
              <a:camera prst="orthographicFront"/>
              <a:lightRig rig="threePt" dir="t"/>
            </a:scene3d>
            <a:sp3d prstMaterial="matte">
              <a:bevelT w="63500" h="25400" prst="artDeco"/>
              <a:bevelB w="0" h="0"/>
              <a:contourClr>
                <a:srgbClr val="000000"/>
              </a:contourClr>
            </a:sp3d>
          </c:spPr>
          <c:invertIfNegative val="0"/>
          <c:dLbls>
            <c:spPr>
              <a:noFill/>
              <a:ln w="25385">
                <a:noFill/>
              </a:ln>
            </c:spPr>
            <c:txPr>
              <a:bodyPr wrap="square" lIns="38100" tIns="19050" rIns="38100" bIns="19050" anchor="ctr">
                <a:spAutoFit/>
              </a:bodyPr>
              <a:lstStyle/>
              <a:p>
                <a:pPr>
                  <a:defRPr lang="bg-BG" sz="899">
                    <a:solidFill>
                      <a:srgbClr val="002060"/>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outEnd"/>
            <c:showLegendKey val="0"/>
            <c:showVal val="1"/>
            <c:showCatName val="0"/>
            <c:showSerName val="0"/>
            <c:showPercent val="0"/>
            <c:showBubbleSize val="0"/>
            <c:showLeaderLines val="0"/>
          </c:dLbls>
          <c:cat>
            <c:strRef>
              <c:f>Blad1!$A$3:$A$7</c:f>
              <c:strCache>
                <c:ptCount val="5"/>
                <c:pt idx="0">
                  <c:v>2011 г.</c:v>
                </c:pt>
                <c:pt idx="1">
                  <c:v>2012 г.</c:v>
                </c:pt>
                <c:pt idx="2">
                  <c:v>2013 г.</c:v>
                </c:pt>
                <c:pt idx="3">
                  <c:v>2014 г.</c:v>
                </c:pt>
                <c:pt idx="4">
                  <c:v>2015 г.</c:v>
                </c:pt>
              </c:strCache>
            </c:strRef>
          </c:cat>
          <c:val>
            <c:numRef>
              <c:f>Blad1!$C$3:$C$7</c:f>
              <c:numCache>
                <c:formatCode>General</c:formatCode>
                <c:ptCount val="5"/>
                <c:pt idx="0">
                  <c:v>1185</c:v>
                </c:pt>
                <c:pt idx="1">
                  <c:v>447</c:v>
                </c:pt>
                <c:pt idx="2">
                  <c:v>478</c:v>
                </c:pt>
                <c:pt idx="3">
                  <c:v>585</c:v>
                </c:pt>
                <c:pt idx="4">
                  <c:v>543</c:v>
                </c:pt>
              </c:numCache>
            </c:numRef>
          </c:val>
        </c:ser>
        <c:dLbls>
          <c:showLegendKey val="0"/>
          <c:showVal val="0"/>
          <c:showCatName val="0"/>
          <c:showSerName val="0"/>
          <c:showPercent val="0"/>
          <c:showBubbleSize val="0"/>
        </c:dLbls>
        <c:gapWidth val="100"/>
        <c:overlap val="-24"/>
        <c:axId val="242354432"/>
        <c:axId val="248972416"/>
      </c:barChart>
      <c:catAx>
        <c:axId val="242354432"/>
        <c:scaling>
          <c:orientation val="minMax"/>
        </c:scaling>
        <c:delete val="0"/>
        <c:axPos val="b"/>
        <c:numFmt formatCode="General" sourceLinked="1"/>
        <c:majorTickMark val="none"/>
        <c:minorTickMark val="none"/>
        <c:tickLblPos val="nextTo"/>
        <c:spPr>
          <a:noFill/>
          <a:ln w="12693" cap="flat" cmpd="sng" algn="ctr">
            <a:solidFill>
              <a:schemeClr val="tx1">
                <a:lumMod val="15000"/>
                <a:lumOff val="85000"/>
              </a:schemeClr>
            </a:solidFill>
            <a:round/>
          </a:ln>
          <a:effectLst/>
        </c:spPr>
        <c:txPr>
          <a:bodyPr rot="-60000000" spcFirstLastPara="1" vertOverflow="ellipsis" vert="horz" wrap="square" anchor="ctr" anchorCtr="1"/>
          <a:lstStyle/>
          <a:p>
            <a:pPr>
              <a:defRPr lang="bg-BG" sz="899"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248972416"/>
        <c:crosses val="autoZero"/>
        <c:auto val="1"/>
        <c:lblAlgn val="ctr"/>
        <c:lblOffset val="100"/>
        <c:noMultiLvlLbl val="0"/>
      </c:catAx>
      <c:valAx>
        <c:axId val="248972416"/>
        <c:scaling>
          <c:orientation val="minMax"/>
          <c:max val="1200"/>
        </c:scaling>
        <c:delete val="1"/>
        <c:axPos val="l"/>
        <c:majorGridlines>
          <c:spPr>
            <a:ln w="9520" cap="flat" cmpd="sng" algn="ctr">
              <a:solidFill>
                <a:schemeClr val="tx1">
                  <a:lumMod val="15000"/>
                  <a:lumOff val="85000"/>
                </a:schemeClr>
              </a:solidFill>
              <a:round/>
            </a:ln>
            <a:effectLst/>
          </c:spPr>
        </c:majorGridlines>
        <c:numFmt formatCode="General" sourceLinked="1"/>
        <c:majorTickMark val="out"/>
        <c:minorTickMark val="none"/>
        <c:tickLblPos val="none"/>
        <c:crossAx val="242354432"/>
        <c:crosses val="autoZero"/>
        <c:crossBetween val="between"/>
        <c:majorUnit val="300"/>
      </c:valAx>
      <c:spPr>
        <a:noFill/>
        <a:ln w="25385">
          <a:noFill/>
        </a:ln>
      </c:spPr>
    </c:plotArea>
    <c:legend>
      <c:legendPos val="b"/>
      <c:overlay val="0"/>
      <c:txPr>
        <a:bodyPr/>
        <a:lstStyle/>
        <a:p>
          <a:pPr>
            <a:defRPr lang="bg-BG" sz="899" baseline="0">
              <a:latin typeface="Arial" panose="020B0604020202020204" pitchFamily="34" charset="0"/>
              <a:cs typeface="Arial" panose="020B0604020202020204" pitchFamily="34" charset="0"/>
            </a:defRPr>
          </a:pPr>
          <a:endParaRPr lang="en-US"/>
        </a:p>
      </c:txPr>
    </c:legend>
    <c:plotVisOnly val="1"/>
    <c:dispBlanksAs val="gap"/>
    <c:showDLblsOverMax val="0"/>
  </c:chart>
  <c:spPr>
    <a:solidFill>
      <a:schemeClr val="bg1"/>
    </a:solidFill>
    <a:ln w="9520"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bg-BG" sz="1100" b="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bg-BG" sz="1100" b="0">
                <a:solidFill>
                  <a:srgbClr val="002060"/>
                </a:solidFill>
                <a:latin typeface="Arial" panose="020B0604020202020204" pitchFamily="34" charset="0"/>
                <a:ea typeface="Verdana" panose="020B0604030504040204" pitchFamily="34" charset="0"/>
                <a:cs typeface="Arial" panose="020B0604020202020204" pitchFamily="34" charset="0"/>
              </a:rPr>
              <a:t>Висящи производства за ненавременно транспониране към</a:t>
            </a:r>
            <a:r>
              <a:rPr lang="en-US" sz="1100" b="0" baseline="0">
                <a:solidFill>
                  <a:srgbClr val="002060"/>
                </a:solidFill>
                <a:latin typeface="Arial" panose="020B0604020202020204" pitchFamily="34" charset="0"/>
                <a:ea typeface="Verdana" panose="020B0604030504040204" pitchFamily="34" charset="0"/>
                <a:cs typeface="Arial" panose="020B0604020202020204" pitchFamily="34" charset="0"/>
              </a:rPr>
              <a:t> 3</a:t>
            </a:r>
            <a:r>
              <a:rPr lang="bg-BG" sz="1100" b="0" baseline="0">
                <a:solidFill>
                  <a:srgbClr val="002060"/>
                </a:solidFill>
                <a:latin typeface="Arial" panose="020B0604020202020204" pitchFamily="34" charset="0"/>
                <a:ea typeface="Verdana" panose="020B0604030504040204" pitchFamily="34" charset="0"/>
                <a:cs typeface="Arial" panose="020B0604020202020204" pitchFamily="34" charset="0"/>
              </a:rPr>
              <a:t>1 декември </a:t>
            </a:r>
            <a:r>
              <a:rPr lang="en-US" sz="1100" b="0" baseline="0">
                <a:solidFill>
                  <a:srgbClr val="002060"/>
                </a:solidFill>
                <a:latin typeface="Arial" panose="020B0604020202020204" pitchFamily="34" charset="0"/>
                <a:ea typeface="Verdana" panose="020B0604030504040204" pitchFamily="34" charset="0"/>
                <a:cs typeface="Arial" panose="020B0604020202020204" pitchFamily="34" charset="0"/>
              </a:rPr>
              <a:t>2015</a:t>
            </a:r>
            <a:r>
              <a:rPr lang="bg-BG" sz="1100" b="0" baseline="0">
                <a:solidFill>
                  <a:srgbClr val="002060"/>
                </a:solidFill>
                <a:latin typeface="Arial" panose="020B0604020202020204" pitchFamily="34" charset="0"/>
                <a:ea typeface="Verdana" panose="020B0604030504040204" pitchFamily="34" charset="0"/>
                <a:cs typeface="Arial" panose="020B0604020202020204" pitchFamily="34" charset="0"/>
              </a:rPr>
              <a:t> г.</a:t>
            </a:r>
            <a:endParaRPr lang="en-US" sz="1100" b="0">
              <a:solidFill>
                <a:srgbClr val="002060"/>
              </a:solidFill>
              <a:latin typeface="Arial" panose="020B0604020202020204" pitchFamily="34" charset="0"/>
              <a:ea typeface="Verdana" panose="020B0604030504040204" pitchFamily="34" charset="0"/>
              <a:cs typeface="Arial" panose="020B0604020202020204" pitchFamily="34" charset="0"/>
            </a:endParaRPr>
          </a:p>
        </c:rich>
      </c:tx>
      <c:overlay val="0"/>
    </c:title>
    <c:autoTitleDeleted val="0"/>
    <c:plotArea>
      <c:layout>
        <c:manualLayout>
          <c:layoutTarget val="inner"/>
          <c:xMode val="edge"/>
          <c:yMode val="edge"/>
          <c:x val="2.782608695652174E-2"/>
          <c:y val="0.16813263525305266"/>
          <c:w val="0.94897282702591934"/>
          <c:h val="0.74625614853067868"/>
        </c:manualLayout>
      </c:layout>
      <c:barChart>
        <c:barDir val="col"/>
        <c:grouping val="clustered"/>
        <c:varyColors val="0"/>
        <c:ser>
          <c:idx val="0"/>
          <c:order val="0"/>
          <c:tx>
            <c:strRef>
              <c:f>Blad1!$B$2</c:f>
              <c:strCache>
                <c:ptCount val="1"/>
                <c:pt idx="0">
                  <c:v>Number of late infringement cases</c:v>
                </c:pt>
              </c:strCache>
            </c:strRef>
          </c:tx>
          <c:spPr>
            <a:solidFill>
              <a:schemeClr val="accent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txPr>
              <a:bodyPr/>
              <a:lstStyle/>
              <a:p>
                <a:pPr>
                  <a:defRPr lang="bg-BG" sz="800">
                    <a:latin typeface="Verdana" panose="020B0604030504040204" pitchFamily="34" charset="0"/>
                    <a:ea typeface="Verdana" panose="020B0604030504040204" pitchFamily="34" charset="0"/>
                    <a:cs typeface="Verdana" panose="020B0604030504040204" pitchFamily="34" charset="0"/>
                  </a:defRPr>
                </a:pPr>
                <a:endParaRPr lang="en-US"/>
              </a:p>
            </c:txPr>
            <c:dLblPos val="outEnd"/>
            <c:showLegendKey val="0"/>
            <c:showVal val="1"/>
            <c:showCatName val="0"/>
            <c:showSerName val="0"/>
            <c:showPercent val="0"/>
            <c:showBubbleSize val="0"/>
            <c:showLeaderLines val="0"/>
          </c:dLbls>
          <c:cat>
            <c:strRef>
              <c:f>Blad1!$A$3:$A$30</c:f>
              <c:strCache>
                <c:ptCount val="28"/>
                <c:pt idx="0">
                  <c:v>HR</c:v>
                </c:pt>
                <c:pt idx="1">
                  <c:v>DK</c:v>
                </c:pt>
                <c:pt idx="2">
                  <c:v>HU</c:v>
                </c:pt>
                <c:pt idx="3">
                  <c:v>MT</c:v>
                </c:pt>
                <c:pt idx="4">
                  <c:v>SE</c:v>
                </c:pt>
                <c:pt idx="5">
                  <c:v>IE</c:v>
                </c:pt>
                <c:pt idx="6">
                  <c:v>NL</c:v>
                </c:pt>
                <c:pt idx="7">
                  <c:v>UK</c:v>
                </c:pt>
                <c:pt idx="8">
                  <c:v>FI</c:v>
                </c:pt>
                <c:pt idx="9">
                  <c:v>PT</c:v>
                </c:pt>
                <c:pt idx="10">
                  <c:v>SK</c:v>
                </c:pt>
                <c:pt idx="11">
                  <c:v>LT</c:v>
                </c:pt>
                <c:pt idx="12">
                  <c:v>CZ</c:v>
                </c:pt>
                <c:pt idx="13">
                  <c:v>AT</c:v>
                </c:pt>
                <c:pt idx="14">
                  <c:v>BG</c:v>
                </c:pt>
                <c:pt idx="15">
                  <c:v>EE</c:v>
                </c:pt>
                <c:pt idx="16">
                  <c:v>IT</c:v>
                </c:pt>
                <c:pt idx="17">
                  <c:v>LV</c:v>
                </c:pt>
                <c:pt idx="18">
                  <c:v>ES</c:v>
                </c:pt>
                <c:pt idx="19">
                  <c:v>BE</c:v>
                </c:pt>
                <c:pt idx="20">
                  <c:v>DE</c:v>
                </c:pt>
                <c:pt idx="21">
                  <c:v>EL</c:v>
                </c:pt>
                <c:pt idx="22">
                  <c:v>FR</c:v>
                </c:pt>
                <c:pt idx="23">
                  <c:v>RO</c:v>
                </c:pt>
                <c:pt idx="24">
                  <c:v>CY</c:v>
                </c:pt>
                <c:pt idx="25">
                  <c:v>LU</c:v>
                </c:pt>
                <c:pt idx="26">
                  <c:v>PL</c:v>
                </c:pt>
                <c:pt idx="27">
                  <c:v>SI</c:v>
                </c:pt>
              </c:strCache>
            </c:strRef>
          </c:cat>
          <c:val>
            <c:numRef>
              <c:f>Blad1!$B$3:$B$30</c:f>
              <c:numCache>
                <c:formatCode>General</c:formatCode>
                <c:ptCount val="28"/>
                <c:pt idx="0">
                  <c:v>7</c:v>
                </c:pt>
                <c:pt idx="1">
                  <c:v>8</c:v>
                </c:pt>
                <c:pt idx="2">
                  <c:v>13</c:v>
                </c:pt>
                <c:pt idx="3">
                  <c:v>13</c:v>
                </c:pt>
                <c:pt idx="4">
                  <c:v>13</c:v>
                </c:pt>
                <c:pt idx="5">
                  <c:v>14</c:v>
                </c:pt>
                <c:pt idx="6">
                  <c:v>14</c:v>
                </c:pt>
                <c:pt idx="7">
                  <c:v>14</c:v>
                </c:pt>
                <c:pt idx="8">
                  <c:v>15</c:v>
                </c:pt>
                <c:pt idx="9">
                  <c:v>15</c:v>
                </c:pt>
                <c:pt idx="10">
                  <c:v>15</c:v>
                </c:pt>
                <c:pt idx="11">
                  <c:v>16</c:v>
                </c:pt>
                <c:pt idx="12">
                  <c:v>17</c:v>
                </c:pt>
                <c:pt idx="13">
                  <c:v>18</c:v>
                </c:pt>
                <c:pt idx="14">
                  <c:v>18</c:v>
                </c:pt>
                <c:pt idx="15">
                  <c:v>18</c:v>
                </c:pt>
                <c:pt idx="16">
                  <c:v>20</c:v>
                </c:pt>
                <c:pt idx="17">
                  <c:v>20</c:v>
                </c:pt>
                <c:pt idx="18">
                  <c:v>21</c:v>
                </c:pt>
                <c:pt idx="19">
                  <c:v>23</c:v>
                </c:pt>
                <c:pt idx="20">
                  <c:v>24</c:v>
                </c:pt>
                <c:pt idx="21">
                  <c:v>24</c:v>
                </c:pt>
                <c:pt idx="22">
                  <c:v>24</c:v>
                </c:pt>
                <c:pt idx="23">
                  <c:v>24</c:v>
                </c:pt>
                <c:pt idx="24">
                  <c:v>25</c:v>
                </c:pt>
                <c:pt idx="25">
                  <c:v>25</c:v>
                </c:pt>
                <c:pt idx="26">
                  <c:v>30</c:v>
                </c:pt>
                <c:pt idx="27">
                  <c:v>30</c:v>
                </c:pt>
              </c:numCache>
            </c:numRef>
          </c:val>
        </c:ser>
        <c:dLbls>
          <c:showLegendKey val="0"/>
          <c:showVal val="0"/>
          <c:showCatName val="0"/>
          <c:showSerName val="0"/>
          <c:showPercent val="0"/>
          <c:showBubbleSize val="0"/>
        </c:dLbls>
        <c:gapWidth val="75"/>
        <c:overlap val="-25"/>
        <c:axId val="249538816"/>
        <c:axId val="249631104"/>
      </c:barChart>
      <c:catAx>
        <c:axId val="24953881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bg-BG" sz="900"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249631104"/>
        <c:crosses val="autoZero"/>
        <c:auto val="1"/>
        <c:lblAlgn val="ctr"/>
        <c:lblOffset val="100"/>
        <c:noMultiLvlLbl val="0"/>
      </c:catAx>
      <c:valAx>
        <c:axId val="249631104"/>
        <c:scaling>
          <c:orientation val="minMax"/>
        </c:scaling>
        <c:delete val="1"/>
        <c:axPos val="l"/>
        <c:majorGridlines>
          <c:spPr>
            <a:ln>
              <a:solidFill>
                <a:srgbClr val="D9D9D9"/>
              </a:solidFill>
            </a:ln>
          </c:spPr>
        </c:majorGridlines>
        <c:numFmt formatCode="General" sourceLinked="1"/>
        <c:majorTickMark val="none"/>
        <c:minorTickMark val="none"/>
        <c:tickLblPos val="none"/>
        <c:crossAx val="249538816"/>
        <c:crosses val="autoZero"/>
        <c:crossBetween val="between"/>
      </c:valAx>
      <c:spPr>
        <a:solidFill>
          <a:schemeClr val="bg1"/>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bg-BG" sz="1200" b="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bg-BG" sz="1100" b="0">
                <a:solidFill>
                  <a:srgbClr val="002060"/>
                </a:solidFill>
                <a:latin typeface="Arial" panose="020B0604020202020204" pitchFamily="34" charset="0"/>
                <a:ea typeface="Verdana" panose="020B0604030504040204" pitchFamily="34" charset="0"/>
                <a:cs typeface="Arial" panose="020B0604020202020204" pitchFamily="34" charset="0"/>
              </a:rPr>
              <a:t>Нови призводства за ненавременно транспониране</a:t>
            </a:r>
            <a:endParaRPr lang="en-US" sz="1100" b="0">
              <a:solidFill>
                <a:srgbClr val="002060"/>
              </a:solidFill>
              <a:latin typeface="Arial" panose="020B0604020202020204" pitchFamily="34" charset="0"/>
              <a:ea typeface="Verdana" panose="020B0604030504040204" pitchFamily="34" charset="0"/>
              <a:cs typeface="Arial" panose="020B0604020202020204" pitchFamily="34" charset="0"/>
            </a:endParaRPr>
          </a:p>
        </c:rich>
      </c:tx>
      <c:overlay val="1"/>
    </c:title>
    <c:autoTitleDeleted val="0"/>
    <c:plotArea>
      <c:layout>
        <c:manualLayout>
          <c:layoutTarget val="inner"/>
          <c:xMode val="edge"/>
          <c:yMode val="edge"/>
          <c:x val="5.6932961504812023E-2"/>
          <c:y val="0.11073490813648312"/>
          <c:w val="0.91760407553222512"/>
          <c:h val="0.80730689913760756"/>
        </c:manualLayout>
      </c:layout>
      <c:barChart>
        <c:barDir val="col"/>
        <c:grouping val="clustered"/>
        <c:varyColors val="0"/>
        <c:ser>
          <c:idx val="0"/>
          <c:order val="0"/>
          <c:tx>
            <c:strRef>
              <c:f>Blad1!$B$2</c:f>
              <c:strCache>
                <c:ptCount val="1"/>
                <c:pt idx="0">
                  <c:v>Number of late infringement cases</c:v>
                </c:pt>
              </c:strCache>
            </c:strRef>
          </c:tx>
          <c:spPr>
            <a:solidFill>
              <a:schemeClr val="accent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401">
                <a:noFill/>
              </a:ln>
            </c:spPr>
            <c:txPr>
              <a:bodyPr rot="0" spcFirstLastPara="1" vertOverflow="ellipsis" vert="horz" wrap="square" lIns="38100" tIns="19050" rIns="38100" bIns="19050" anchor="ctr" anchorCtr="1">
                <a:spAutoFit/>
              </a:bodyPr>
              <a:lstStyle/>
              <a:p>
                <a:pPr>
                  <a:defRPr lang="bg-BG" sz="900" b="0" i="0" u="none" strike="noStrike" kern="1200" baseline="0">
                    <a:solidFill>
                      <a:schemeClr val="tx1">
                        <a:lumMod val="75000"/>
                        <a:lumOff val="25000"/>
                      </a:schemeClr>
                    </a:solidFill>
                    <a:latin typeface="Verdana" panose="020B0604030504040204" pitchFamily="34" charset="0"/>
                    <a:ea typeface="+mn-ea"/>
                    <a:cs typeface="+mn-cs"/>
                  </a:defRPr>
                </a:pPr>
                <a:endParaRPr lang="en-US"/>
              </a:p>
            </c:txPr>
            <c:dLblPos val="outEnd"/>
            <c:showLegendKey val="0"/>
            <c:showVal val="1"/>
            <c:showCatName val="0"/>
            <c:showSerName val="0"/>
            <c:showPercent val="0"/>
            <c:showBubbleSize val="0"/>
            <c:showLeaderLines val="0"/>
          </c:dLbls>
          <c:cat>
            <c:strRef>
              <c:f>Blad1!$A$3:$A$30</c:f>
              <c:strCache>
                <c:ptCount val="28"/>
                <c:pt idx="0">
                  <c:v>HR</c:v>
                </c:pt>
                <c:pt idx="1">
                  <c:v>NL</c:v>
                </c:pt>
                <c:pt idx="2">
                  <c:v>AT</c:v>
                </c:pt>
                <c:pt idx="3">
                  <c:v>DK</c:v>
                </c:pt>
                <c:pt idx="4">
                  <c:v>EE</c:v>
                </c:pt>
                <c:pt idx="5">
                  <c:v>IE</c:v>
                </c:pt>
                <c:pt idx="6">
                  <c:v>SK</c:v>
                </c:pt>
                <c:pt idx="7">
                  <c:v>ES</c:v>
                </c:pt>
                <c:pt idx="8">
                  <c:v>LT</c:v>
                </c:pt>
                <c:pt idx="9">
                  <c:v>LV</c:v>
                </c:pt>
                <c:pt idx="10">
                  <c:v>UK</c:v>
                </c:pt>
                <c:pt idx="11">
                  <c:v>CZ</c:v>
                </c:pt>
                <c:pt idx="12">
                  <c:v>HU</c:v>
                </c:pt>
                <c:pt idx="13">
                  <c:v>FI</c:v>
                </c:pt>
                <c:pt idx="14">
                  <c:v>IT</c:v>
                </c:pt>
                <c:pt idx="15">
                  <c:v>PT</c:v>
                </c:pt>
                <c:pt idx="16">
                  <c:v>BG</c:v>
                </c:pt>
                <c:pt idx="17">
                  <c:v>MT</c:v>
                </c:pt>
                <c:pt idx="18">
                  <c:v>DE</c:v>
                </c:pt>
                <c:pt idx="19">
                  <c:v>FR</c:v>
                </c:pt>
                <c:pt idx="20">
                  <c:v>LU</c:v>
                </c:pt>
                <c:pt idx="21">
                  <c:v>PL</c:v>
                </c:pt>
                <c:pt idx="22">
                  <c:v>RO</c:v>
                </c:pt>
                <c:pt idx="23">
                  <c:v>SE</c:v>
                </c:pt>
                <c:pt idx="24">
                  <c:v>BE</c:v>
                </c:pt>
                <c:pt idx="25">
                  <c:v>SI</c:v>
                </c:pt>
                <c:pt idx="26">
                  <c:v>EL</c:v>
                </c:pt>
                <c:pt idx="27">
                  <c:v>CY</c:v>
                </c:pt>
              </c:strCache>
            </c:strRef>
          </c:cat>
          <c:val>
            <c:numRef>
              <c:f>Blad1!$B$3:$B$30</c:f>
              <c:numCache>
                <c:formatCode>General</c:formatCode>
                <c:ptCount val="28"/>
                <c:pt idx="0">
                  <c:v>6</c:v>
                </c:pt>
                <c:pt idx="1">
                  <c:v>11</c:v>
                </c:pt>
                <c:pt idx="2">
                  <c:v>14</c:v>
                </c:pt>
                <c:pt idx="3">
                  <c:v>15</c:v>
                </c:pt>
                <c:pt idx="4">
                  <c:v>15</c:v>
                </c:pt>
                <c:pt idx="5">
                  <c:v>15</c:v>
                </c:pt>
                <c:pt idx="6">
                  <c:v>15</c:v>
                </c:pt>
                <c:pt idx="7">
                  <c:v>16</c:v>
                </c:pt>
                <c:pt idx="8">
                  <c:v>16</c:v>
                </c:pt>
                <c:pt idx="9">
                  <c:v>16</c:v>
                </c:pt>
                <c:pt idx="10">
                  <c:v>16</c:v>
                </c:pt>
                <c:pt idx="11">
                  <c:v>17</c:v>
                </c:pt>
                <c:pt idx="12">
                  <c:v>17</c:v>
                </c:pt>
                <c:pt idx="13">
                  <c:v>18</c:v>
                </c:pt>
                <c:pt idx="14">
                  <c:v>18</c:v>
                </c:pt>
                <c:pt idx="15">
                  <c:v>18</c:v>
                </c:pt>
                <c:pt idx="16">
                  <c:v>20</c:v>
                </c:pt>
                <c:pt idx="17">
                  <c:v>20</c:v>
                </c:pt>
                <c:pt idx="18">
                  <c:v>22</c:v>
                </c:pt>
                <c:pt idx="19">
                  <c:v>22</c:v>
                </c:pt>
                <c:pt idx="20">
                  <c:v>22</c:v>
                </c:pt>
                <c:pt idx="21">
                  <c:v>22</c:v>
                </c:pt>
                <c:pt idx="22">
                  <c:v>22</c:v>
                </c:pt>
                <c:pt idx="23">
                  <c:v>23</c:v>
                </c:pt>
                <c:pt idx="24">
                  <c:v>28</c:v>
                </c:pt>
                <c:pt idx="25">
                  <c:v>29</c:v>
                </c:pt>
                <c:pt idx="26">
                  <c:v>32</c:v>
                </c:pt>
                <c:pt idx="27">
                  <c:v>38</c:v>
                </c:pt>
              </c:numCache>
            </c:numRef>
          </c:val>
        </c:ser>
        <c:dLbls>
          <c:showLegendKey val="0"/>
          <c:showVal val="0"/>
          <c:showCatName val="0"/>
          <c:showSerName val="0"/>
          <c:showPercent val="0"/>
          <c:showBubbleSize val="0"/>
        </c:dLbls>
        <c:gapWidth val="100"/>
        <c:overlap val="-24"/>
        <c:axId val="249779328"/>
        <c:axId val="249780864"/>
      </c:barChart>
      <c:catAx>
        <c:axId val="249779328"/>
        <c:scaling>
          <c:orientation val="minMax"/>
        </c:scaling>
        <c:delete val="0"/>
        <c:axPos val="b"/>
        <c:numFmt formatCode="General" sourceLinked="1"/>
        <c:majorTickMark val="none"/>
        <c:minorTickMark val="none"/>
        <c:tickLblPos val="nextTo"/>
        <c:spPr>
          <a:noFill/>
          <a:ln w="12701" cap="flat" cmpd="sng" algn="ctr">
            <a:solidFill>
              <a:schemeClr val="tx1">
                <a:lumMod val="15000"/>
                <a:lumOff val="85000"/>
              </a:schemeClr>
            </a:solidFill>
            <a:round/>
          </a:ln>
          <a:effectLst/>
        </c:spPr>
        <c:txPr>
          <a:bodyPr rot="-60000000" spcFirstLastPara="1" vertOverflow="ellipsis" vert="horz" wrap="square" anchor="ctr" anchorCtr="1"/>
          <a:lstStyle/>
          <a:p>
            <a:pPr>
              <a:defRPr lang="bg-BG" sz="900"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249780864"/>
        <c:crosses val="autoZero"/>
        <c:auto val="1"/>
        <c:lblAlgn val="ctr"/>
        <c:lblOffset val="100"/>
        <c:noMultiLvlLbl val="0"/>
      </c:catAx>
      <c:valAx>
        <c:axId val="249780864"/>
        <c:scaling>
          <c:orientation val="minMax"/>
        </c:scaling>
        <c:delete val="1"/>
        <c:axPos val="l"/>
        <c:majorGridlines>
          <c:spPr>
            <a:ln w="9526" cap="flat" cmpd="sng" algn="ctr">
              <a:solidFill>
                <a:schemeClr val="tx1">
                  <a:lumMod val="15000"/>
                  <a:lumOff val="85000"/>
                </a:schemeClr>
              </a:solidFill>
              <a:round/>
            </a:ln>
            <a:effectLst/>
          </c:spPr>
        </c:majorGridlines>
        <c:numFmt formatCode="General" sourceLinked="1"/>
        <c:majorTickMark val="none"/>
        <c:minorTickMark val="none"/>
        <c:tickLblPos val="none"/>
        <c:crossAx val="249779328"/>
        <c:crosses val="autoZero"/>
        <c:crossBetween val="between"/>
      </c:valAx>
      <c:spPr>
        <a:noFill/>
        <a:ln w="25401">
          <a:noFill/>
        </a:ln>
      </c:spPr>
    </c:plotArea>
    <c:plotVisOnly val="1"/>
    <c:dispBlanksAs val="gap"/>
    <c:showDLblsOverMax val="0"/>
  </c:chart>
  <c:spPr>
    <a:solidFill>
      <a:schemeClr val="bg1"/>
    </a:solidFill>
    <a:ln w="9526"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lang="bg-BG" sz="1100" b="0" i="0" u="none" strike="noStrike" kern="1200" baseline="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bg-BG" sz="1100" b="0">
                <a:solidFill>
                  <a:srgbClr val="002060"/>
                </a:solidFill>
                <a:effectLst/>
                <a:latin typeface="Arial" panose="020B0604020202020204" pitchFamily="34" charset="0"/>
                <a:ea typeface="Verdana" panose="020B0604030504040204" pitchFamily="34" charset="0"/>
                <a:cs typeface="Arial" panose="020B0604020202020204" pitchFamily="34" charset="0"/>
              </a:rPr>
              <a:t>Образувани нови производства за ненавременно транспониране през</a:t>
            </a:r>
            <a:r>
              <a:rPr lang="bg-BG" sz="1100" b="0" baseline="0">
                <a:solidFill>
                  <a:srgbClr val="002060"/>
                </a:solidFill>
                <a:effectLst/>
                <a:latin typeface="Arial" panose="020B0604020202020204" pitchFamily="34" charset="0"/>
                <a:ea typeface="Verdana" panose="020B0604030504040204" pitchFamily="34" charset="0"/>
                <a:cs typeface="Arial" panose="020B0604020202020204" pitchFamily="34" charset="0"/>
              </a:rPr>
              <a:t> </a:t>
            </a:r>
            <a:r>
              <a:rPr lang="en-US" sz="1100" b="0">
                <a:solidFill>
                  <a:srgbClr val="002060"/>
                </a:solidFill>
                <a:effectLst/>
                <a:latin typeface="Arial" panose="020B0604020202020204" pitchFamily="34" charset="0"/>
                <a:ea typeface="Verdana" panose="020B0604030504040204" pitchFamily="34" charset="0"/>
                <a:cs typeface="Arial" panose="020B0604020202020204" pitchFamily="34" charset="0"/>
              </a:rPr>
              <a:t>2015</a:t>
            </a:r>
            <a:r>
              <a:rPr lang="bg-BG" sz="1100" b="0">
                <a:solidFill>
                  <a:srgbClr val="002060"/>
                </a:solidFill>
                <a:effectLst/>
                <a:latin typeface="Arial" panose="020B0604020202020204" pitchFamily="34" charset="0"/>
                <a:ea typeface="Verdana" panose="020B0604030504040204" pitchFamily="34" charset="0"/>
                <a:cs typeface="Arial" panose="020B0604020202020204" pitchFamily="34" charset="0"/>
              </a:rPr>
              <a:t> г.</a:t>
            </a:r>
            <a:r>
              <a:rPr lang="en-US" sz="1100" b="0">
                <a:solidFill>
                  <a:srgbClr val="002060"/>
                </a:solidFill>
                <a:effectLst/>
                <a:latin typeface="Arial" panose="020B0604020202020204" pitchFamily="34" charset="0"/>
                <a:ea typeface="Verdana" panose="020B0604030504040204" pitchFamily="34" charset="0"/>
                <a:cs typeface="Arial" panose="020B0604020202020204" pitchFamily="34" charset="0"/>
              </a:rPr>
              <a:t>: </a:t>
            </a:r>
            <a:r>
              <a:rPr lang="bg-BG" sz="1100" b="0">
                <a:solidFill>
                  <a:srgbClr val="002060"/>
                </a:solidFill>
                <a:effectLst/>
                <a:latin typeface="Arial" panose="020B0604020202020204" pitchFamily="34" charset="0"/>
                <a:ea typeface="Verdana" panose="020B0604030504040204" pitchFamily="34" charset="0"/>
                <a:cs typeface="Arial" panose="020B0604020202020204" pitchFamily="34" charset="0"/>
              </a:rPr>
              <a:t>основни</a:t>
            </a:r>
            <a:r>
              <a:rPr lang="bg-BG" sz="1100" b="0" baseline="0">
                <a:solidFill>
                  <a:srgbClr val="002060"/>
                </a:solidFill>
                <a:effectLst/>
                <a:latin typeface="Arial" panose="020B0604020202020204" pitchFamily="34" charset="0"/>
                <a:ea typeface="Verdana" panose="020B0604030504040204" pitchFamily="34" charset="0"/>
                <a:cs typeface="Arial" panose="020B0604020202020204" pitchFamily="34" charset="0"/>
              </a:rPr>
              <a:t> области на политиката</a:t>
            </a:r>
            <a:endParaRPr lang="en-GB" sz="1100" b="0">
              <a:solidFill>
                <a:srgbClr val="002060"/>
              </a:solidFill>
              <a:effectLst/>
              <a:latin typeface="Arial" panose="020B0604020202020204" pitchFamily="34" charset="0"/>
              <a:ea typeface="Verdana" panose="020B0604030504040204" pitchFamily="34" charset="0"/>
              <a:cs typeface="Arial" panose="020B0604020202020204" pitchFamily="34" charset="0"/>
            </a:endParaRPr>
          </a:p>
        </c:rich>
      </c:tx>
      <c:layout>
        <c:manualLayout>
          <c:xMode val="edge"/>
          <c:yMode val="edge"/>
          <c:x val="0.12437183409398667"/>
          <c:y val="2.7993623419893761E-2"/>
        </c:manualLayout>
      </c:layout>
      <c:overlay val="0"/>
      <c:spPr>
        <a:noFill/>
        <a:ln w="25390">
          <a:noFill/>
        </a:ln>
      </c:spPr>
    </c:title>
    <c:autoTitleDeleted val="0"/>
    <c:plotArea>
      <c:layout/>
      <c:pieChart>
        <c:varyColors val="1"/>
        <c:ser>
          <c:idx val="0"/>
          <c:order val="0"/>
          <c:tx>
            <c:strRef>
              <c:f>Blad1!$B$1</c:f>
              <c:strCache>
                <c:ptCount val="1"/>
                <c:pt idx="0">
                  <c:v>543 late transposition cases in 2015</c:v>
                </c:pt>
              </c:strCache>
            </c:strRef>
          </c:tx>
          <c:spPr>
            <a:ln>
              <a:noFill/>
            </a:ln>
            <a:effectLst/>
            <a:scene3d>
              <a:camera prst="orthographicFront"/>
              <a:lightRig rig="threePt" dir="t"/>
            </a:scene3d>
            <a:sp3d>
              <a:bevelT w="63500" h="25400"/>
            </a:sp3d>
          </c:spPr>
          <c:dPt>
            <c:idx val="0"/>
            <c:bubble3D val="0"/>
            <c:spPr>
              <a:solidFill>
                <a:srgbClr val="FF7DFF"/>
              </a:solidFill>
              <a:ln>
                <a:noFill/>
              </a:ln>
              <a:effectLst/>
              <a:scene3d>
                <a:camera prst="orthographicFront"/>
                <a:lightRig rig="threePt" dir="t"/>
              </a:scene3d>
              <a:sp3d>
                <a:bevelT w="63500" h="25400"/>
              </a:sp3d>
            </c:spPr>
          </c:dPt>
          <c:dPt>
            <c:idx val="1"/>
            <c:bubble3D val="0"/>
            <c:spPr>
              <a:solidFill>
                <a:srgbClr val="00A676"/>
              </a:solidFill>
              <a:ln>
                <a:noFill/>
              </a:ln>
              <a:effectLst/>
              <a:scene3d>
                <a:camera prst="orthographicFront"/>
                <a:lightRig rig="threePt" dir="t"/>
              </a:scene3d>
              <a:sp3d>
                <a:bevelT w="63500" h="25400"/>
              </a:sp3d>
            </c:spPr>
          </c:dPt>
          <c:dPt>
            <c:idx val="2"/>
            <c:bubble3D val="0"/>
            <c:spPr>
              <a:solidFill>
                <a:srgbClr val="FF9900"/>
              </a:solidFill>
              <a:ln>
                <a:noFill/>
              </a:ln>
              <a:effectLst/>
              <a:scene3d>
                <a:camera prst="orthographicFront"/>
                <a:lightRig rig="threePt" dir="t"/>
              </a:scene3d>
              <a:sp3d>
                <a:bevelT w="63500" h="25400"/>
              </a:sp3d>
            </c:spPr>
          </c:dPt>
          <c:dPt>
            <c:idx val="3"/>
            <c:bubble3D val="0"/>
            <c:spPr>
              <a:solidFill>
                <a:srgbClr val="7030A0"/>
              </a:solidFill>
              <a:ln>
                <a:noFill/>
              </a:ln>
              <a:effectLst/>
              <a:scene3d>
                <a:camera prst="orthographicFront"/>
                <a:lightRig rig="threePt" dir="t"/>
              </a:scene3d>
              <a:sp3d>
                <a:bevelT w="63500" h="25400"/>
              </a:sp3d>
            </c:spPr>
          </c:dPt>
          <c:dPt>
            <c:idx val="4"/>
            <c:bubble3D val="0"/>
            <c:spPr>
              <a:solidFill>
                <a:srgbClr val="808AA4"/>
              </a:solidFill>
              <a:ln>
                <a:noFill/>
              </a:ln>
              <a:effectLst/>
              <a:scene3d>
                <a:camera prst="orthographicFront"/>
                <a:lightRig rig="threePt" dir="t"/>
              </a:scene3d>
              <a:sp3d>
                <a:bevelT w="63500" h="25400"/>
              </a:sp3d>
            </c:spPr>
          </c:dPt>
          <c:dLbls>
            <c:dLbl>
              <c:idx val="0"/>
              <c:layout>
                <c:manualLayout>
                  <c:x val="8.0016968420348767E-3"/>
                  <c:y val="0.17842251606910181"/>
                </c:manualLayout>
              </c:layout>
              <c:tx>
                <c:rich>
                  <a:bodyPr/>
                  <a:lstStyle/>
                  <a:p>
                    <a:r>
                      <a:rPr lang="bg-BG"/>
                      <a:t>Финансова стабилност</a:t>
                    </a:r>
                    <a:r>
                      <a:rPr lang="en-US"/>
                      <a:t>, </a:t>
                    </a:r>
                    <a:r>
                      <a:rPr lang="bg-BG"/>
                      <a:t>финансови</a:t>
                    </a:r>
                    <a:r>
                      <a:rPr lang="bg-BG" baseline="0"/>
                      <a:t> услуги и съюз на капиталовите пазари</a:t>
                    </a:r>
                    <a:r>
                      <a:rPr lang="en-US"/>
                      <a:t>
125</a:t>
                    </a:r>
                  </a:p>
                </c:rich>
              </c:tx>
              <c:dLblPos val="bestFit"/>
              <c:showLegendKey val="1"/>
              <c:showVal val="1"/>
              <c:showCatName val="1"/>
              <c:showSerName val="0"/>
              <c:showPercent val="0"/>
              <c:showBubbleSize val="0"/>
              <c:separator>
</c:separator>
            </c:dLbl>
            <c:dLbl>
              <c:idx val="1"/>
              <c:layout>
                <c:manualLayout>
                  <c:x val="-1.0317510072387449E-2"/>
                  <c:y val="-5.5906446967288324E-2"/>
                </c:manualLayout>
              </c:layout>
              <c:tx>
                <c:rich>
                  <a:bodyPr/>
                  <a:lstStyle/>
                  <a:p>
                    <a:r>
                      <a:rPr lang="bg-BG"/>
                      <a:t>Околна среда</a:t>
                    </a:r>
                    <a:r>
                      <a:rPr lang="en-US"/>
                      <a:t>
88</a:t>
                    </a:r>
                  </a:p>
                </c:rich>
              </c:tx>
              <c:dLblPos val="bestFit"/>
              <c:showLegendKey val="1"/>
              <c:showVal val="1"/>
              <c:showCatName val="1"/>
              <c:showSerName val="0"/>
              <c:showPercent val="0"/>
              <c:showBubbleSize val="0"/>
              <c:separator>
</c:separator>
            </c:dLbl>
            <c:dLbl>
              <c:idx val="2"/>
              <c:layout>
                <c:manualLayout>
                  <c:x val="0.12590003677884221"/>
                  <c:y val="0"/>
                </c:manualLayout>
              </c:layout>
              <c:tx>
                <c:rich>
                  <a:bodyPr/>
                  <a:lstStyle/>
                  <a:p>
                    <a:r>
                      <a:rPr lang="bg-BG"/>
                      <a:t>Мобилност и транспорт</a:t>
                    </a:r>
                    <a:r>
                      <a:rPr lang="en-US"/>
                      <a:t>
94</a:t>
                    </a:r>
                  </a:p>
                </c:rich>
              </c:tx>
              <c:dLblPos val="bestFit"/>
              <c:showLegendKey val="1"/>
              <c:showVal val="1"/>
              <c:showCatName val="1"/>
              <c:showSerName val="0"/>
              <c:showPercent val="0"/>
              <c:showBubbleSize val="0"/>
              <c:separator>
</c:separator>
            </c:dLbl>
            <c:dLbl>
              <c:idx val="3"/>
              <c:layout>
                <c:manualLayout>
                  <c:x val="-2.6539278131634892E-3"/>
                  <c:y val="0"/>
                </c:manualLayout>
              </c:layout>
              <c:tx>
                <c:rich>
                  <a:bodyPr/>
                  <a:lstStyle/>
                  <a:p>
                    <a:r>
                      <a:rPr lang="bg-BG"/>
                      <a:t>Вътрешен пазар</a:t>
                    </a:r>
                    <a:r>
                      <a:rPr lang="en-US"/>
                      <a:t>,</a:t>
                    </a:r>
                    <a:r>
                      <a:rPr lang="bg-BG"/>
                      <a:t> промишленост,</a:t>
                    </a:r>
                    <a:r>
                      <a:rPr lang="bg-BG" baseline="0"/>
                      <a:t> предприемачество и МСП</a:t>
                    </a:r>
                    <a:r>
                      <a:rPr lang="en-US"/>
                      <a:t>
56</a:t>
                    </a:r>
                  </a:p>
                </c:rich>
              </c:tx>
              <c:dLblPos val="bestFit"/>
              <c:showLegendKey val="1"/>
              <c:showVal val="1"/>
              <c:showCatName val="1"/>
              <c:showSerName val="0"/>
              <c:showPercent val="0"/>
              <c:showBubbleSize val="0"/>
              <c:separator>
</c:separator>
            </c:dLbl>
            <c:dLbl>
              <c:idx val="4"/>
              <c:tx>
                <c:rich>
                  <a:bodyPr/>
                  <a:lstStyle/>
                  <a:p>
                    <a:r>
                      <a:rPr lang="bg-BG"/>
                      <a:t>Други</a:t>
                    </a:r>
                    <a:r>
                      <a:rPr lang="en-US"/>
                      <a:t>
180</a:t>
                    </a:r>
                  </a:p>
                </c:rich>
              </c:tx>
              <c:dLblPos val="outEnd"/>
              <c:showLegendKey val="1"/>
              <c:showVal val="1"/>
              <c:showCatName val="1"/>
              <c:showSerName val="0"/>
              <c:showPercent val="0"/>
              <c:showBubbleSize val="0"/>
              <c:separator>
</c:separator>
            </c:dLbl>
            <c:spPr>
              <a:noFill/>
              <a:ln w="25390">
                <a:noFill/>
              </a:ln>
            </c:spPr>
            <c:txPr>
              <a:bodyPr rot="0" spcFirstLastPara="1" vertOverflow="ellipsis" vert="horz" wrap="square" lIns="38100" tIns="19050" rIns="38100" bIns="19050" anchor="ctr" anchorCtr="1">
                <a:spAutoFit/>
              </a:bodyPr>
              <a:lstStyle/>
              <a:p>
                <a:pPr>
                  <a:defRPr lang="bg-BG" sz="900" b="0" i="0" u="none" strike="noStrike" kern="1200" baseline="0">
                    <a:solidFill>
                      <a:sysClr val="windowText" lastClr="000000"/>
                    </a:solidFill>
                    <a:latin typeface="Arial" panose="020B0604020202020204" pitchFamily="34" charset="0"/>
                    <a:ea typeface="Verdana" panose="020B0604030504040204" pitchFamily="34" charset="0"/>
                    <a:cs typeface="Arial" panose="020B0604020202020204" pitchFamily="34" charset="0"/>
                  </a:defRPr>
                </a:pPr>
                <a:endParaRPr lang="en-US"/>
              </a:p>
            </c:txPr>
            <c:dLblPos val="outEnd"/>
            <c:showLegendKey val="1"/>
            <c:showVal val="1"/>
            <c:showCatName val="1"/>
            <c:showSerName val="0"/>
            <c:showPercent val="0"/>
            <c:showBubbleSize val="0"/>
            <c:separator>
</c:separator>
            <c:showLeaderLines val="0"/>
          </c:dLbls>
          <c:cat>
            <c:strRef>
              <c:f>Blad1!$A$4:$A$8</c:f>
              <c:strCache>
                <c:ptCount val="5"/>
                <c:pt idx="0">
                  <c:v>Financial stability, financial services and capital markets union</c:v>
                </c:pt>
                <c:pt idx="1">
                  <c:v>Environment</c:v>
                </c:pt>
                <c:pt idx="2">
                  <c:v>Mobility and transport</c:v>
                </c:pt>
                <c:pt idx="3">
                  <c:v>Internal market, industry, entrepreneurship and SMEs</c:v>
                </c:pt>
                <c:pt idx="4">
                  <c:v>Other</c:v>
                </c:pt>
              </c:strCache>
            </c:strRef>
          </c:cat>
          <c:val>
            <c:numRef>
              <c:f>Blad1!$B$4:$B$8</c:f>
              <c:numCache>
                <c:formatCode>General</c:formatCode>
                <c:ptCount val="5"/>
                <c:pt idx="0">
                  <c:v>125</c:v>
                </c:pt>
                <c:pt idx="1">
                  <c:v>88</c:v>
                </c:pt>
                <c:pt idx="2">
                  <c:v>94</c:v>
                </c:pt>
                <c:pt idx="3">
                  <c:v>56</c:v>
                </c:pt>
                <c:pt idx="4">
                  <c:v>180</c:v>
                </c:pt>
              </c:numCache>
            </c:numRef>
          </c:val>
        </c:ser>
        <c:dLbls>
          <c:showLegendKey val="0"/>
          <c:showVal val="0"/>
          <c:showCatName val="0"/>
          <c:showSerName val="0"/>
          <c:showPercent val="0"/>
          <c:showBubbleSize val="0"/>
          <c:showLeaderLines val="0"/>
        </c:dLbls>
        <c:firstSliceAng val="0"/>
      </c:pieChart>
      <c:spPr>
        <a:noFill/>
        <a:ln w="25390">
          <a:noFill/>
        </a:ln>
      </c:spPr>
    </c:plotArea>
    <c:plotVisOnly val="1"/>
    <c:dispBlanksAs val="zero"/>
    <c:showDLblsOverMax val="0"/>
  </c:chart>
  <c:spPr>
    <a:solidFill>
      <a:schemeClr val="bg1"/>
    </a:solidFill>
    <a:ln w="9521"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bg-BG" sz="1100" b="0" i="0" u="none" strike="noStrike" kern="1200" baseline="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bg-BG" sz="1100" b="0" i="0" baseline="0">
                <a:solidFill>
                  <a:srgbClr val="002060"/>
                </a:solidFill>
                <a:latin typeface="Arial" panose="020B0604020202020204" pitchFamily="34" charset="0"/>
                <a:cs typeface="Arial" panose="020B0604020202020204" pitchFamily="34" charset="0"/>
              </a:rPr>
              <a:t>Нови жалби, регистрирани през </a:t>
            </a:r>
            <a:r>
              <a:rPr lang="en-GB" sz="1100" b="0" i="0" baseline="0">
                <a:solidFill>
                  <a:srgbClr val="002060"/>
                </a:solidFill>
                <a:latin typeface="Arial" panose="020B0604020202020204" pitchFamily="34" charset="0"/>
                <a:cs typeface="Arial" panose="020B0604020202020204" pitchFamily="34" charset="0"/>
              </a:rPr>
              <a:t>2015</a:t>
            </a:r>
            <a:r>
              <a:rPr lang="bg-BG" sz="1100" b="0" i="0" baseline="0">
                <a:solidFill>
                  <a:srgbClr val="002060"/>
                </a:solidFill>
                <a:latin typeface="Arial" panose="020B0604020202020204" pitchFamily="34" charset="0"/>
                <a:cs typeface="Arial" panose="020B0604020202020204" pitchFamily="34" charset="0"/>
              </a:rPr>
              <a:t> г.</a:t>
            </a:r>
            <a:r>
              <a:rPr lang="en-GB" sz="1100" b="0" i="0" baseline="0">
                <a:solidFill>
                  <a:srgbClr val="002060"/>
                </a:solidFill>
                <a:latin typeface="Arial" panose="020B0604020202020204" pitchFamily="34" charset="0"/>
                <a:cs typeface="Arial" panose="020B0604020202020204" pitchFamily="34" charset="0"/>
              </a:rPr>
              <a:t>: </a:t>
            </a:r>
            <a:r>
              <a:rPr lang="bg-BG" sz="1100" b="0" i="0" baseline="0">
                <a:solidFill>
                  <a:srgbClr val="002060"/>
                </a:solidFill>
                <a:latin typeface="Arial" panose="020B0604020202020204" pitchFamily="34" charset="0"/>
                <a:cs typeface="Arial" panose="020B0604020202020204" pitchFamily="34" charset="0"/>
              </a:rPr>
              <a:t>основни области на политиката</a:t>
            </a:r>
            <a:endParaRPr lang="en-GB" sz="1100" b="0" i="0">
              <a:solidFill>
                <a:srgbClr val="002060"/>
              </a:solidFill>
              <a:latin typeface="Arial" panose="020B0604020202020204" pitchFamily="34" charset="0"/>
              <a:cs typeface="Arial" panose="020B0604020202020204" pitchFamily="34" charset="0"/>
            </a:endParaRPr>
          </a:p>
        </c:rich>
      </c:tx>
      <c:overlay val="0"/>
      <c:spPr>
        <a:noFill/>
        <a:ln>
          <a:noFill/>
        </a:ln>
        <a:effectLst/>
      </c:spPr>
    </c:title>
    <c:autoTitleDeleted val="0"/>
    <c:plotArea>
      <c:layout/>
      <c:pieChart>
        <c:varyColors val="1"/>
        <c:ser>
          <c:idx val="0"/>
          <c:order val="0"/>
          <c:tx>
            <c:strRef>
              <c:f>Blad1!$B$1</c:f>
              <c:strCache>
                <c:ptCount val="1"/>
                <c:pt idx="0">
                  <c:v>3715 complaints in 2014</c:v>
                </c:pt>
              </c:strCache>
            </c:strRef>
          </c:tx>
          <c:spPr>
            <a:solidFill>
              <a:schemeClr val="accent1"/>
            </a:solidFill>
          </c:spPr>
          <c:dPt>
            <c:idx val="0"/>
            <c:bubble3D val="0"/>
            <c:spPr>
              <a:solidFill>
                <a:schemeClr val="accent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solidFill>
                <a:srgbClr val="FFD617"/>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solidFill>
                <a:srgbClr val="000099"/>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solidFill>
                <a:srgbClr val="996633"/>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solidFill>
                <a:srgbClr val="A2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bubble3D val="0"/>
            <c:spPr>
              <a:solidFill>
                <a:srgbClr val="00A676"/>
              </a:solidFill>
              <a:scene3d>
                <a:camera prst="orthographicFront"/>
                <a:lightRig rig="threePt" dir="t"/>
              </a:scene3d>
              <a:sp3d>
                <a:bevelT w="63500" h="25400"/>
              </a:sp3d>
            </c:spPr>
          </c:dPt>
          <c:dPt>
            <c:idx val="6"/>
            <c:bubble3D val="0"/>
            <c:spPr>
              <a:solidFill>
                <a:srgbClr val="808AA4"/>
              </a:solidFill>
              <a:scene3d>
                <a:camera prst="orthographicFront"/>
                <a:lightRig rig="threePt" dir="t"/>
              </a:scene3d>
              <a:sp3d>
                <a:bevelT w="63500" h="25400"/>
              </a:sp3d>
            </c:spPr>
          </c:dPt>
          <c:dLbls>
            <c:dLbl>
              <c:idx val="0"/>
              <c:delete val="1"/>
              <c:extLst>
                <c:ext xmlns:c15="http://schemas.microsoft.com/office/drawing/2012/chart" uri="{CE6537A1-D6FC-4f65-9D91-7224C49458BB}"/>
              </c:extLst>
            </c:dLbl>
            <c:dLbl>
              <c:idx val="1"/>
              <c:layout>
                <c:manualLayout>
                  <c:x val="-5.6401450536043424E-3"/>
                  <c:y val="9.6099185645804053E-2"/>
                </c:manualLayout>
              </c:layout>
              <c:tx>
                <c:rich>
                  <a:bodyPr/>
                  <a:lstStyle/>
                  <a:p>
                    <a:r>
                      <a:rPr lang="bg-BG"/>
                      <a:t>Трудова заетост</a:t>
                    </a:r>
                    <a:r>
                      <a:rPr lang="en-US"/>
                      <a:t>, </a:t>
                    </a:r>
                    <a:r>
                      <a:rPr lang="bg-BG"/>
                      <a:t>социални въпроси</a:t>
                    </a:r>
                    <a:r>
                      <a:rPr lang="bg-BG" baseline="0"/>
                      <a:t> и приобщаване</a:t>
                    </a:r>
                    <a:r>
                      <a:rPr lang="en-US"/>
                      <a:t>
612</a:t>
                    </a:r>
                  </a:p>
                </c:rich>
              </c:tx>
              <c:dLblPos val="bestFit"/>
              <c:showLegendKey val="1"/>
              <c:showVal val="1"/>
              <c:showCatName val="1"/>
              <c:showSerName val="0"/>
              <c:showPercent val="0"/>
              <c:showBubbleSize val="0"/>
              <c:separator>
</c:separator>
            </c:dLbl>
            <c:dLbl>
              <c:idx val="2"/>
              <c:layout>
                <c:manualLayout>
                  <c:x val="9.8345263504324727E-3"/>
                  <c:y val="9.0557588743763583E-3"/>
                </c:manualLayout>
              </c:layout>
              <c:tx>
                <c:rich>
                  <a:bodyPr rot="0" spcFirstLastPara="1" vertOverflow="ellipsis" vert="horz" wrap="square" lIns="38100" tIns="19050" rIns="38100" bIns="19050" anchor="ctr" anchorCtr="1">
                    <a:spAutoFit/>
                  </a:bodyPr>
                  <a:lstStyle/>
                  <a:p>
                    <a:pPr>
                      <a:defRPr lang="bg-BG" sz="850" b="0" i="0" u="none" strike="noStrike" kern="1200" baseline="0">
                        <a:solidFill>
                          <a:sysClr val="windowText" lastClr="000000"/>
                        </a:solidFill>
                        <a:latin typeface="Arial" panose="020B0604020202020204" pitchFamily="34" charset="0"/>
                        <a:ea typeface="Verdana" panose="020B0604030504040204" pitchFamily="34" charset="0"/>
                        <a:cs typeface="Arial" panose="020B0604020202020204" pitchFamily="34" charset="0"/>
                      </a:defRPr>
                    </a:pPr>
                    <a:r>
                      <a:rPr lang="bg-BG" sz="900"/>
                      <a:t>Вътрешен пазар</a:t>
                    </a:r>
                    <a:r>
                      <a:rPr lang="en-US" sz="900"/>
                      <a:t>, </a:t>
                    </a:r>
                    <a:r>
                      <a:rPr lang="bg-BG" sz="900"/>
                      <a:t>промишленост</a:t>
                    </a:r>
                    <a:r>
                      <a:rPr lang="en-US" sz="900"/>
                      <a:t>, </a:t>
                    </a:r>
                    <a:r>
                      <a:rPr lang="bg-BG" sz="900"/>
                      <a:t>предприемачество</a:t>
                    </a:r>
                    <a:r>
                      <a:rPr lang="en-US" sz="900"/>
                      <a:t> </a:t>
                    </a:r>
                    <a:r>
                      <a:rPr lang="bg-BG" sz="900"/>
                      <a:t>и</a:t>
                    </a:r>
                    <a:r>
                      <a:rPr lang="bg-BG" sz="900" baseline="0"/>
                      <a:t> МСП</a:t>
                    </a:r>
                    <a:r>
                      <a:rPr lang="en-US" sz="900"/>
                      <a:t>
552</a:t>
                    </a:r>
                  </a:p>
                </c:rich>
              </c:tx>
              <c:spPr>
                <a:noFill/>
                <a:ln>
                  <a:noFill/>
                </a:ln>
                <a:effectLst/>
              </c:spPr>
              <c:dLblPos val="bestFit"/>
              <c:showLegendKey val="1"/>
              <c:showVal val="1"/>
              <c:showCatName val="1"/>
              <c:showSerName val="0"/>
              <c:showPercent val="0"/>
              <c:showBubbleSize val="0"/>
            </c:dLbl>
            <c:dLbl>
              <c:idx val="3"/>
              <c:tx>
                <c:rich>
                  <a:bodyPr/>
                  <a:lstStyle/>
                  <a:p>
                    <a:r>
                      <a:rPr lang="bg-BG"/>
                      <a:t>Правосъдие и потребители</a:t>
                    </a:r>
                    <a:r>
                      <a:rPr lang="en-US"/>
                      <a:t>
524</a:t>
                    </a:r>
                  </a:p>
                </c:rich>
              </c:tx>
              <c:dLblPos val="outEnd"/>
              <c:showLegendKey val="1"/>
              <c:showVal val="1"/>
              <c:showCatName val="1"/>
              <c:showSerName val="0"/>
              <c:showPercent val="0"/>
              <c:showBubbleSize val="0"/>
              <c:separator>
</c:separator>
            </c:dLbl>
            <c:dLbl>
              <c:idx val="4"/>
              <c:tx>
                <c:rich>
                  <a:bodyPr/>
                  <a:lstStyle/>
                  <a:p>
                    <a:r>
                      <a:rPr lang="bg-BG"/>
                      <a:t>Данъчно облагане и митнически съюз</a:t>
                    </a:r>
                    <a:r>
                      <a:rPr lang="en-US"/>
                      <a:t>
423</a:t>
                    </a:r>
                  </a:p>
                </c:rich>
              </c:tx>
              <c:dLblPos val="outEnd"/>
              <c:showLegendKey val="1"/>
              <c:showVal val="1"/>
              <c:showCatName val="1"/>
              <c:showSerName val="0"/>
              <c:showPercent val="0"/>
              <c:showBubbleSize val="0"/>
              <c:separator>
</c:separator>
            </c:dLbl>
            <c:dLbl>
              <c:idx val="5"/>
              <c:layout>
                <c:manualLayout>
                  <c:x val="4.2702696596212076E-3"/>
                  <c:y val="-7.2671967348824813E-3"/>
                </c:manualLayout>
              </c:layout>
              <c:tx>
                <c:rich>
                  <a:bodyPr/>
                  <a:lstStyle/>
                  <a:p>
                    <a:r>
                      <a:rPr lang="bg-BG"/>
                      <a:t>Околна среда</a:t>
                    </a:r>
                    <a:r>
                      <a:rPr lang="en-US"/>
                      <a:t>
363</a:t>
                    </a:r>
                  </a:p>
                </c:rich>
              </c:tx>
              <c:dLblPos val="bestFit"/>
              <c:showLegendKey val="1"/>
              <c:showVal val="1"/>
              <c:showCatName val="1"/>
              <c:showSerName val="0"/>
              <c:showPercent val="0"/>
              <c:showBubbleSize val="0"/>
              <c:separator>
</c:separator>
            </c:dLbl>
            <c:dLbl>
              <c:idx val="6"/>
              <c:tx>
                <c:rich>
                  <a:bodyPr/>
                  <a:lstStyle/>
                  <a:p>
                    <a:r>
                      <a:rPr lang="bg-BG"/>
                      <a:t>Други</a:t>
                    </a:r>
                    <a:r>
                      <a:rPr lang="en-US"/>
                      <a:t>
976</a:t>
                    </a:r>
                  </a:p>
                </c:rich>
              </c:tx>
              <c:dLblPos val="outEnd"/>
              <c:showLegendKey val="1"/>
              <c:showVal val="1"/>
              <c:showCatName val="1"/>
              <c:showSerName val="0"/>
              <c:showPercent val="0"/>
              <c:showBubbleSize val="0"/>
              <c:separator>
</c:separator>
            </c:dLbl>
            <c:spPr>
              <a:noFill/>
              <a:ln>
                <a:noFill/>
              </a:ln>
              <a:effectLst/>
            </c:spPr>
            <c:txPr>
              <a:bodyPr rot="0" spcFirstLastPara="1" vertOverflow="ellipsis" vert="horz" wrap="square" lIns="38100" tIns="19050" rIns="38100" bIns="19050" anchor="ctr" anchorCtr="1">
                <a:spAutoFit/>
              </a:bodyPr>
              <a:lstStyle/>
              <a:p>
                <a:pPr>
                  <a:defRPr lang="bg-BG" sz="900" b="0" i="0" u="none" strike="noStrike" kern="1200" baseline="0">
                    <a:solidFill>
                      <a:sysClr val="windowText" lastClr="000000"/>
                    </a:solidFill>
                    <a:latin typeface="Arial" panose="020B0604020202020204" pitchFamily="34" charset="0"/>
                    <a:ea typeface="Verdana" panose="020B0604030504040204" pitchFamily="34" charset="0"/>
                    <a:cs typeface="Arial" panose="020B0604020202020204" pitchFamily="34" charset="0"/>
                  </a:defRPr>
                </a:pPr>
                <a:endParaRPr lang="en-US"/>
              </a:p>
            </c:txPr>
            <c:dLblPos val="outEnd"/>
            <c:showLegendKey val="1"/>
            <c:showVal val="1"/>
            <c:showCatName val="1"/>
            <c:showSerName val="0"/>
            <c:showPercent val="0"/>
            <c:showBubbleSize val="0"/>
            <c:separator>
</c:separator>
            <c:showLeaderLines val="0"/>
            <c:extLst>
              <c:ext xmlns:c15="http://schemas.microsoft.com/office/drawing/2012/chart" uri="{CE6537A1-D6FC-4f65-9D91-7224C49458BB}">
                <c15:layout/>
              </c:ext>
            </c:extLst>
          </c:dLbls>
          <c:cat>
            <c:strRef>
              <c:f>Blad1!$A$2:$A$8</c:f>
              <c:strCache>
                <c:ptCount val="7"/>
                <c:pt idx="0">
                  <c:v>Sector</c:v>
                </c:pt>
                <c:pt idx="1">
                  <c:v>Employment, social affairs and inclusion</c:v>
                </c:pt>
                <c:pt idx="2">
                  <c:v>Internal market, industry, entrepreneurship and SMEs</c:v>
                </c:pt>
                <c:pt idx="3">
                  <c:v>Justice and consumers</c:v>
                </c:pt>
                <c:pt idx="4">
                  <c:v>Taxation and customs union</c:v>
                </c:pt>
                <c:pt idx="5">
                  <c:v>Environment</c:v>
                </c:pt>
                <c:pt idx="6">
                  <c:v>Other</c:v>
                </c:pt>
              </c:strCache>
            </c:strRef>
          </c:cat>
          <c:val>
            <c:numRef>
              <c:f>Blad1!$B$2:$B$8</c:f>
              <c:numCache>
                <c:formatCode>General</c:formatCode>
                <c:ptCount val="7"/>
                <c:pt idx="0">
                  <c:v>0</c:v>
                </c:pt>
                <c:pt idx="1">
                  <c:v>612</c:v>
                </c:pt>
                <c:pt idx="2">
                  <c:v>552</c:v>
                </c:pt>
                <c:pt idx="3">
                  <c:v>524</c:v>
                </c:pt>
                <c:pt idx="4">
                  <c:v>423</c:v>
                </c:pt>
                <c:pt idx="5">
                  <c:v>363</c:v>
                </c:pt>
                <c:pt idx="6">
                  <c:v>976</c:v>
                </c:pt>
              </c:numCache>
            </c:numRef>
          </c:val>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bg-BG" sz="1100" b="0">
                <a:solidFill>
                  <a:srgbClr val="002060"/>
                </a:solidFill>
                <a:latin typeface="Arial" panose="020B0604020202020204" pitchFamily="34" charset="0"/>
                <a:ea typeface="Verdana" panose="020B0604030504040204" pitchFamily="34" charset="0"/>
                <a:cs typeface="Arial" panose="020B0604020202020204" pitchFamily="34" charset="0"/>
              </a:defRPr>
            </a:pPr>
            <a:r>
              <a:rPr lang="bg-BG" sz="1100" b="0">
                <a:solidFill>
                  <a:srgbClr val="002060"/>
                </a:solidFill>
                <a:latin typeface="Arial" panose="020B0604020202020204" pitchFamily="34" charset="0"/>
                <a:cs typeface="Arial" panose="020B0604020202020204" pitchFamily="34" charset="0"/>
              </a:rPr>
              <a:t>Брой на преписките в </a:t>
            </a:r>
            <a:r>
              <a:rPr lang="en-GB" sz="1100" b="0">
                <a:solidFill>
                  <a:srgbClr val="002060"/>
                </a:solidFill>
                <a:latin typeface="Arial" panose="020B0604020202020204" pitchFamily="34" charset="0"/>
                <a:cs typeface="Arial" panose="020B0604020202020204" pitchFamily="34" charset="0"/>
              </a:rPr>
              <a:t>EU Pilot (2011</a:t>
            </a:r>
            <a:r>
              <a:rPr lang="bg-BG" sz="1100" b="0">
                <a:solidFill>
                  <a:srgbClr val="002060"/>
                </a:solidFill>
                <a:latin typeface="Arial" panose="020B0604020202020204" pitchFamily="34" charset="0"/>
                <a:cs typeface="Arial" panose="020B0604020202020204" pitchFamily="34" charset="0"/>
              </a:rPr>
              <a:t>—</a:t>
            </a:r>
            <a:r>
              <a:rPr lang="en-GB" sz="1100" b="0">
                <a:solidFill>
                  <a:srgbClr val="002060"/>
                </a:solidFill>
                <a:latin typeface="Arial" panose="020B0604020202020204" pitchFamily="34" charset="0"/>
                <a:cs typeface="Arial" panose="020B0604020202020204" pitchFamily="34" charset="0"/>
              </a:rPr>
              <a:t>2015</a:t>
            </a:r>
            <a:r>
              <a:rPr lang="bg-BG" sz="1100" b="0">
                <a:solidFill>
                  <a:srgbClr val="002060"/>
                </a:solidFill>
                <a:latin typeface="Arial" panose="020B0604020202020204" pitchFamily="34" charset="0"/>
                <a:cs typeface="Arial" panose="020B0604020202020204" pitchFamily="34" charset="0"/>
              </a:rPr>
              <a:t> г.</a:t>
            </a:r>
            <a:r>
              <a:rPr lang="en-GB" sz="1100" b="0">
                <a:solidFill>
                  <a:srgbClr val="002060"/>
                </a:solidFill>
                <a:latin typeface="Arial" panose="020B0604020202020204" pitchFamily="34" charset="0"/>
                <a:cs typeface="Arial" panose="020B0604020202020204" pitchFamily="34" charset="0"/>
              </a:rPr>
              <a:t>)</a:t>
            </a:r>
          </a:p>
        </c:rich>
      </c:tx>
      <c:overlay val="0"/>
    </c:title>
    <c:autoTitleDeleted val="0"/>
    <c:plotArea>
      <c:layout/>
      <c:lineChart>
        <c:grouping val="standard"/>
        <c:varyColors val="0"/>
        <c:ser>
          <c:idx val="0"/>
          <c:order val="0"/>
          <c:tx>
            <c:strRef>
              <c:f>Blad1!$B$2</c:f>
              <c:strCache>
                <c:ptCount val="1"/>
                <c:pt idx="0">
                  <c:v>Number of EU Pilot files (2011-2014)</c:v>
                </c:pt>
              </c:strCache>
            </c:strRef>
          </c:tx>
          <c:spPr>
            <a:effectLst>
              <a:outerShdw blurRad="40000" dist="23000" dir="5400000" rotWithShape="0">
                <a:srgbClr val="000000">
                  <a:alpha val="35000"/>
                </a:srgbClr>
              </a:outerShdw>
            </a:effectLst>
          </c:spPr>
          <c:dLbls>
            <c:dLbl>
              <c:idx val="2"/>
              <c:layout>
                <c:manualLayout>
                  <c:x val="-5.5661881977671482E-2"/>
                  <c:y val="-9.2471590909090906E-2"/>
                </c:manualLayout>
              </c:layout>
              <c:dLblPos val="r"/>
              <c:showLegendKey val="0"/>
              <c:showVal val="1"/>
              <c:showCatName val="0"/>
              <c:showSerName val="0"/>
              <c:showPercent val="0"/>
              <c:showBubbleSize val="0"/>
            </c:dLbl>
            <c:txPr>
              <a:bodyPr/>
              <a:lstStyle/>
              <a:p>
                <a:pPr>
                  <a:defRPr lang="bg-BG" sz="900">
                    <a:solidFill>
                      <a:srgbClr val="0070C0"/>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b"/>
            <c:showLegendKey val="0"/>
            <c:showVal val="1"/>
            <c:showCatName val="0"/>
            <c:showSerName val="0"/>
            <c:showPercent val="0"/>
            <c:showBubbleSize val="0"/>
            <c:showLeaderLines val="0"/>
          </c:dLbls>
          <c:cat>
            <c:strRef>
              <c:f>Blad1!$A$3:$A$7</c:f>
              <c:strCache>
                <c:ptCount val="5"/>
                <c:pt idx="0">
                  <c:v>2011 г.</c:v>
                </c:pt>
                <c:pt idx="1">
                  <c:v>2012 г.</c:v>
                </c:pt>
                <c:pt idx="2">
                  <c:v>2013 г.</c:v>
                </c:pt>
                <c:pt idx="3">
                  <c:v>2014 г.</c:v>
                </c:pt>
                <c:pt idx="4">
                  <c:v>2015 г.</c:v>
                </c:pt>
              </c:strCache>
            </c:strRef>
          </c:cat>
          <c:val>
            <c:numRef>
              <c:f>Blad1!$B$3:$B$7</c:f>
              <c:numCache>
                <c:formatCode>General</c:formatCode>
                <c:ptCount val="5"/>
                <c:pt idx="0">
                  <c:v>1201</c:v>
                </c:pt>
                <c:pt idx="1">
                  <c:v>1405</c:v>
                </c:pt>
                <c:pt idx="2">
                  <c:v>1502</c:v>
                </c:pt>
                <c:pt idx="3">
                  <c:v>1208</c:v>
                </c:pt>
                <c:pt idx="4">
                  <c:v>881</c:v>
                </c:pt>
              </c:numCache>
            </c:numRef>
          </c:val>
          <c:smooth val="0"/>
        </c:ser>
        <c:dLbls>
          <c:showLegendKey val="0"/>
          <c:showVal val="0"/>
          <c:showCatName val="0"/>
          <c:showSerName val="0"/>
          <c:showPercent val="0"/>
          <c:showBubbleSize val="0"/>
        </c:dLbls>
        <c:marker val="1"/>
        <c:smooth val="0"/>
        <c:axId val="175287296"/>
        <c:axId val="176788224"/>
      </c:lineChart>
      <c:catAx>
        <c:axId val="175287296"/>
        <c:scaling>
          <c:orientation val="minMax"/>
        </c:scaling>
        <c:delete val="0"/>
        <c:axPos val="b"/>
        <c:numFmt formatCode="General" sourceLinked="1"/>
        <c:majorTickMark val="none"/>
        <c:minorTickMark val="none"/>
        <c:tickLblPos val="nextTo"/>
        <c:spPr>
          <a:noFill/>
          <a:ln w="12696" cap="flat" cmpd="sng" algn="ctr">
            <a:solidFill>
              <a:schemeClr val="tx1">
                <a:lumMod val="15000"/>
                <a:lumOff val="85000"/>
              </a:schemeClr>
            </a:solidFill>
            <a:round/>
          </a:ln>
          <a:effectLst/>
        </c:spPr>
        <c:txPr>
          <a:bodyPr rot="-60000000" spcFirstLastPara="1" vertOverflow="ellipsis" vert="horz" wrap="square" anchor="ctr" anchorCtr="1"/>
          <a:lstStyle/>
          <a:p>
            <a:pPr>
              <a:defRPr lang="bg-BG" sz="900"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176788224"/>
        <c:crosses val="autoZero"/>
        <c:auto val="1"/>
        <c:lblAlgn val="ctr"/>
        <c:lblOffset val="100"/>
        <c:noMultiLvlLbl val="0"/>
      </c:catAx>
      <c:valAx>
        <c:axId val="176788224"/>
        <c:scaling>
          <c:orientation val="minMax"/>
          <c:min val="500"/>
        </c:scaling>
        <c:delete val="1"/>
        <c:axPos val="l"/>
        <c:majorGridlines>
          <c:spPr>
            <a:ln w="9522" cap="flat" cmpd="sng" algn="ctr">
              <a:solidFill>
                <a:schemeClr val="tx1">
                  <a:lumMod val="15000"/>
                  <a:lumOff val="85000"/>
                </a:schemeClr>
              </a:solidFill>
              <a:round/>
            </a:ln>
            <a:effectLst/>
          </c:spPr>
        </c:majorGridlines>
        <c:numFmt formatCode="General" sourceLinked="1"/>
        <c:majorTickMark val="none"/>
        <c:minorTickMark val="none"/>
        <c:tickLblPos val="none"/>
        <c:crossAx val="175287296"/>
        <c:crosses val="autoZero"/>
        <c:crossBetween val="between"/>
      </c:valAx>
      <c:spPr>
        <a:noFill/>
        <a:ln w="25392">
          <a:noFill/>
        </a:ln>
      </c:spPr>
    </c:plotArea>
    <c:plotVisOnly val="1"/>
    <c:dispBlanksAs val="gap"/>
    <c:showDLblsOverMax val="0"/>
  </c:chart>
  <c:spPr>
    <a:solidFill>
      <a:schemeClr val="bg1"/>
    </a:solidFill>
    <a:ln w="9522"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bg-BG" sz="1100" b="0" i="0" u="none" strike="noStrike" kern="1200" baseline="0">
                <a:solidFill>
                  <a:srgbClr val="002060"/>
                </a:solidFill>
                <a:latin typeface="+mn-lt"/>
                <a:ea typeface="+mn-ea"/>
                <a:cs typeface="+mn-cs"/>
              </a:defRPr>
            </a:pPr>
            <a:r>
              <a:rPr lang="bg-BG" sz="1100" b="0" baseline="0">
                <a:solidFill>
                  <a:srgbClr val="002060"/>
                </a:solidFill>
                <a:latin typeface="Arial" panose="020B0604020202020204" pitchFamily="34" charset="0"/>
                <a:ea typeface="Verdana" panose="020B0604030504040204" pitchFamily="34" charset="0"/>
                <a:cs typeface="Arial" panose="020B0604020202020204" pitchFamily="34" charset="0"/>
              </a:rPr>
              <a:t>Образувани преписки в </a:t>
            </a:r>
            <a:r>
              <a:rPr lang="en-US" sz="1100" b="0" baseline="0">
                <a:solidFill>
                  <a:srgbClr val="002060"/>
                </a:solidFill>
                <a:latin typeface="Arial" panose="020B0604020202020204" pitchFamily="34" charset="0"/>
                <a:ea typeface="Verdana" panose="020B0604030504040204" pitchFamily="34" charset="0"/>
                <a:cs typeface="Arial" panose="020B0604020202020204" pitchFamily="34" charset="0"/>
              </a:rPr>
              <a:t>EU Pilot </a:t>
            </a:r>
            <a:r>
              <a:rPr lang="bg-BG" sz="1100" b="0" baseline="0">
                <a:solidFill>
                  <a:srgbClr val="002060"/>
                </a:solidFill>
                <a:latin typeface="Arial" panose="020B0604020202020204" pitchFamily="34" charset="0"/>
                <a:ea typeface="Verdana" panose="020B0604030504040204" pitchFamily="34" charset="0"/>
                <a:cs typeface="Arial" panose="020B0604020202020204" pitchFamily="34" charset="0"/>
              </a:rPr>
              <a:t>през </a:t>
            </a:r>
            <a:r>
              <a:rPr lang="en-US" sz="1100" b="0" baseline="0">
                <a:solidFill>
                  <a:srgbClr val="002060"/>
                </a:solidFill>
                <a:latin typeface="Arial" panose="020B0604020202020204" pitchFamily="34" charset="0"/>
                <a:ea typeface="Verdana" panose="020B0604030504040204" pitchFamily="34" charset="0"/>
                <a:cs typeface="Arial" panose="020B0604020202020204" pitchFamily="34" charset="0"/>
              </a:rPr>
              <a:t>2015</a:t>
            </a:r>
            <a:r>
              <a:rPr lang="bg-BG" sz="1100" b="0" baseline="0">
                <a:solidFill>
                  <a:srgbClr val="002060"/>
                </a:solidFill>
                <a:latin typeface="Arial" panose="020B0604020202020204" pitchFamily="34" charset="0"/>
                <a:ea typeface="Verdana" panose="020B0604030504040204" pitchFamily="34" charset="0"/>
                <a:cs typeface="Arial" panose="020B0604020202020204" pitchFamily="34" charset="0"/>
              </a:rPr>
              <a:t> г.</a:t>
            </a:r>
            <a:r>
              <a:rPr lang="en-US" sz="1100" b="0" baseline="0">
                <a:solidFill>
                  <a:srgbClr val="002060"/>
                </a:solidFill>
                <a:latin typeface="Arial" panose="020B0604020202020204" pitchFamily="34" charset="0"/>
                <a:ea typeface="Verdana" panose="020B0604030504040204" pitchFamily="34" charset="0"/>
                <a:cs typeface="Arial" panose="020B0604020202020204" pitchFamily="34" charset="0"/>
              </a:rPr>
              <a:t>: </a:t>
            </a:r>
            <a:r>
              <a:rPr lang="bg-BG" sz="1100" b="0" baseline="0">
                <a:solidFill>
                  <a:srgbClr val="002060"/>
                </a:solidFill>
                <a:latin typeface="Arial" panose="020B0604020202020204" pitchFamily="34" charset="0"/>
                <a:ea typeface="Verdana" panose="020B0604030504040204" pitchFamily="34" charset="0"/>
                <a:cs typeface="Arial" panose="020B0604020202020204" pitchFamily="34" charset="0"/>
              </a:rPr>
              <a:t>основни области на политиката</a:t>
            </a:r>
            <a:endParaRPr lang="en-US" sz="1100" b="0">
              <a:solidFill>
                <a:srgbClr val="002060"/>
              </a:solidFill>
              <a:latin typeface="Arial" panose="020B0604020202020204" pitchFamily="34" charset="0"/>
              <a:ea typeface="Verdana" panose="020B0604030504040204" pitchFamily="34" charset="0"/>
              <a:cs typeface="Arial" panose="020B0604020202020204" pitchFamily="34" charset="0"/>
            </a:endParaRPr>
          </a:p>
        </c:rich>
      </c:tx>
      <c:layout>
        <c:manualLayout>
          <c:xMode val="edge"/>
          <c:yMode val="edge"/>
          <c:x val="0.11910358176444079"/>
          <c:y val="1.6817834054988361E-2"/>
        </c:manualLayout>
      </c:layout>
      <c:overlay val="0"/>
      <c:spPr>
        <a:noFill/>
        <a:ln>
          <a:noFill/>
        </a:ln>
        <a:effectLst/>
      </c:spPr>
    </c:title>
    <c:autoTitleDeleted val="0"/>
    <c:plotArea>
      <c:layout/>
      <c:pieChart>
        <c:varyColors val="1"/>
        <c:ser>
          <c:idx val="0"/>
          <c:order val="0"/>
          <c:tx>
            <c:strRef>
              <c:f>Blad1!$B$1</c:f>
              <c:strCache>
                <c:ptCount val="1"/>
                <c:pt idx="0">
                  <c:v>881 EU Pilot files opened in 2015</c:v>
                </c:pt>
              </c:strCache>
            </c:strRef>
          </c:tx>
          <c:spPr>
            <a:solidFill>
              <a:schemeClr val="accent1"/>
            </a:solidFill>
          </c:spPr>
          <c:dPt>
            <c:idx val="0"/>
            <c:bubble3D val="0"/>
            <c:spPr>
              <a:solidFill>
                <a:schemeClr val="accent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solidFill>
                <a:srgbClr val="808AA4"/>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solidFill>
                <a:srgbClr val="FF99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solidFill>
                <a:srgbClr val="000099"/>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solidFill>
                <a:srgbClr val="996633"/>
              </a:solidFill>
              <a:scene3d>
                <a:camera prst="orthographicFront"/>
                <a:lightRig rig="threePt" dir="t"/>
              </a:scene3d>
              <a:sp3d>
                <a:bevelT w="63500" h="25400"/>
              </a:sp3d>
            </c:spPr>
          </c:dPt>
          <c:dPt>
            <c:idx val="5"/>
            <c:bubble3D val="0"/>
            <c:spPr>
              <a:solidFill>
                <a:srgbClr val="00A676"/>
              </a:solidFill>
              <a:scene3d>
                <a:camera prst="orthographicFront"/>
                <a:lightRig rig="threePt" dir="t"/>
              </a:scene3d>
              <a:sp3d>
                <a:bevelT w="63500" h="25400"/>
              </a:sp3d>
            </c:spPr>
          </c:dPt>
          <c:dPt>
            <c:idx val="6"/>
            <c:bubble3D val="0"/>
            <c:spPr>
              <a:solidFill>
                <a:srgbClr val="A20000"/>
              </a:solidFill>
              <a:scene3d>
                <a:camera prst="orthographicFront"/>
                <a:lightRig rig="threePt" dir="t"/>
              </a:scene3d>
              <a:sp3d>
                <a:bevelT w="63500" h="25400"/>
              </a:sp3d>
            </c:spPr>
          </c:dPt>
          <c:dLbls>
            <c:dLbl>
              <c:idx val="0"/>
              <c:delete val="1"/>
              <c:extLst>
                <c:ext xmlns:c15="http://schemas.microsoft.com/office/drawing/2012/chart" uri="{CE6537A1-D6FC-4f65-9D91-7224C49458BB}"/>
              </c:extLst>
            </c:dLbl>
            <c:dLbl>
              <c:idx val="1"/>
              <c:layout>
                <c:manualLayout>
                  <c:x val="-8.5902362204724747E-3"/>
                  <c:y val="6.6025411596277742E-2"/>
                </c:manualLayout>
              </c:layout>
              <c:tx>
                <c:rich>
                  <a:bodyPr/>
                  <a:lstStyle/>
                  <a:p>
                    <a:r>
                      <a:rPr lang="bg-BG"/>
                      <a:t>Други</a:t>
                    </a:r>
                    <a:r>
                      <a:rPr lang="en-US"/>
                      <a:t>
357</a:t>
                    </a:r>
                  </a:p>
                </c:rich>
              </c:tx>
              <c:dLblPos val="bestFit"/>
              <c:showLegendKey val="1"/>
              <c:showVal val="1"/>
              <c:showCatName val="1"/>
              <c:showSerName val="0"/>
              <c:showPercent val="0"/>
              <c:showBubbleSize val="0"/>
              <c:separator>
</c:separator>
            </c:dLbl>
            <c:dLbl>
              <c:idx val="2"/>
              <c:layout>
                <c:manualLayout>
                  <c:x val="0.11466666666666669"/>
                  <c:y val="0"/>
                </c:manualLayout>
              </c:layout>
              <c:tx>
                <c:rich>
                  <a:bodyPr/>
                  <a:lstStyle/>
                  <a:p>
                    <a:r>
                      <a:rPr lang="bg-BG"/>
                      <a:t>Мобилност и транспорт</a:t>
                    </a:r>
                    <a:r>
                      <a:rPr lang="en-US"/>
                      <a:t>
123</a:t>
                    </a:r>
                  </a:p>
                </c:rich>
              </c:tx>
              <c:dLblPos val="bestFit"/>
              <c:showLegendKey val="1"/>
              <c:showVal val="1"/>
              <c:showCatName val="1"/>
              <c:showSerName val="0"/>
              <c:showPercent val="0"/>
              <c:showBubbleSize val="0"/>
              <c:separator>
</c:separator>
            </c:dLbl>
            <c:dLbl>
              <c:idx val="3"/>
              <c:layout>
                <c:manualLayout>
                  <c:x val="-2.26903937007874E-2"/>
                  <c:y val="-2.8444881889763806E-2"/>
                </c:manualLayout>
              </c:layout>
              <c:tx>
                <c:rich>
                  <a:bodyPr/>
                  <a:lstStyle/>
                  <a:p>
                    <a:r>
                      <a:rPr lang="bg-BG"/>
                      <a:t>Вътрешен пазар, промишленост</a:t>
                    </a:r>
                    <a:r>
                      <a:rPr lang="en-US"/>
                      <a:t>,</a:t>
                    </a:r>
                    <a:r>
                      <a:rPr lang="bg-BG" baseline="0"/>
                      <a:t> предприемачество и МСП</a:t>
                    </a:r>
                    <a:r>
                      <a:rPr lang="en-US"/>
                      <a:t>
107</a:t>
                    </a:r>
                  </a:p>
                </c:rich>
              </c:tx>
              <c:dLblPos val="bestFit"/>
              <c:showLegendKey val="1"/>
              <c:showVal val="1"/>
              <c:showCatName val="1"/>
              <c:showSerName val="0"/>
              <c:showPercent val="0"/>
              <c:showBubbleSize val="0"/>
              <c:separator>
</c:separator>
            </c:dLbl>
            <c:dLbl>
              <c:idx val="4"/>
              <c:layout>
                <c:manualLayout>
                  <c:x val="-5.3335433070866708E-3"/>
                  <c:y val="-3.3674673241602372E-2"/>
                </c:manualLayout>
              </c:layout>
              <c:tx>
                <c:rich>
                  <a:bodyPr/>
                  <a:lstStyle/>
                  <a:p>
                    <a:r>
                      <a:rPr lang="bg-BG"/>
                      <a:t>Правосъдие и потребители</a:t>
                    </a:r>
                    <a:r>
                      <a:rPr lang="en-US"/>
                      <a:t>
103</a:t>
                    </a:r>
                  </a:p>
                </c:rich>
              </c:tx>
              <c:dLblPos val="bestFit"/>
              <c:showLegendKey val="1"/>
              <c:showVal val="1"/>
              <c:showCatName val="1"/>
              <c:showSerName val="0"/>
              <c:showPercent val="0"/>
              <c:showBubbleSize val="0"/>
              <c:separator>
</c:separator>
            </c:dLbl>
            <c:dLbl>
              <c:idx val="5"/>
              <c:layout>
                <c:manualLayout>
                  <c:x val="1.8666666666666703E-2"/>
                  <c:y val="-2.1043771043771052E-2"/>
                </c:manualLayout>
              </c:layout>
              <c:tx>
                <c:rich>
                  <a:bodyPr/>
                  <a:lstStyle/>
                  <a:p>
                    <a:r>
                      <a:rPr lang="bg-BG"/>
                      <a:t>Околна среда</a:t>
                    </a:r>
                    <a:r>
                      <a:rPr lang="en-US"/>
                      <a:t>
101</a:t>
                    </a:r>
                  </a:p>
                </c:rich>
              </c:tx>
              <c:dLblPos val="bestFit"/>
              <c:showLegendKey val="1"/>
              <c:showVal val="1"/>
              <c:showCatName val="1"/>
              <c:showSerName val="0"/>
              <c:showPercent val="0"/>
              <c:showBubbleSize val="0"/>
              <c:separator>
</c:separator>
            </c:dLbl>
            <c:dLbl>
              <c:idx val="6"/>
              <c:layout>
                <c:manualLayout>
                  <c:x val="-5.2180018110151933E-3"/>
                  <c:y val="3.1443390607769919E-2"/>
                </c:manualLayout>
              </c:layout>
              <c:tx>
                <c:rich>
                  <a:bodyPr/>
                  <a:lstStyle/>
                  <a:p>
                    <a:r>
                      <a:rPr lang="bg-BG"/>
                      <a:t>Данъчно облагане и митници</a:t>
                    </a:r>
                    <a:r>
                      <a:rPr lang="en-US"/>
                      <a:t>
90</a:t>
                    </a:r>
                  </a:p>
                </c:rich>
              </c:tx>
              <c:dLblPos val="bestFit"/>
              <c:showLegendKey val="1"/>
              <c:showVal val="1"/>
              <c:showCatName val="1"/>
              <c:showSerName val="0"/>
              <c:showPercent val="0"/>
              <c:showBubbleSize val="0"/>
              <c:separator>
</c:separator>
            </c:dLbl>
            <c:spPr>
              <a:noFill/>
              <a:ln>
                <a:noFill/>
              </a:ln>
              <a:effectLst/>
            </c:spPr>
            <c:txPr>
              <a:bodyPr rot="0" spcFirstLastPara="1" vertOverflow="ellipsis" vert="horz" wrap="square" lIns="38100" tIns="19050" rIns="38100" bIns="19050" anchor="ctr" anchorCtr="1">
                <a:spAutoFit/>
              </a:bodyPr>
              <a:lstStyle/>
              <a:p>
                <a:pPr>
                  <a:defRPr lang="bg-BG" sz="900" b="0" i="0" u="none" strike="noStrike" kern="1200" baseline="0">
                    <a:solidFill>
                      <a:sysClr val="windowText" lastClr="000000"/>
                    </a:solidFill>
                    <a:latin typeface="Arial" panose="020B0604020202020204" pitchFamily="34" charset="0"/>
                    <a:ea typeface="Verdana" panose="020B0604030504040204" pitchFamily="34" charset="0"/>
                    <a:cs typeface="Arial" panose="020B0604020202020204" pitchFamily="34" charset="0"/>
                  </a:defRPr>
                </a:pPr>
                <a:endParaRPr lang="en-US"/>
              </a:p>
            </c:txPr>
            <c:dLblPos val="outEnd"/>
            <c:showLegendKey val="1"/>
            <c:showVal val="1"/>
            <c:showCatName val="1"/>
            <c:showSerName val="0"/>
            <c:showPercent val="0"/>
            <c:showBubbleSize val="0"/>
            <c:separator>
</c:separator>
            <c:showLeaderLines val="0"/>
            <c:extLst>
              <c:ext xmlns:c15="http://schemas.microsoft.com/office/drawing/2012/chart" uri="{CE6537A1-D6FC-4f65-9D91-7224C49458BB}">
                <c15:layout/>
              </c:ext>
            </c:extLst>
          </c:dLbls>
          <c:cat>
            <c:strRef>
              <c:f>Blad1!$A$2:$A$8</c:f>
              <c:strCache>
                <c:ptCount val="7"/>
                <c:pt idx="0">
                  <c:v>Sector</c:v>
                </c:pt>
                <c:pt idx="1">
                  <c:v>Other</c:v>
                </c:pt>
                <c:pt idx="2">
                  <c:v>Mobility and transport</c:v>
                </c:pt>
                <c:pt idx="3">
                  <c:v>Internal market, industry, entrepreneurship and SMEs</c:v>
                </c:pt>
                <c:pt idx="4">
                  <c:v>Justice and consumers</c:v>
                </c:pt>
                <c:pt idx="5">
                  <c:v>Environment</c:v>
                </c:pt>
                <c:pt idx="6">
                  <c:v>Taxation and customs</c:v>
                </c:pt>
              </c:strCache>
            </c:strRef>
          </c:cat>
          <c:val>
            <c:numRef>
              <c:f>Blad1!$B$2:$B$8</c:f>
              <c:numCache>
                <c:formatCode>General</c:formatCode>
                <c:ptCount val="7"/>
                <c:pt idx="0">
                  <c:v>0</c:v>
                </c:pt>
                <c:pt idx="1">
                  <c:v>357</c:v>
                </c:pt>
                <c:pt idx="2">
                  <c:v>123</c:v>
                </c:pt>
                <c:pt idx="3">
                  <c:v>107</c:v>
                </c:pt>
                <c:pt idx="4">
                  <c:v>103</c:v>
                </c:pt>
                <c:pt idx="5">
                  <c:v>101</c:v>
                </c:pt>
                <c:pt idx="6">
                  <c:v>90</c:v>
                </c:pt>
              </c:numCache>
            </c:numRef>
          </c:val>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bg-BG" sz="1100" b="0" i="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bg-BG" sz="1100" b="0" i="0">
                <a:solidFill>
                  <a:srgbClr val="002060"/>
                </a:solidFill>
                <a:latin typeface="Arial" panose="020B0604020202020204" pitchFamily="34" charset="0"/>
                <a:ea typeface="Verdana" panose="020B0604030504040204" pitchFamily="34" charset="0"/>
                <a:cs typeface="Arial" panose="020B0604020202020204" pitchFamily="34" charset="0"/>
              </a:rPr>
              <a:t>Преписки в </a:t>
            </a:r>
            <a:r>
              <a:rPr lang="en-GB" sz="1100" b="0" i="0">
                <a:solidFill>
                  <a:srgbClr val="002060"/>
                </a:solidFill>
                <a:latin typeface="Arial" panose="020B0604020202020204" pitchFamily="34" charset="0"/>
                <a:ea typeface="Verdana" panose="020B0604030504040204" pitchFamily="34" charset="0"/>
                <a:cs typeface="Arial" panose="020B0604020202020204" pitchFamily="34" charset="0"/>
              </a:rPr>
              <a:t>EU Pilot:</a:t>
            </a:r>
            <a:r>
              <a:rPr lang="en-GB" sz="1100" b="0" i="0" baseline="0">
                <a:solidFill>
                  <a:srgbClr val="002060"/>
                </a:solidFill>
                <a:latin typeface="Arial" panose="020B0604020202020204" pitchFamily="34" charset="0"/>
                <a:ea typeface="Verdana" panose="020B0604030504040204" pitchFamily="34" charset="0"/>
                <a:cs typeface="Arial" panose="020B0604020202020204" pitchFamily="34" charset="0"/>
              </a:rPr>
              <a:t> </a:t>
            </a:r>
            <a:r>
              <a:rPr lang="bg-BG" sz="1100" b="0" i="0" baseline="0">
                <a:solidFill>
                  <a:srgbClr val="002060"/>
                </a:solidFill>
                <a:latin typeface="Arial" panose="020B0604020202020204" pitchFamily="34" charset="0"/>
                <a:ea typeface="Verdana" panose="020B0604030504040204" pitchFamily="34" charset="0"/>
                <a:cs typeface="Arial" panose="020B0604020202020204" pitchFamily="34" charset="0"/>
              </a:rPr>
              <a:t>средно за ЕС ниво на успеваемост</a:t>
            </a:r>
            <a:r>
              <a:rPr lang="en-GB" sz="1100" b="0" i="0" baseline="0">
                <a:solidFill>
                  <a:srgbClr val="002060"/>
                </a:solidFill>
                <a:latin typeface="Arial" panose="020B0604020202020204" pitchFamily="34" charset="0"/>
                <a:ea typeface="Verdana" panose="020B0604030504040204" pitchFamily="34" charset="0"/>
                <a:cs typeface="Arial" panose="020B0604020202020204" pitchFamily="34" charset="0"/>
              </a:rPr>
              <a:t> </a:t>
            </a:r>
            <a:r>
              <a:rPr lang="bg-BG" sz="1100" b="0" i="0" baseline="0">
                <a:solidFill>
                  <a:srgbClr val="002060"/>
                </a:solidFill>
                <a:latin typeface="Arial" panose="020B0604020202020204" pitchFamily="34" charset="0"/>
                <a:ea typeface="Verdana" panose="020B0604030504040204" pitchFamily="34" charset="0"/>
                <a:cs typeface="Arial" panose="020B0604020202020204" pitchFamily="34" charset="0"/>
              </a:rPr>
              <a:t>при намирането на решение</a:t>
            </a:r>
            <a:r>
              <a:rPr lang="en-GB" sz="1100" b="0" i="0" u="none" strike="noStrike" baseline="0">
                <a:solidFill>
                  <a:srgbClr val="002060"/>
                </a:solidFill>
                <a:effectLst/>
                <a:latin typeface="Arial" panose="020B0604020202020204" pitchFamily="34" charset="0"/>
                <a:cs typeface="Arial" panose="020B0604020202020204" pitchFamily="34" charset="0"/>
              </a:rPr>
              <a:t> </a:t>
            </a:r>
            <a:r>
              <a:rPr lang="en-GB" sz="1100" b="0" i="0">
                <a:solidFill>
                  <a:srgbClr val="002060"/>
                </a:solidFill>
                <a:latin typeface="Arial" panose="020B0604020202020204" pitchFamily="34" charset="0"/>
                <a:ea typeface="Verdana" panose="020B0604030504040204" pitchFamily="34" charset="0"/>
                <a:cs typeface="Arial" panose="020B0604020202020204" pitchFamily="34" charset="0"/>
              </a:rPr>
              <a:t>(2011</a:t>
            </a:r>
            <a:r>
              <a:rPr lang="bg-BG" sz="1100" b="0" i="0" baseline="0">
                <a:solidFill>
                  <a:srgbClr val="002060"/>
                </a:solidFill>
                <a:latin typeface="Arial"/>
                <a:ea typeface="Verdana" panose="020B0604030504040204" pitchFamily="34" charset="0"/>
                <a:cs typeface="Arial"/>
              </a:rPr>
              <a:t>—</a:t>
            </a:r>
            <a:r>
              <a:rPr lang="en-GB" sz="1100" b="0" i="0">
                <a:solidFill>
                  <a:srgbClr val="002060"/>
                </a:solidFill>
                <a:latin typeface="Arial" panose="020B0604020202020204" pitchFamily="34" charset="0"/>
                <a:ea typeface="Verdana" panose="020B0604030504040204" pitchFamily="34" charset="0"/>
                <a:cs typeface="Arial" panose="020B0604020202020204" pitchFamily="34" charset="0"/>
              </a:rPr>
              <a:t>2015</a:t>
            </a:r>
            <a:r>
              <a:rPr lang="bg-BG" sz="1100" b="0" i="0">
                <a:solidFill>
                  <a:srgbClr val="002060"/>
                </a:solidFill>
                <a:latin typeface="Arial" panose="020B0604020202020204" pitchFamily="34" charset="0"/>
                <a:ea typeface="Verdana" panose="020B0604030504040204" pitchFamily="34" charset="0"/>
                <a:cs typeface="Arial" panose="020B0604020202020204" pitchFamily="34" charset="0"/>
              </a:rPr>
              <a:t> г.</a:t>
            </a:r>
            <a:r>
              <a:rPr lang="en-GB" sz="1100" b="0" i="0">
                <a:solidFill>
                  <a:srgbClr val="002060"/>
                </a:solidFill>
                <a:latin typeface="Arial" panose="020B0604020202020204" pitchFamily="34" charset="0"/>
                <a:ea typeface="Verdana" panose="020B0604030504040204" pitchFamily="34" charset="0"/>
                <a:cs typeface="Arial" panose="020B0604020202020204" pitchFamily="34" charset="0"/>
              </a:rPr>
              <a:t>)</a:t>
            </a:r>
          </a:p>
        </c:rich>
      </c:tx>
      <c:overlay val="0"/>
    </c:title>
    <c:autoTitleDeleted val="0"/>
    <c:plotArea>
      <c:layout/>
      <c:lineChart>
        <c:grouping val="standard"/>
        <c:varyColors val="0"/>
        <c:ser>
          <c:idx val="0"/>
          <c:order val="0"/>
          <c:tx>
            <c:strRef>
              <c:f>Blad1!$B$2</c:f>
              <c:strCache>
                <c:ptCount val="1"/>
                <c:pt idx="0">
                  <c:v>Percentage</c:v>
                </c:pt>
              </c:strCache>
            </c:strRef>
          </c:tx>
          <c:spPr>
            <a:ln>
              <a:solidFill>
                <a:srgbClr val="0070C0"/>
              </a:solidFill>
            </a:ln>
            <a:effectLst>
              <a:outerShdw blurRad="40000" dist="23000" dir="5400000" rotWithShape="0">
                <a:srgbClr val="000000">
                  <a:alpha val="35000"/>
                </a:srgbClr>
              </a:outerShdw>
            </a:effectLst>
          </c:spPr>
          <c:marker>
            <c:spPr>
              <a:solidFill>
                <a:srgbClr val="0070C0"/>
              </a:solidFill>
              <a:ln>
                <a:solidFill>
                  <a:srgbClr val="0070C0"/>
                </a:solidFill>
              </a:ln>
            </c:spPr>
          </c:marker>
          <c:dLbls>
            <c:dLbl>
              <c:idx val="1"/>
              <c:layout>
                <c:manualLayout>
                  <c:x val="-5.0282004223156512E-2"/>
                  <c:y val="7.3966244725738914E-2"/>
                </c:manualLayout>
              </c:layout>
              <c:dLblPos val="r"/>
              <c:showLegendKey val="0"/>
              <c:showVal val="1"/>
              <c:showCatName val="0"/>
              <c:showSerName val="0"/>
              <c:showPercent val="0"/>
              <c:showBubbleSize val="0"/>
            </c:dLbl>
            <c:spPr>
              <a:noFill/>
              <a:ln w="25392">
                <a:noFill/>
              </a:ln>
            </c:spPr>
            <c:txPr>
              <a:bodyPr rot="0" spcFirstLastPara="1" vertOverflow="ellipsis" vert="horz" wrap="square" lIns="38100" tIns="19050" rIns="38100" bIns="19050" anchor="ctr" anchorCtr="1">
                <a:spAutoFit/>
              </a:bodyPr>
              <a:lstStyle/>
              <a:p>
                <a:pPr>
                  <a:defRPr lang="bg-BG" sz="900" b="0" i="0" u="none" strike="noStrike" kern="1200" baseline="0">
                    <a:solidFill>
                      <a:schemeClr val="accent2"/>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t"/>
            <c:showLegendKey val="0"/>
            <c:showVal val="1"/>
            <c:showCatName val="0"/>
            <c:showSerName val="0"/>
            <c:showPercent val="0"/>
            <c:showBubbleSize val="0"/>
            <c:showLeaderLines val="0"/>
          </c:dLbls>
          <c:cat>
            <c:strRef>
              <c:f>Blad1!$A$3:$A$7</c:f>
              <c:strCache>
                <c:ptCount val="5"/>
                <c:pt idx="0">
                  <c:v>2011 г.</c:v>
                </c:pt>
                <c:pt idx="1">
                  <c:v>2012 г.</c:v>
                </c:pt>
                <c:pt idx="2">
                  <c:v>2013 г.</c:v>
                </c:pt>
                <c:pt idx="3">
                  <c:v>2014 г.</c:v>
                </c:pt>
                <c:pt idx="4">
                  <c:v>2015 г.</c:v>
                </c:pt>
              </c:strCache>
            </c:strRef>
          </c:cat>
          <c:val>
            <c:numRef>
              <c:f>Blad1!$B$3:$B$7</c:f>
              <c:numCache>
                <c:formatCode>0%</c:formatCode>
                <c:ptCount val="5"/>
                <c:pt idx="0">
                  <c:v>0.72500000000000064</c:v>
                </c:pt>
                <c:pt idx="1">
                  <c:v>0.68</c:v>
                </c:pt>
                <c:pt idx="2">
                  <c:v>0.70000000000000062</c:v>
                </c:pt>
                <c:pt idx="3">
                  <c:v>0.75000000000000222</c:v>
                </c:pt>
                <c:pt idx="4">
                  <c:v>0.75000000000000222</c:v>
                </c:pt>
              </c:numCache>
            </c:numRef>
          </c:val>
          <c:smooth val="0"/>
        </c:ser>
        <c:dLbls>
          <c:showLegendKey val="0"/>
          <c:showVal val="0"/>
          <c:showCatName val="0"/>
          <c:showSerName val="0"/>
          <c:showPercent val="0"/>
          <c:showBubbleSize val="0"/>
        </c:dLbls>
        <c:marker val="1"/>
        <c:smooth val="0"/>
        <c:axId val="179568640"/>
        <c:axId val="179570560"/>
      </c:lineChart>
      <c:catAx>
        <c:axId val="179568640"/>
        <c:scaling>
          <c:orientation val="minMax"/>
        </c:scaling>
        <c:delete val="0"/>
        <c:axPos val="b"/>
        <c:numFmt formatCode="General" sourceLinked="1"/>
        <c:majorTickMark val="none"/>
        <c:minorTickMark val="none"/>
        <c:tickLblPos val="nextTo"/>
        <c:spPr>
          <a:noFill/>
          <a:ln w="12696" cap="flat" cmpd="sng" algn="ctr">
            <a:solidFill>
              <a:schemeClr val="tx1">
                <a:lumMod val="15000"/>
                <a:lumOff val="85000"/>
              </a:schemeClr>
            </a:solidFill>
            <a:round/>
          </a:ln>
          <a:effectLst/>
        </c:spPr>
        <c:txPr>
          <a:bodyPr rot="-60000000" spcFirstLastPara="1" vertOverflow="ellipsis" vert="horz" wrap="square" anchor="ctr" anchorCtr="1"/>
          <a:lstStyle/>
          <a:p>
            <a:pPr>
              <a:defRPr lang="bg-BG" sz="900"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179570560"/>
        <c:crosses val="autoZero"/>
        <c:auto val="1"/>
        <c:lblAlgn val="ctr"/>
        <c:lblOffset val="100"/>
        <c:noMultiLvlLbl val="0"/>
      </c:catAx>
      <c:valAx>
        <c:axId val="179570560"/>
        <c:scaling>
          <c:orientation val="minMax"/>
          <c:max val="0.8"/>
          <c:min val="0.55000000000000004"/>
        </c:scaling>
        <c:delete val="1"/>
        <c:axPos val="l"/>
        <c:majorGridlines>
          <c:spPr>
            <a:ln w="9522" cap="flat" cmpd="sng" algn="ctr">
              <a:solidFill>
                <a:schemeClr val="tx1">
                  <a:lumMod val="15000"/>
                  <a:lumOff val="85000"/>
                </a:schemeClr>
              </a:solidFill>
              <a:round/>
            </a:ln>
            <a:effectLst/>
          </c:spPr>
        </c:majorGridlines>
        <c:numFmt formatCode="0%" sourceLinked="1"/>
        <c:majorTickMark val="out"/>
        <c:minorTickMark val="none"/>
        <c:tickLblPos val="none"/>
        <c:crossAx val="179568640"/>
        <c:crosses val="autoZero"/>
        <c:crossBetween val="between"/>
        <c:majorUnit val="0.1"/>
      </c:valAx>
      <c:spPr>
        <a:noFill/>
        <a:ln w="25392">
          <a:noFill/>
        </a:ln>
      </c:spPr>
    </c:plotArea>
    <c:plotVisOnly val="1"/>
    <c:dispBlanksAs val="gap"/>
    <c:showDLblsOverMax val="0"/>
  </c:chart>
  <c:spPr>
    <a:solidFill>
      <a:schemeClr val="bg1"/>
    </a:solidFill>
    <a:ln w="9522"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bg-BG" sz="1050" b="1" i="0" u="none" strike="noStrike" kern="1200" baseline="0">
                <a:solidFill>
                  <a:sysClr val="windowText" lastClr="000000"/>
                </a:solidFill>
                <a:latin typeface="+mn-lt"/>
                <a:ea typeface="+mn-ea"/>
                <a:cs typeface="+mn-cs"/>
              </a:defRPr>
            </a:pPr>
            <a:r>
              <a:rPr lang="bg-BG" sz="1050" b="0" i="0" baseline="0">
                <a:solidFill>
                  <a:srgbClr val="002060"/>
                </a:solidFill>
                <a:effectLst/>
                <a:latin typeface="Arial" panose="020B0604020202020204" pitchFamily="34" charset="0"/>
                <a:cs typeface="Arial" panose="020B0604020202020204" pitchFamily="34" charset="0"/>
              </a:rPr>
              <a:t>Преписки в </a:t>
            </a:r>
            <a:r>
              <a:rPr lang="en-US" sz="1050" b="0" i="0" baseline="0">
                <a:solidFill>
                  <a:srgbClr val="002060"/>
                </a:solidFill>
                <a:effectLst/>
                <a:latin typeface="Arial" panose="020B0604020202020204" pitchFamily="34" charset="0"/>
                <a:cs typeface="Arial" panose="020B0604020202020204" pitchFamily="34" charset="0"/>
              </a:rPr>
              <a:t>EU Pilot: </a:t>
            </a:r>
            <a:r>
              <a:rPr lang="bg-BG" sz="1050" b="0" i="0" baseline="0">
                <a:solidFill>
                  <a:srgbClr val="002060"/>
                </a:solidFill>
                <a:effectLst/>
                <a:latin typeface="Arial" panose="020B0604020202020204" pitchFamily="34" charset="0"/>
                <a:cs typeface="Arial" panose="020B0604020202020204" pitchFamily="34" charset="0"/>
              </a:rPr>
              <a:t>Ниво на успеваемост при намирането на решение спрямо броят на преписките, обработени през 2015 г.</a:t>
            </a:r>
            <a:endParaRPr lang="en-GB" sz="1050">
              <a:solidFill>
                <a:srgbClr val="002060"/>
              </a:solidFill>
              <a:effectLst/>
              <a:latin typeface="Arial" panose="020B0604020202020204" pitchFamily="34" charset="0"/>
              <a:cs typeface="Arial" panose="020B0604020202020204" pitchFamily="34" charset="0"/>
            </a:endParaRPr>
          </a:p>
        </c:rich>
      </c:tx>
      <c:layout>
        <c:manualLayout>
          <c:xMode val="edge"/>
          <c:yMode val="edge"/>
          <c:x val="0.17844549031941845"/>
          <c:y val="2.9239766081871677E-3"/>
        </c:manualLayout>
      </c:layout>
      <c:overlay val="0"/>
    </c:title>
    <c:autoTitleDeleted val="0"/>
    <c:plotArea>
      <c:layout>
        <c:manualLayout>
          <c:layoutTarget val="inner"/>
          <c:xMode val="edge"/>
          <c:yMode val="edge"/>
          <c:x val="0.11926962232431362"/>
          <c:y val="0.12540702149073471"/>
          <c:w val="0.82821576990376156"/>
          <c:h val="0.69841582302212224"/>
        </c:manualLayout>
      </c:layout>
      <c:scatterChart>
        <c:scatterStyle val="smoothMarker"/>
        <c:varyColors val="0"/>
        <c:ser>
          <c:idx val="1"/>
          <c:order val="1"/>
          <c:tx>
            <c:strRef>
              <c:f>Sheet1!$C$1</c:f>
              <c:strCache>
                <c:ptCount val="1"/>
                <c:pt idx="0">
                  <c:v>Column1</c:v>
                </c:pt>
              </c:strCache>
            </c:strRef>
          </c:tx>
          <c:spPr>
            <a:ln w="15875">
              <a:solidFill>
                <a:srgbClr val="C00000"/>
              </a:solidFill>
              <a:prstDash val="dash"/>
            </a:ln>
          </c:spPr>
          <c:marker>
            <c:symbol val="none"/>
          </c:marker>
          <c:dLbls>
            <c:delete val="1"/>
          </c:dLbls>
          <c:xVal>
            <c:numRef>
              <c:f>Sheet1!$A$2:$A$29</c:f>
              <c:numCache>
                <c:formatCode>General</c:formatCode>
                <c:ptCount val="28"/>
                <c:pt idx="0">
                  <c:v>23</c:v>
                </c:pt>
                <c:pt idx="1">
                  <c:v>33</c:v>
                </c:pt>
                <c:pt idx="2">
                  <c:v>44</c:v>
                </c:pt>
                <c:pt idx="3">
                  <c:v>32</c:v>
                </c:pt>
                <c:pt idx="4">
                  <c:v>17</c:v>
                </c:pt>
                <c:pt idx="5">
                  <c:v>44</c:v>
                </c:pt>
                <c:pt idx="6">
                  <c:v>22</c:v>
                </c:pt>
                <c:pt idx="7">
                  <c:v>17</c:v>
                </c:pt>
                <c:pt idx="8">
                  <c:v>50</c:v>
                </c:pt>
                <c:pt idx="9">
                  <c:v>62</c:v>
                </c:pt>
                <c:pt idx="10">
                  <c:v>16</c:v>
                </c:pt>
                <c:pt idx="11">
                  <c:v>60</c:v>
                </c:pt>
                <c:pt idx="12">
                  <c:v>36</c:v>
                </c:pt>
                <c:pt idx="13">
                  <c:v>26</c:v>
                </c:pt>
                <c:pt idx="14">
                  <c:v>29</c:v>
                </c:pt>
                <c:pt idx="15">
                  <c:v>96</c:v>
                </c:pt>
                <c:pt idx="16">
                  <c:v>29</c:v>
                </c:pt>
                <c:pt idx="17">
                  <c:v>23</c:v>
                </c:pt>
                <c:pt idx="18">
                  <c:v>19</c:v>
                </c:pt>
                <c:pt idx="19">
                  <c:v>23</c:v>
                </c:pt>
                <c:pt idx="20">
                  <c:v>32</c:v>
                </c:pt>
                <c:pt idx="21">
                  <c:v>40</c:v>
                </c:pt>
                <c:pt idx="22">
                  <c:v>40</c:v>
                </c:pt>
                <c:pt idx="23">
                  <c:v>31</c:v>
                </c:pt>
                <c:pt idx="24">
                  <c:v>26</c:v>
                </c:pt>
                <c:pt idx="25">
                  <c:v>27</c:v>
                </c:pt>
                <c:pt idx="26">
                  <c:v>29</c:v>
                </c:pt>
                <c:pt idx="27">
                  <c:v>43</c:v>
                </c:pt>
              </c:numCache>
            </c:numRef>
          </c:xVal>
          <c:yVal>
            <c:numRef>
              <c:f>Sheet1!$C$2:$C$29</c:f>
              <c:numCache>
                <c:formatCode>0</c:formatCode>
                <c:ptCount val="28"/>
                <c:pt idx="0">
                  <c:v>75</c:v>
                </c:pt>
                <c:pt idx="1">
                  <c:v>75</c:v>
                </c:pt>
                <c:pt idx="2">
                  <c:v>75</c:v>
                </c:pt>
                <c:pt idx="3">
                  <c:v>75</c:v>
                </c:pt>
                <c:pt idx="4">
                  <c:v>75</c:v>
                </c:pt>
                <c:pt idx="5">
                  <c:v>75</c:v>
                </c:pt>
                <c:pt idx="6">
                  <c:v>75</c:v>
                </c:pt>
                <c:pt idx="7">
                  <c:v>75</c:v>
                </c:pt>
                <c:pt idx="8">
                  <c:v>75</c:v>
                </c:pt>
                <c:pt idx="9">
                  <c:v>75</c:v>
                </c:pt>
                <c:pt idx="10">
                  <c:v>75</c:v>
                </c:pt>
                <c:pt idx="11">
                  <c:v>75</c:v>
                </c:pt>
                <c:pt idx="12">
                  <c:v>75</c:v>
                </c:pt>
                <c:pt idx="13">
                  <c:v>75</c:v>
                </c:pt>
                <c:pt idx="14">
                  <c:v>75</c:v>
                </c:pt>
                <c:pt idx="15">
                  <c:v>75</c:v>
                </c:pt>
                <c:pt idx="16">
                  <c:v>75</c:v>
                </c:pt>
                <c:pt idx="17">
                  <c:v>75</c:v>
                </c:pt>
                <c:pt idx="18">
                  <c:v>75</c:v>
                </c:pt>
                <c:pt idx="19">
                  <c:v>75</c:v>
                </c:pt>
                <c:pt idx="20">
                  <c:v>75</c:v>
                </c:pt>
                <c:pt idx="21">
                  <c:v>75</c:v>
                </c:pt>
                <c:pt idx="22">
                  <c:v>75</c:v>
                </c:pt>
                <c:pt idx="23">
                  <c:v>75</c:v>
                </c:pt>
                <c:pt idx="24">
                  <c:v>75</c:v>
                </c:pt>
                <c:pt idx="25">
                  <c:v>75</c:v>
                </c:pt>
                <c:pt idx="26">
                  <c:v>75</c:v>
                </c:pt>
                <c:pt idx="27">
                  <c:v>75</c:v>
                </c:pt>
              </c:numCache>
            </c:numRef>
          </c:yVal>
          <c:smooth val="1"/>
        </c:ser>
        <c:dLbls>
          <c:showLegendKey val="0"/>
          <c:showVal val="1"/>
          <c:showCatName val="1"/>
          <c:showSerName val="0"/>
          <c:showPercent val="0"/>
          <c:showBubbleSize val="0"/>
        </c:dLbls>
        <c:axId val="179852416"/>
        <c:axId val="179854720"/>
      </c:scatterChart>
      <c:scatterChart>
        <c:scatterStyle val="lineMarker"/>
        <c:varyColors val="0"/>
        <c:ser>
          <c:idx val="0"/>
          <c:order val="0"/>
          <c:tx>
            <c:strRef>
              <c:f>Sheet1!$B$1</c:f>
              <c:strCache>
                <c:ptCount val="1"/>
                <c:pt idx="0">
                  <c:v>Y-Values</c:v>
                </c:pt>
              </c:strCache>
            </c:strRef>
          </c:tx>
          <c:spPr>
            <a:ln w="28575">
              <a:noFill/>
            </a:ln>
          </c:spPr>
          <c:marker>
            <c:symbol val="circle"/>
            <c:size val="5"/>
            <c:spPr>
              <a:solidFill>
                <a:schemeClr val="tx2">
                  <a:lumMod val="40000"/>
                  <a:lumOff val="60000"/>
                </a:schemeClr>
              </a:solidFill>
            </c:spPr>
          </c:marker>
          <c:dLbls>
            <c:dLbl>
              <c:idx val="0"/>
              <c:layout>
                <c:manualLayout>
                  <c:x val="-4.5173561578697077E-2"/>
                  <c:y val="-2.9239766081871725E-2"/>
                </c:manualLayout>
              </c:layout>
              <c:tx>
                <c:rich>
                  <a:bodyPr/>
                  <a:lstStyle/>
                  <a:p>
                    <a:r>
                      <a:rPr lang="bg-BG"/>
                      <a:t>Австрия</a:t>
                    </a:r>
                    <a:endParaRPr lang="en-US"/>
                  </a:p>
                </c:rich>
              </c:tx>
              <c:dLblPos val="r"/>
              <c:showLegendKey val="0"/>
              <c:showVal val="1"/>
              <c:showCatName val="1"/>
              <c:showSerName val="0"/>
              <c:showPercent val="0"/>
              <c:showBubbleSize val="0"/>
            </c:dLbl>
            <c:dLbl>
              <c:idx val="1"/>
              <c:layout>
                <c:manualLayout>
                  <c:x val="-3.5663525297568902E-2"/>
                  <c:y val="-1.2106537530266345E-2"/>
                </c:manualLayout>
              </c:layout>
              <c:tx>
                <c:rich>
                  <a:bodyPr/>
                  <a:lstStyle/>
                  <a:p>
                    <a:r>
                      <a:rPr lang="bg-BG"/>
                      <a:t>Белгия</a:t>
                    </a:r>
                    <a:endParaRPr lang="en-US"/>
                  </a:p>
                </c:rich>
              </c:tx>
              <c:dLblPos val="r"/>
              <c:showLegendKey val="0"/>
              <c:showVal val="1"/>
              <c:showCatName val="1"/>
              <c:showSerName val="0"/>
              <c:showPercent val="0"/>
              <c:showBubbleSize val="0"/>
            </c:dLbl>
            <c:dLbl>
              <c:idx val="2"/>
              <c:layout>
                <c:manualLayout>
                  <c:x val="-5.4683785068949123E-2"/>
                  <c:y val="-2.4213075060532691E-2"/>
                </c:manualLayout>
              </c:layout>
              <c:tx>
                <c:rich>
                  <a:bodyPr/>
                  <a:lstStyle/>
                  <a:p>
                    <a:r>
                      <a:rPr lang="bg-BG"/>
                      <a:t>България</a:t>
                    </a:r>
                    <a:endParaRPr lang="en-US"/>
                  </a:p>
                </c:rich>
              </c:tx>
              <c:dLblPos val="r"/>
              <c:showLegendKey val="0"/>
              <c:showVal val="1"/>
              <c:showCatName val="1"/>
              <c:showSerName val="0"/>
              <c:showPercent val="0"/>
              <c:showBubbleSize val="0"/>
            </c:dLbl>
            <c:dLbl>
              <c:idx val="3"/>
              <c:layout>
                <c:manualLayout>
                  <c:x val="-3.5663338088445538E-2"/>
                  <c:y val="-2.8248587570621472E-2"/>
                </c:manualLayout>
              </c:layout>
              <c:tx>
                <c:rich>
                  <a:bodyPr/>
                  <a:lstStyle/>
                  <a:p>
                    <a:r>
                      <a:rPr lang="bg-BG"/>
                      <a:t>Кипър</a:t>
                    </a:r>
                    <a:endParaRPr lang="en-US"/>
                  </a:p>
                </c:rich>
              </c:tx>
              <c:dLblPos val="r"/>
              <c:showLegendKey val="0"/>
              <c:showVal val="1"/>
              <c:showCatName val="1"/>
              <c:showSerName val="0"/>
              <c:showPercent val="0"/>
              <c:showBubbleSize val="0"/>
            </c:dLbl>
            <c:dLbl>
              <c:idx val="4"/>
              <c:layout>
                <c:manualLayout>
                  <c:x val="-7.3704232049453533E-2"/>
                  <c:y val="4.0355125100887797E-2"/>
                </c:manualLayout>
              </c:layout>
              <c:tx>
                <c:rich>
                  <a:bodyPr/>
                  <a:lstStyle/>
                  <a:p>
                    <a:r>
                      <a:rPr lang="bg-BG">
                        <a:solidFill>
                          <a:srgbClr val="002060"/>
                        </a:solidFill>
                      </a:rPr>
                      <a:t>Чешка република</a:t>
                    </a:r>
                    <a:endParaRPr lang="en-US"/>
                  </a:p>
                </c:rich>
              </c:tx>
              <c:dLblPos val="r"/>
              <c:showLegendKey val="0"/>
              <c:showVal val="1"/>
              <c:showCatName val="1"/>
              <c:showSerName val="0"/>
              <c:showPercent val="0"/>
              <c:showBubbleSize val="0"/>
            </c:dLbl>
            <c:dLbl>
              <c:idx val="5"/>
              <c:layout>
                <c:manualLayout>
                  <c:x val="-1.4014287800330236E-2"/>
                  <c:y val="-9.1896407685881747E-3"/>
                </c:manualLayout>
              </c:layout>
              <c:tx>
                <c:rich>
                  <a:bodyPr/>
                  <a:lstStyle/>
                  <a:p>
                    <a:r>
                      <a:rPr lang="bg-BG">
                        <a:solidFill>
                          <a:srgbClr val="002060"/>
                        </a:solidFill>
                      </a:rPr>
                      <a:t>Германия</a:t>
                    </a:r>
                    <a:endParaRPr lang="en-US"/>
                  </a:p>
                </c:rich>
              </c:tx>
              <c:dLblPos val="r"/>
              <c:showLegendKey val="0"/>
              <c:showVal val="1"/>
              <c:showCatName val="1"/>
              <c:showSerName val="0"/>
              <c:showPercent val="0"/>
              <c:showBubbleSize val="0"/>
            </c:dLbl>
            <c:dLbl>
              <c:idx val="6"/>
              <c:layout>
                <c:manualLayout>
                  <c:x val="-3.8040893961008085E-2"/>
                  <c:y val="1.6283490879429544E-2"/>
                </c:manualLayout>
              </c:layout>
              <c:tx>
                <c:rich>
                  <a:bodyPr/>
                  <a:lstStyle/>
                  <a:p>
                    <a:r>
                      <a:rPr lang="bg-BG"/>
                      <a:t>Дания</a:t>
                    </a:r>
                    <a:endParaRPr lang="en-US"/>
                  </a:p>
                </c:rich>
              </c:tx>
              <c:dLblPos val="r"/>
              <c:showLegendKey val="0"/>
              <c:showVal val="1"/>
              <c:showCatName val="1"/>
              <c:showSerName val="0"/>
              <c:showPercent val="0"/>
              <c:showBubbleSize val="0"/>
            </c:dLbl>
            <c:dLbl>
              <c:idx val="7"/>
              <c:layout>
                <c:manualLayout>
                  <c:x val="-4.7551117451260096E-2"/>
                  <c:y val="2.4213075060532691E-2"/>
                </c:manualLayout>
              </c:layout>
              <c:tx>
                <c:rich>
                  <a:bodyPr/>
                  <a:lstStyle/>
                  <a:p>
                    <a:r>
                      <a:rPr lang="bg-BG"/>
                      <a:t>Естония</a:t>
                    </a:r>
                    <a:endParaRPr lang="en-US"/>
                  </a:p>
                </c:rich>
              </c:tx>
              <c:dLblPos val="r"/>
              <c:showLegendKey val="0"/>
              <c:showVal val="1"/>
              <c:showCatName val="1"/>
              <c:showSerName val="0"/>
              <c:showPercent val="0"/>
              <c:showBubbleSize val="0"/>
            </c:dLbl>
            <c:dLbl>
              <c:idx val="8"/>
              <c:layout>
                <c:manualLayout>
                  <c:x val="-2.6153114598193212E-2"/>
                  <c:y val="-4.0355125100887797E-2"/>
                </c:manualLayout>
              </c:layout>
              <c:tx>
                <c:rich>
                  <a:bodyPr/>
                  <a:lstStyle/>
                  <a:p>
                    <a:r>
                      <a:rPr lang="bg-BG"/>
                      <a:t>Гърция</a:t>
                    </a:r>
                    <a:endParaRPr lang="en-US"/>
                  </a:p>
                </c:rich>
              </c:tx>
              <c:dLblPos val="r"/>
              <c:showLegendKey val="0"/>
              <c:showVal val="1"/>
              <c:showCatName val="1"/>
              <c:showSerName val="0"/>
              <c:showPercent val="0"/>
              <c:showBubbleSize val="0"/>
            </c:dLbl>
            <c:dLbl>
              <c:idx val="9"/>
              <c:layout>
                <c:manualLayout>
                  <c:x val="-7.1326676176890523E-3"/>
                  <c:y val="-1.2531328320802023E-2"/>
                </c:manualLayout>
              </c:layout>
              <c:tx>
                <c:rich>
                  <a:bodyPr/>
                  <a:lstStyle/>
                  <a:p>
                    <a:r>
                      <a:rPr lang="bg-BG">
                        <a:solidFill>
                          <a:srgbClr val="002060"/>
                        </a:solidFill>
                      </a:rPr>
                      <a:t>Испания</a:t>
                    </a:r>
                    <a:endParaRPr lang="en-US"/>
                  </a:p>
                </c:rich>
              </c:tx>
              <c:dLblPos val="r"/>
              <c:showLegendKey val="0"/>
              <c:showVal val="1"/>
              <c:showCatName val="1"/>
              <c:showSerName val="0"/>
              <c:showPercent val="0"/>
              <c:showBubbleSize val="0"/>
            </c:dLbl>
            <c:dLbl>
              <c:idx val="10"/>
              <c:layout>
                <c:manualLayout>
                  <c:x val="-6.8949120304327149E-2"/>
                  <c:y val="-2.4213075060532691E-2"/>
                </c:manualLayout>
              </c:layout>
              <c:tx>
                <c:rich>
                  <a:bodyPr/>
                  <a:lstStyle/>
                  <a:p>
                    <a:r>
                      <a:rPr lang="bg-BG"/>
                      <a:t>Финландия</a:t>
                    </a:r>
                    <a:endParaRPr lang="en-US"/>
                  </a:p>
                </c:rich>
              </c:tx>
              <c:dLblPos val="r"/>
              <c:showLegendKey val="0"/>
              <c:showVal val="1"/>
              <c:showCatName val="1"/>
              <c:showSerName val="0"/>
              <c:showPercent val="0"/>
              <c:showBubbleSize val="0"/>
            </c:dLbl>
            <c:dLbl>
              <c:idx val="11"/>
              <c:layout>
                <c:manualLayout>
                  <c:x val="-3.0343603625866633E-2"/>
                  <c:y val="1.9841269841270052E-2"/>
                </c:manualLayout>
              </c:layout>
              <c:tx>
                <c:rich>
                  <a:bodyPr/>
                  <a:lstStyle/>
                  <a:p>
                    <a:r>
                      <a:rPr lang="bg-BG">
                        <a:solidFill>
                          <a:srgbClr val="002060"/>
                        </a:solidFill>
                      </a:rPr>
                      <a:t>Франция</a:t>
                    </a:r>
                    <a:endParaRPr lang="en-US"/>
                  </a:p>
                </c:rich>
              </c:tx>
              <c:dLblPos val="r"/>
              <c:showLegendKey val="0"/>
              <c:showVal val="1"/>
              <c:showCatName val="1"/>
              <c:showSerName val="0"/>
              <c:showPercent val="0"/>
              <c:showBubbleSize val="0"/>
            </c:dLbl>
            <c:dLbl>
              <c:idx val="12"/>
              <c:layout>
                <c:manualLayout>
                  <c:x val="-1.4265335235378061E-2"/>
                  <c:y val="0"/>
                </c:manualLayout>
              </c:layout>
              <c:tx>
                <c:rich>
                  <a:bodyPr/>
                  <a:lstStyle/>
                  <a:p>
                    <a:r>
                      <a:rPr lang="bg-BG"/>
                      <a:t>Унгария</a:t>
                    </a:r>
                    <a:endParaRPr lang="en-US"/>
                  </a:p>
                </c:rich>
              </c:tx>
              <c:dLblPos val="r"/>
              <c:showLegendKey val="0"/>
              <c:showVal val="1"/>
              <c:showCatName val="1"/>
              <c:showSerName val="0"/>
              <c:showPercent val="0"/>
              <c:showBubbleSize val="0"/>
            </c:dLbl>
            <c:dLbl>
              <c:idx val="13"/>
              <c:delete val="1"/>
            </c:dLbl>
            <c:dLbl>
              <c:idx val="14"/>
              <c:layout>
                <c:manualLayout>
                  <c:x val="-1.6642891107941041E-2"/>
                  <c:y val="-2.0743788605371696E-2"/>
                </c:manualLayout>
              </c:layout>
              <c:tx>
                <c:rich>
                  <a:bodyPr/>
                  <a:lstStyle/>
                  <a:p>
                    <a:r>
                      <a:rPr lang="bg-BG"/>
                      <a:t>Ирландия</a:t>
                    </a:r>
                    <a:endParaRPr lang="en-US"/>
                  </a:p>
                </c:rich>
              </c:tx>
              <c:dLblPos val="r"/>
              <c:showLegendKey val="0"/>
              <c:showVal val="1"/>
              <c:showCatName val="1"/>
              <c:showSerName val="0"/>
              <c:showPercent val="0"/>
              <c:showBubbleSize val="0"/>
            </c:dLbl>
            <c:dLbl>
              <c:idx val="15"/>
              <c:layout>
                <c:manualLayout>
                  <c:x val="-2.6153114598193212E-2"/>
                  <c:y val="-3.7593984962406013E-2"/>
                </c:manualLayout>
              </c:layout>
              <c:tx>
                <c:rich>
                  <a:bodyPr/>
                  <a:lstStyle/>
                  <a:p>
                    <a:r>
                      <a:rPr lang="bg-BG">
                        <a:solidFill>
                          <a:srgbClr val="002060"/>
                        </a:solidFill>
                      </a:rPr>
                      <a:t>Италия</a:t>
                    </a:r>
                    <a:endParaRPr lang="en-US"/>
                  </a:p>
                </c:rich>
              </c:tx>
              <c:dLblPos val="r"/>
              <c:showLegendKey val="0"/>
              <c:showVal val="1"/>
              <c:showCatName val="1"/>
              <c:showSerName val="0"/>
              <c:showPercent val="0"/>
              <c:showBubbleSize val="0"/>
            </c:dLbl>
            <c:dLbl>
              <c:idx val="16"/>
              <c:delete val="1"/>
            </c:dLbl>
            <c:dLbl>
              <c:idx val="17"/>
              <c:layout>
                <c:manualLayout>
                  <c:x val="-6.8949120304327149E-2"/>
                  <c:y val="-1.2106537530266345E-2"/>
                </c:manualLayout>
              </c:layout>
              <c:tx>
                <c:rich>
                  <a:bodyPr/>
                  <a:lstStyle/>
                  <a:p>
                    <a:r>
                      <a:rPr lang="bg-BG"/>
                      <a:t>Малта и Люксембург</a:t>
                    </a:r>
                    <a:endParaRPr lang="en-US"/>
                  </a:p>
                </c:rich>
              </c:tx>
              <c:dLblPos val="r"/>
              <c:showLegendKey val="0"/>
              <c:showVal val="1"/>
              <c:showCatName val="1"/>
              <c:showSerName val="0"/>
              <c:showPercent val="0"/>
              <c:showBubbleSize val="0"/>
            </c:dLbl>
            <c:dLbl>
              <c:idx val="18"/>
              <c:layout>
                <c:manualLayout>
                  <c:x val="-7.1326676176890133E-2"/>
                  <c:y val="-2.0177562550444002E-2"/>
                </c:manualLayout>
              </c:layout>
              <c:tx>
                <c:rich>
                  <a:bodyPr/>
                  <a:lstStyle/>
                  <a:p>
                    <a:r>
                      <a:rPr lang="bg-BG"/>
                      <a:t>Латвия</a:t>
                    </a:r>
                    <a:endParaRPr lang="en-US"/>
                  </a:p>
                </c:rich>
              </c:tx>
              <c:dLblPos val="r"/>
              <c:showLegendKey val="0"/>
              <c:showVal val="1"/>
              <c:showCatName val="1"/>
              <c:showSerName val="0"/>
              <c:showPercent val="0"/>
              <c:showBubbleSize val="0"/>
            </c:dLbl>
            <c:dLbl>
              <c:idx val="19"/>
              <c:delete val="1"/>
            </c:dLbl>
            <c:dLbl>
              <c:idx val="20"/>
              <c:layout>
                <c:manualLayout>
                  <c:x val="-2.139800285306705E-2"/>
                  <c:y val="-2.8248587570621472E-2"/>
                </c:manualLayout>
              </c:layout>
              <c:tx>
                <c:rich>
                  <a:bodyPr/>
                  <a:lstStyle/>
                  <a:p>
                    <a:r>
                      <a:rPr lang="bg-BG"/>
                      <a:t>Нидерландия</a:t>
                    </a:r>
                    <a:endParaRPr lang="en-US"/>
                  </a:p>
                </c:rich>
              </c:tx>
              <c:dLblPos val="r"/>
              <c:showLegendKey val="0"/>
              <c:showVal val="1"/>
              <c:showCatName val="1"/>
              <c:showSerName val="0"/>
              <c:showPercent val="0"/>
              <c:showBubbleSize val="0"/>
            </c:dLbl>
            <c:dLbl>
              <c:idx val="21"/>
              <c:layout>
                <c:manualLayout>
                  <c:x val="-9.5102234902520039E-3"/>
                  <c:y val="-4.0355125100887809E-3"/>
                </c:manualLayout>
              </c:layout>
              <c:tx>
                <c:rich>
                  <a:bodyPr/>
                  <a:lstStyle/>
                  <a:p>
                    <a:r>
                      <a:rPr lang="bg-BG"/>
                      <a:t>Полша</a:t>
                    </a:r>
                    <a:endParaRPr lang="en-US"/>
                  </a:p>
                </c:rich>
              </c:tx>
              <c:dLblPos val="r"/>
              <c:showLegendKey val="0"/>
              <c:showVal val="1"/>
              <c:showCatName val="1"/>
              <c:showSerName val="0"/>
              <c:showPercent val="0"/>
              <c:showBubbleSize val="0"/>
            </c:dLbl>
            <c:dLbl>
              <c:idx val="22"/>
              <c:layout>
                <c:manualLayout>
                  <c:x val="-7.1326676176890523E-3"/>
                  <c:y val="-1.6142050040355356E-2"/>
                </c:manualLayout>
              </c:layout>
              <c:tx>
                <c:rich>
                  <a:bodyPr/>
                  <a:lstStyle/>
                  <a:p>
                    <a:r>
                      <a:rPr lang="bg-BG"/>
                      <a:t>Португалия</a:t>
                    </a:r>
                    <a:endParaRPr lang="en-US"/>
                  </a:p>
                </c:rich>
              </c:tx>
              <c:dLblPos val="r"/>
              <c:showLegendKey val="0"/>
              <c:showVal val="1"/>
              <c:showCatName val="1"/>
              <c:showSerName val="0"/>
              <c:showPercent val="0"/>
              <c:showBubbleSize val="0"/>
            </c:dLbl>
            <c:dLbl>
              <c:idx val="23"/>
              <c:layout>
                <c:manualLayout>
                  <c:x val="-5.9438896814075534E-2"/>
                  <c:y val="2.4213075060532691E-2"/>
                </c:manualLayout>
              </c:layout>
              <c:tx>
                <c:rich>
                  <a:bodyPr/>
                  <a:lstStyle/>
                  <a:p>
                    <a:r>
                      <a:rPr lang="bg-BG"/>
                      <a:t>Румъния</a:t>
                    </a:r>
                    <a:endParaRPr lang="en-US"/>
                  </a:p>
                </c:rich>
              </c:tx>
              <c:dLblPos val="r"/>
              <c:showLegendKey val="0"/>
              <c:showVal val="1"/>
              <c:showCatName val="1"/>
              <c:showSerName val="0"/>
              <c:showPercent val="0"/>
              <c:showBubbleSize val="0"/>
            </c:dLbl>
            <c:dLbl>
              <c:idx val="24"/>
              <c:layout>
                <c:manualLayout>
                  <c:x val="-6.8949120304327149E-2"/>
                  <c:y val="-4.4390637610977585E-2"/>
                </c:manualLayout>
              </c:layout>
              <c:tx>
                <c:rich>
                  <a:bodyPr/>
                  <a:lstStyle/>
                  <a:p>
                    <a:r>
                      <a:rPr lang="bg-BG"/>
                      <a:t>Швеция</a:t>
                    </a:r>
                    <a:r>
                      <a:rPr lang="bg-BG" baseline="0"/>
                      <a:t> и Унгария</a:t>
                    </a:r>
                    <a:endParaRPr lang="en-US"/>
                  </a:p>
                </c:rich>
              </c:tx>
              <c:dLblPos val="r"/>
              <c:showLegendKey val="0"/>
              <c:showVal val="1"/>
              <c:showCatName val="1"/>
              <c:showSerName val="0"/>
              <c:showPercent val="0"/>
              <c:showBubbleSize val="0"/>
            </c:dLbl>
            <c:dLbl>
              <c:idx val="25"/>
              <c:layout>
                <c:manualLayout>
                  <c:x val="-5.2306229196386993E-2"/>
                  <c:y val="-3.2284100080710726E-2"/>
                </c:manualLayout>
              </c:layout>
              <c:tx>
                <c:rich>
                  <a:bodyPr/>
                  <a:lstStyle/>
                  <a:p>
                    <a:r>
                      <a:rPr lang="bg-BG"/>
                      <a:t>Словения</a:t>
                    </a:r>
                    <a:endParaRPr lang="en-US"/>
                  </a:p>
                </c:rich>
              </c:tx>
              <c:dLblPos val="r"/>
              <c:showLegendKey val="0"/>
              <c:showVal val="1"/>
              <c:showCatName val="1"/>
              <c:showSerName val="0"/>
              <c:showPercent val="0"/>
              <c:showBubbleSize val="0"/>
            </c:dLbl>
            <c:dLbl>
              <c:idx val="26"/>
              <c:layout>
                <c:manualLayout>
                  <c:x val="-0.10223490252021068"/>
                  <c:y val="-8.4959774764996748E-3"/>
                </c:manualLayout>
              </c:layout>
              <c:tx>
                <c:rich>
                  <a:bodyPr/>
                  <a:lstStyle/>
                  <a:p>
                    <a:pPr>
                      <a:defRPr lang="bg-BG" sz="800" b="0">
                        <a:solidFill>
                          <a:srgbClr val="002060"/>
                        </a:solidFill>
                        <a:latin typeface="Arial" panose="020B0604020202020204" pitchFamily="34" charset="0"/>
                        <a:cs typeface="Arial" panose="020B0604020202020204" pitchFamily="34" charset="0"/>
                      </a:defRPr>
                    </a:pPr>
                    <a:r>
                      <a:rPr lang="bg-BG"/>
                      <a:t>Словакия и Литва</a:t>
                    </a:r>
                    <a:endParaRPr lang="en-US" baseline="0"/>
                  </a:p>
                  <a:p>
                    <a:pPr>
                      <a:defRPr lang="bg-BG" sz="800" b="0">
                        <a:solidFill>
                          <a:srgbClr val="002060"/>
                        </a:solidFill>
                        <a:latin typeface="Arial" panose="020B0604020202020204" pitchFamily="34" charset="0"/>
                        <a:cs typeface="Arial" panose="020B0604020202020204" pitchFamily="34" charset="0"/>
                      </a:defRPr>
                    </a:pPr>
                    <a:endParaRPr lang="en-US"/>
                  </a:p>
                </c:rich>
              </c:tx>
              <c:spPr/>
              <c:dLblPos val="r"/>
              <c:showLegendKey val="0"/>
              <c:showVal val="1"/>
              <c:showCatName val="1"/>
              <c:showSerName val="0"/>
              <c:showPercent val="0"/>
              <c:showBubbleSize val="0"/>
            </c:dLbl>
            <c:dLbl>
              <c:idx val="27"/>
              <c:layout>
                <c:manualLayout>
                  <c:x val="-1.4265335235378061E-2"/>
                  <c:y val="0"/>
                </c:manualLayout>
              </c:layout>
              <c:tx>
                <c:rich>
                  <a:bodyPr/>
                  <a:lstStyle/>
                  <a:p>
                    <a:r>
                      <a:rPr lang="bg-BG"/>
                      <a:t>Обединеното кралство</a:t>
                    </a:r>
                    <a:endParaRPr lang="en-US" baseline="0"/>
                  </a:p>
                </c:rich>
              </c:tx>
              <c:dLblPos val="r"/>
              <c:showLegendKey val="0"/>
              <c:showVal val="1"/>
              <c:showCatName val="1"/>
              <c:showSerName val="0"/>
              <c:showPercent val="0"/>
              <c:showBubbleSize val="0"/>
            </c:dLbl>
            <c:txPr>
              <a:bodyPr/>
              <a:lstStyle/>
              <a:p>
                <a:pPr>
                  <a:defRPr lang="bg-BG" sz="800">
                    <a:solidFill>
                      <a:srgbClr val="002060"/>
                    </a:solidFill>
                    <a:latin typeface="Arial" panose="020B0604020202020204" pitchFamily="34" charset="0"/>
                    <a:cs typeface="Arial" panose="020B0604020202020204" pitchFamily="34" charset="0"/>
                  </a:defRPr>
                </a:pPr>
                <a:endParaRPr lang="en-US"/>
              </a:p>
            </c:txPr>
            <c:dLblPos val="r"/>
            <c:showLegendKey val="0"/>
            <c:showVal val="1"/>
            <c:showCatName val="1"/>
            <c:showSerName val="0"/>
            <c:showPercent val="0"/>
            <c:showBubbleSize val="0"/>
            <c:showLeaderLines val="0"/>
          </c:dLbls>
          <c:xVal>
            <c:numRef>
              <c:f>Sheet1!$A$2:$A$29</c:f>
              <c:numCache>
                <c:formatCode>General</c:formatCode>
                <c:ptCount val="28"/>
                <c:pt idx="0">
                  <c:v>23</c:v>
                </c:pt>
                <c:pt idx="1">
                  <c:v>33</c:v>
                </c:pt>
                <c:pt idx="2">
                  <c:v>44</c:v>
                </c:pt>
                <c:pt idx="3">
                  <c:v>32</c:v>
                </c:pt>
                <c:pt idx="4">
                  <c:v>17</c:v>
                </c:pt>
                <c:pt idx="5">
                  <c:v>44</c:v>
                </c:pt>
                <c:pt idx="6">
                  <c:v>22</c:v>
                </c:pt>
                <c:pt idx="7">
                  <c:v>17</c:v>
                </c:pt>
                <c:pt idx="8">
                  <c:v>50</c:v>
                </c:pt>
                <c:pt idx="9">
                  <c:v>62</c:v>
                </c:pt>
                <c:pt idx="10">
                  <c:v>16</c:v>
                </c:pt>
                <c:pt idx="11">
                  <c:v>60</c:v>
                </c:pt>
                <c:pt idx="12">
                  <c:v>36</c:v>
                </c:pt>
                <c:pt idx="13">
                  <c:v>26</c:v>
                </c:pt>
                <c:pt idx="14">
                  <c:v>29</c:v>
                </c:pt>
                <c:pt idx="15">
                  <c:v>96</c:v>
                </c:pt>
                <c:pt idx="16">
                  <c:v>29</c:v>
                </c:pt>
                <c:pt idx="17">
                  <c:v>23</c:v>
                </c:pt>
                <c:pt idx="18">
                  <c:v>19</c:v>
                </c:pt>
                <c:pt idx="19">
                  <c:v>23</c:v>
                </c:pt>
                <c:pt idx="20">
                  <c:v>32</c:v>
                </c:pt>
                <c:pt idx="21">
                  <c:v>40</c:v>
                </c:pt>
                <c:pt idx="22">
                  <c:v>40</c:v>
                </c:pt>
                <c:pt idx="23">
                  <c:v>31</c:v>
                </c:pt>
                <c:pt idx="24">
                  <c:v>26</c:v>
                </c:pt>
                <c:pt idx="25">
                  <c:v>27</c:v>
                </c:pt>
                <c:pt idx="26">
                  <c:v>29</c:v>
                </c:pt>
                <c:pt idx="27">
                  <c:v>43</c:v>
                </c:pt>
              </c:numCache>
            </c:numRef>
          </c:xVal>
          <c:yVal>
            <c:numRef>
              <c:f>Sheet1!$B$2:$B$29</c:f>
              <c:numCache>
                <c:formatCode>0</c:formatCode>
                <c:ptCount val="28"/>
                <c:pt idx="0">
                  <c:v>52</c:v>
                </c:pt>
                <c:pt idx="1">
                  <c:v>70</c:v>
                </c:pt>
                <c:pt idx="2">
                  <c:v>84</c:v>
                </c:pt>
                <c:pt idx="3">
                  <c:v>72</c:v>
                </c:pt>
                <c:pt idx="4">
                  <c:v>70</c:v>
                </c:pt>
                <c:pt idx="5">
                  <c:v>64</c:v>
                </c:pt>
                <c:pt idx="6">
                  <c:v>82</c:v>
                </c:pt>
                <c:pt idx="7">
                  <c:v>88</c:v>
                </c:pt>
                <c:pt idx="8">
                  <c:v>86</c:v>
                </c:pt>
                <c:pt idx="9">
                  <c:v>69</c:v>
                </c:pt>
                <c:pt idx="10">
                  <c:v>75</c:v>
                </c:pt>
                <c:pt idx="11">
                  <c:v>68</c:v>
                </c:pt>
                <c:pt idx="12">
                  <c:v>67</c:v>
                </c:pt>
                <c:pt idx="13">
                  <c:v>69</c:v>
                </c:pt>
                <c:pt idx="14">
                  <c:v>79</c:v>
                </c:pt>
                <c:pt idx="15">
                  <c:v>76</c:v>
                </c:pt>
                <c:pt idx="16">
                  <c:v>76</c:v>
                </c:pt>
                <c:pt idx="17">
                  <c:v>83</c:v>
                </c:pt>
                <c:pt idx="18">
                  <c:v>79</c:v>
                </c:pt>
                <c:pt idx="19">
                  <c:v>83</c:v>
                </c:pt>
                <c:pt idx="20">
                  <c:v>87</c:v>
                </c:pt>
                <c:pt idx="21">
                  <c:v>77</c:v>
                </c:pt>
                <c:pt idx="22">
                  <c:v>70</c:v>
                </c:pt>
                <c:pt idx="23">
                  <c:v>68</c:v>
                </c:pt>
                <c:pt idx="24">
                  <c:v>69</c:v>
                </c:pt>
                <c:pt idx="25">
                  <c:v>85</c:v>
                </c:pt>
                <c:pt idx="26">
                  <c:v>76</c:v>
                </c:pt>
                <c:pt idx="27">
                  <c:v>81</c:v>
                </c:pt>
              </c:numCache>
            </c:numRef>
          </c:yVal>
          <c:smooth val="0"/>
        </c:ser>
        <c:dLbls>
          <c:showLegendKey val="0"/>
          <c:showVal val="1"/>
          <c:showCatName val="1"/>
          <c:showSerName val="0"/>
          <c:showPercent val="0"/>
          <c:showBubbleSize val="0"/>
        </c:dLbls>
        <c:axId val="179852416"/>
        <c:axId val="179854720"/>
      </c:scatterChart>
      <c:valAx>
        <c:axId val="179852416"/>
        <c:scaling>
          <c:orientation val="minMax"/>
          <c:max val="100"/>
          <c:min val="10"/>
        </c:scaling>
        <c:delete val="0"/>
        <c:axPos val="b"/>
        <c:title>
          <c:tx>
            <c:rich>
              <a:bodyPr/>
              <a:lstStyle/>
              <a:p>
                <a:pPr>
                  <a:defRPr lang="bg-BG"/>
                </a:pPr>
                <a:r>
                  <a:rPr lang="bg-BG" sz="900" b="0" i="0" baseline="0">
                    <a:solidFill>
                      <a:srgbClr val="002060"/>
                    </a:solidFill>
                    <a:effectLst/>
                    <a:latin typeface="Arial" panose="020B0604020202020204" pitchFamily="34" charset="0"/>
                    <a:cs typeface="Arial" panose="020B0604020202020204" pitchFamily="34" charset="0"/>
                  </a:rPr>
                  <a:t>Преписки в </a:t>
                </a:r>
                <a:r>
                  <a:rPr lang="en-GB" sz="900" b="0" i="0" baseline="0">
                    <a:solidFill>
                      <a:srgbClr val="002060"/>
                    </a:solidFill>
                    <a:effectLst/>
                    <a:latin typeface="Arial" panose="020B0604020202020204" pitchFamily="34" charset="0"/>
                    <a:cs typeface="Arial" panose="020B0604020202020204" pitchFamily="34" charset="0"/>
                  </a:rPr>
                  <a:t>EU Pilot</a:t>
                </a:r>
                <a:r>
                  <a:rPr lang="bg-BG" sz="900" b="0" i="0" baseline="0">
                    <a:solidFill>
                      <a:srgbClr val="002060"/>
                    </a:solidFill>
                    <a:effectLst/>
                    <a:latin typeface="Arial" panose="020B0604020202020204" pitchFamily="34" charset="0"/>
                    <a:cs typeface="Arial" panose="020B0604020202020204" pitchFamily="34" charset="0"/>
                  </a:rPr>
                  <a:t>,</a:t>
                </a:r>
                <a:r>
                  <a:rPr lang="en-GB" sz="900" b="0" i="0" baseline="0">
                    <a:solidFill>
                      <a:srgbClr val="002060"/>
                    </a:solidFill>
                    <a:effectLst/>
                    <a:latin typeface="Arial" panose="020B0604020202020204" pitchFamily="34" charset="0"/>
                    <a:cs typeface="Arial" panose="020B0604020202020204" pitchFamily="34" charset="0"/>
                  </a:rPr>
                  <a:t> </a:t>
                </a:r>
                <a:r>
                  <a:rPr lang="bg-BG" sz="900" b="0" i="0" baseline="0">
                    <a:solidFill>
                      <a:srgbClr val="002060"/>
                    </a:solidFill>
                    <a:effectLst/>
                    <a:latin typeface="Arial" panose="020B0604020202020204" pitchFamily="34" charset="0"/>
                    <a:cs typeface="Arial" panose="020B0604020202020204" pitchFamily="34" charset="0"/>
                  </a:rPr>
                  <a:t>обработени през</a:t>
                </a:r>
                <a:r>
                  <a:rPr lang="en-GB" sz="900" b="0" i="0" baseline="0">
                    <a:solidFill>
                      <a:srgbClr val="002060"/>
                    </a:solidFill>
                    <a:effectLst/>
                    <a:latin typeface="Arial" panose="020B0604020202020204" pitchFamily="34" charset="0"/>
                    <a:cs typeface="Arial" panose="020B0604020202020204" pitchFamily="34" charset="0"/>
                  </a:rPr>
                  <a:t> 2015</a:t>
                </a:r>
                <a:r>
                  <a:rPr lang="bg-BG" sz="900" b="0" i="0" baseline="0">
                    <a:solidFill>
                      <a:srgbClr val="002060"/>
                    </a:solidFill>
                    <a:effectLst/>
                    <a:latin typeface="Arial" panose="020B0604020202020204" pitchFamily="34" charset="0"/>
                    <a:cs typeface="Arial" panose="020B0604020202020204" pitchFamily="34" charset="0"/>
                  </a:rPr>
                  <a:t> г.</a:t>
                </a:r>
                <a:r>
                  <a:rPr lang="en-GB" sz="900" b="0" i="0" baseline="0">
                    <a:solidFill>
                      <a:srgbClr val="002060"/>
                    </a:solidFill>
                    <a:effectLst/>
                    <a:latin typeface="Arial" panose="020B0604020202020204" pitchFamily="34" charset="0"/>
                    <a:cs typeface="Arial" panose="020B0604020202020204" pitchFamily="34" charset="0"/>
                  </a:rPr>
                  <a:t> (</a:t>
                </a:r>
                <a:r>
                  <a:rPr lang="bg-BG" sz="900" b="0" i="0" baseline="0">
                    <a:solidFill>
                      <a:srgbClr val="002060"/>
                    </a:solidFill>
                    <a:effectLst/>
                    <a:latin typeface="Arial" panose="020B0604020202020204" pitchFamily="34" charset="0"/>
                    <a:cs typeface="Arial" panose="020B0604020202020204" pitchFamily="34" charset="0"/>
                  </a:rPr>
                  <a:t>в абсолютни стойности</a:t>
                </a:r>
                <a:r>
                  <a:rPr lang="en-GB" sz="900" b="0" i="0" baseline="0">
                    <a:solidFill>
                      <a:srgbClr val="002060"/>
                    </a:solidFill>
                    <a:effectLst/>
                    <a:latin typeface="Arial" panose="020B0604020202020204" pitchFamily="34" charset="0"/>
                    <a:cs typeface="Arial" panose="020B0604020202020204" pitchFamily="34" charset="0"/>
                  </a:rPr>
                  <a:t>)</a:t>
                </a:r>
                <a:endParaRPr lang="en-GB" sz="900">
                  <a:solidFill>
                    <a:srgbClr val="002060"/>
                  </a:solidFill>
                  <a:effectLst/>
                  <a:latin typeface="Arial" panose="020B0604020202020204" pitchFamily="34" charset="0"/>
                  <a:cs typeface="Arial" panose="020B0604020202020204" pitchFamily="34" charset="0"/>
                </a:endParaRPr>
              </a:p>
            </c:rich>
          </c:tx>
          <c:layout>
            <c:manualLayout>
              <c:xMode val="edge"/>
              <c:yMode val="edge"/>
              <c:x val="0.30935276319627386"/>
              <c:y val="0.89601174853143351"/>
            </c:manualLayout>
          </c:layout>
          <c:overlay val="0"/>
        </c:title>
        <c:numFmt formatCode="General" sourceLinked="1"/>
        <c:majorTickMark val="out"/>
        <c:minorTickMark val="none"/>
        <c:tickLblPos val="nextTo"/>
        <c:txPr>
          <a:bodyPr/>
          <a:lstStyle/>
          <a:p>
            <a:pPr>
              <a:defRPr lang="bg-BG" sz="800">
                <a:solidFill>
                  <a:srgbClr val="002060"/>
                </a:solidFill>
                <a:latin typeface="Arial" panose="020B0604020202020204" pitchFamily="34" charset="0"/>
                <a:cs typeface="Arial" panose="020B0604020202020204" pitchFamily="34" charset="0"/>
              </a:defRPr>
            </a:pPr>
            <a:endParaRPr lang="en-US"/>
          </a:p>
        </c:txPr>
        <c:crossAx val="179854720"/>
        <c:crosses val="autoZero"/>
        <c:crossBetween val="midCat"/>
      </c:valAx>
      <c:valAx>
        <c:axId val="179854720"/>
        <c:scaling>
          <c:orientation val="minMax"/>
          <c:max val="90"/>
          <c:min val="50"/>
        </c:scaling>
        <c:delete val="0"/>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bg-BG" sz="1000" b="1" i="0" u="none" strike="noStrike" kern="1200" baseline="0">
                    <a:solidFill>
                      <a:srgbClr val="002060"/>
                    </a:solidFill>
                    <a:latin typeface="+mn-lt"/>
                    <a:ea typeface="+mn-ea"/>
                    <a:cs typeface="+mn-cs"/>
                  </a:defRPr>
                </a:pPr>
                <a:r>
                  <a:rPr lang="bg-BG" sz="900" b="0" i="0" baseline="0">
                    <a:solidFill>
                      <a:srgbClr val="002060"/>
                    </a:solidFill>
                    <a:effectLst/>
                    <a:latin typeface="Arial" panose="020B0604020202020204" pitchFamily="34" charset="0"/>
                    <a:cs typeface="Arial" panose="020B0604020202020204" pitchFamily="34" charset="0"/>
                  </a:rPr>
                  <a:t>Ниво на успеваемост  за преписките в </a:t>
                </a:r>
                <a:r>
                  <a:rPr lang="en-GB" sz="900" b="0" i="0" baseline="0">
                    <a:solidFill>
                      <a:srgbClr val="002060"/>
                    </a:solidFill>
                    <a:effectLst/>
                    <a:latin typeface="Arial" panose="020B0604020202020204" pitchFamily="34" charset="0"/>
                    <a:cs typeface="Arial" panose="020B0604020202020204" pitchFamily="34" charset="0"/>
                  </a:rPr>
                  <a:t>EU Pilot </a:t>
                </a:r>
                <a:r>
                  <a:rPr lang="bg-BG" sz="900" b="0" i="0" baseline="0">
                    <a:solidFill>
                      <a:srgbClr val="002060"/>
                    </a:solidFill>
                    <a:effectLst/>
                    <a:latin typeface="Arial" panose="020B0604020202020204" pitchFamily="34" charset="0"/>
                    <a:cs typeface="Arial" panose="020B0604020202020204" pitchFamily="34" charset="0"/>
                  </a:rPr>
                  <a:t>при намирането на решение за всички държави членки през </a:t>
                </a:r>
                <a:r>
                  <a:rPr lang="en-GB" sz="900" b="0" i="0" baseline="0">
                    <a:solidFill>
                      <a:srgbClr val="002060"/>
                    </a:solidFill>
                    <a:effectLst/>
                    <a:latin typeface="Arial" panose="020B0604020202020204" pitchFamily="34" charset="0"/>
                    <a:cs typeface="Arial" panose="020B0604020202020204" pitchFamily="34" charset="0"/>
                  </a:rPr>
                  <a:t>2015</a:t>
                </a:r>
                <a:r>
                  <a:rPr lang="bg-BG" sz="900" b="0" i="0" baseline="0">
                    <a:solidFill>
                      <a:srgbClr val="002060"/>
                    </a:solidFill>
                    <a:effectLst/>
                    <a:latin typeface="Arial" panose="020B0604020202020204" pitchFamily="34" charset="0"/>
                    <a:cs typeface="Arial" panose="020B0604020202020204" pitchFamily="34" charset="0"/>
                  </a:rPr>
                  <a:t> г.</a:t>
                </a:r>
                <a:r>
                  <a:rPr lang="en-GB" sz="900" b="0" i="0" baseline="0">
                    <a:solidFill>
                      <a:srgbClr val="002060"/>
                    </a:solidFill>
                    <a:effectLst/>
                    <a:latin typeface="Arial" panose="020B0604020202020204" pitchFamily="34" charset="0"/>
                    <a:cs typeface="Arial" panose="020B0604020202020204" pitchFamily="34" charset="0"/>
                  </a:rPr>
                  <a:t> (</a:t>
                </a:r>
                <a:r>
                  <a:rPr lang="bg-BG" sz="900" b="0" i="0" baseline="0">
                    <a:solidFill>
                      <a:srgbClr val="002060"/>
                    </a:solidFill>
                    <a:effectLst/>
                    <a:latin typeface="Arial" panose="020B0604020202020204" pitchFamily="34" charset="0"/>
                    <a:cs typeface="Arial" panose="020B0604020202020204" pitchFamily="34" charset="0"/>
                  </a:rPr>
                  <a:t>в </a:t>
                </a:r>
                <a:r>
                  <a:rPr lang="en-GB" sz="900" b="0" i="0" baseline="0">
                    <a:solidFill>
                      <a:srgbClr val="002060"/>
                    </a:solidFill>
                    <a:effectLst/>
                    <a:latin typeface="Arial" panose="020B0604020202020204" pitchFamily="34" charset="0"/>
                    <a:cs typeface="Arial" panose="020B0604020202020204" pitchFamily="34" charset="0"/>
                  </a:rPr>
                  <a:t>%)</a:t>
                </a:r>
                <a:endParaRPr lang="en-GB" sz="900">
                  <a:solidFill>
                    <a:srgbClr val="002060"/>
                  </a:solidFill>
                  <a:effectLst/>
                  <a:latin typeface="Arial" panose="020B0604020202020204" pitchFamily="34" charset="0"/>
                  <a:cs typeface="Arial" panose="020B0604020202020204" pitchFamily="34" charset="0"/>
                </a:endParaRPr>
              </a:p>
            </c:rich>
          </c:tx>
          <c:overlay val="0"/>
        </c:title>
        <c:numFmt formatCode="0" sourceLinked="1"/>
        <c:majorTickMark val="out"/>
        <c:minorTickMark val="none"/>
        <c:tickLblPos val="nextTo"/>
        <c:txPr>
          <a:bodyPr/>
          <a:lstStyle/>
          <a:p>
            <a:pPr>
              <a:defRPr lang="bg-BG" sz="800">
                <a:solidFill>
                  <a:srgbClr val="002060"/>
                </a:solidFill>
                <a:latin typeface="Arial" panose="020B0604020202020204" pitchFamily="34" charset="0"/>
                <a:cs typeface="Arial" panose="020B0604020202020204" pitchFamily="34" charset="0"/>
              </a:defRPr>
            </a:pPr>
            <a:endParaRPr lang="en-US"/>
          </a:p>
        </c:txPr>
        <c:crossAx val="179852416"/>
        <c:crosses val="autoZero"/>
        <c:crossBetween val="midCat"/>
      </c:valAx>
    </c:plotArea>
    <c:plotVisOnly val="1"/>
    <c:dispBlanksAs val="gap"/>
    <c:showDLblsOverMax val="0"/>
  </c:chart>
  <c:spPr>
    <a:ln>
      <a:solidFill>
        <a:schemeClr val="bg1">
          <a:lumMod val="85000"/>
        </a:schemeClr>
      </a:solidFill>
    </a:ln>
  </c:sp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bg-BG" sz="1100" b="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bg-BG" sz="1100" b="0">
                <a:solidFill>
                  <a:srgbClr val="002060"/>
                </a:solidFill>
                <a:latin typeface="Arial" panose="020B0604020202020204" pitchFamily="34" charset="0"/>
                <a:ea typeface="Verdana" panose="020B0604030504040204" pitchFamily="34" charset="0"/>
                <a:cs typeface="Arial" panose="020B0604020202020204" pitchFamily="34" charset="0"/>
              </a:rPr>
              <a:t>Преписки в </a:t>
            </a:r>
            <a:r>
              <a:rPr lang="nl-BE" sz="1100" b="0">
                <a:solidFill>
                  <a:srgbClr val="002060"/>
                </a:solidFill>
                <a:latin typeface="Arial" panose="020B0604020202020204" pitchFamily="34" charset="0"/>
                <a:ea typeface="Verdana" panose="020B0604030504040204" pitchFamily="34" charset="0"/>
                <a:cs typeface="Arial" panose="020B0604020202020204" pitchFamily="34" charset="0"/>
              </a:rPr>
              <a:t>EU</a:t>
            </a:r>
            <a:r>
              <a:rPr lang="nl-BE" sz="1100" b="0" baseline="0">
                <a:solidFill>
                  <a:srgbClr val="002060"/>
                </a:solidFill>
                <a:latin typeface="Arial" panose="020B0604020202020204" pitchFamily="34" charset="0"/>
                <a:ea typeface="Verdana" panose="020B0604030504040204" pitchFamily="34" charset="0"/>
                <a:cs typeface="Arial" panose="020B0604020202020204" pitchFamily="34" charset="0"/>
              </a:rPr>
              <a:t> Pilot: </a:t>
            </a:r>
            <a:r>
              <a:rPr lang="bg-BG" sz="1100" b="0" baseline="0">
                <a:solidFill>
                  <a:srgbClr val="002060"/>
                </a:solidFill>
                <a:latin typeface="Arial" panose="020B0604020202020204" pitchFamily="34" charset="0"/>
                <a:ea typeface="Verdana" panose="020B0604030504040204" pitchFamily="34" charset="0"/>
                <a:cs typeface="Arial" panose="020B0604020202020204" pitchFamily="34" charset="0"/>
              </a:rPr>
              <a:t>време за отговор на държавите членки през</a:t>
            </a:r>
            <a:r>
              <a:rPr lang="bg-BG" sz="1100" b="0" i="0" u="none" strike="noStrike" baseline="0">
                <a:effectLst/>
              </a:rPr>
              <a:t> </a:t>
            </a:r>
            <a:r>
              <a:rPr lang="nl-BE" sz="1100" b="0" baseline="0">
                <a:solidFill>
                  <a:srgbClr val="002060"/>
                </a:solidFill>
                <a:latin typeface="Arial" panose="020B0604020202020204" pitchFamily="34" charset="0"/>
                <a:ea typeface="Verdana" panose="020B0604030504040204" pitchFamily="34" charset="0"/>
                <a:cs typeface="Arial" panose="020B0604020202020204" pitchFamily="34" charset="0"/>
              </a:rPr>
              <a:t>2015</a:t>
            </a:r>
            <a:r>
              <a:rPr lang="bg-BG" sz="1100" b="0" baseline="0">
                <a:solidFill>
                  <a:srgbClr val="002060"/>
                </a:solidFill>
                <a:latin typeface="Arial" panose="020B0604020202020204" pitchFamily="34" charset="0"/>
                <a:ea typeface="Verdana" panose="020B0604030504040204" pitchFamily="34" charset="0"/>
                <a:cs typeface="Arial" panose="020B0604020202020204" pitchFamily="34" charset="0"/>
              </a:rPr>
              <a:t> г.</a:t>
            </a:r>
            <a:r>
              <a:rPr lang="nl-BE" sz="1100" b="0" baseline="0">
                <a:solidFill>
                  <a:srgbClr val="002060"/>
                </a:solidFill>
                <a:latin typeface="Arial" panose="020B0604020202020204" pitchFamily="34" charset="0"/>
                <a:ea typeface="Verdana" panose="020B0604030504040204" pitchFamily="34" charset="0"/>
                <a:cs typeface="Arial" panose="020B0604020202020204" pitchFamily="34" charset="0"/>
              </a:rPr>
              <a:t> (</a:t>
            </a:r>
            <a:r>
              <a:rPr lang="bg-BG" sz="1100" b="0" baseline="0">
                <a:solidFill>
                  <a:srgbClr val="002060"/>
                </a:solidFill>
                <a:latin typeface="Arial" panose="020B0604020202020204" pitchFamily="34" charset="0"/>
                <a:ea typeface="Verdana" panose="020B0604030504040204" pitchFamily="34" charset="0"/>
                <a:cs typeface="Arial" panose="020B0604020202020204" pitchFamily="34" charset="0"/>
              </a:rPr>
              <a:t>в дни</a:t>
            </a:r>
            <a:r>
              <a:rPr lang="nl-BE" sz="1100" b="0" baseline="0">
                <a:solidFill>
                  <a:srgbClr val="002060"/>
                </a:solidFill>
                <a:latin typeface="Arial" panose="020B0604020202020204" pitchFamily="34" charset="0"/>
                <a:ea typeface="Verdana" panose="020B0604030504040204" pitchFamily="34" charset="0"/>
                <a:cs typeface="Arial" panose="020B0604020202020204" pitchFamily="34" charset="0"/>
              </a:rPr>
              <a:t>)</a:t>
            </a:r>
            <a:endParaRPr lang="nl-BE" sz="1100" b="0">
              <a:solidFill>
                <a:srgbClr val="002060"/>
              </a:solidFill>
              <a:latin typeface="Arial" panose="020B0604020202020204" pitchFamily="34" charset="0"/>
              <a:ea typeface="Verdana" panose="020B0604030504040204" pitchFamily="34" charset="0"/>
              <a:cs typeface="Arial" panose="020B0604020202020204" pitchFamily="34" charset="0"/>
            </a:endParaRPr>
          </a:p>
        </c:rich>
      </c:tx>
      <c:overlay val="0"/>
    </c:title>
    <c:autoTitleDeleted val="0"/>
    <c:plotArea>
      <c:layout/>
      <c:barChart>
        <c:barDir val="col"/>
        <c:grouping val="clustered"/>
        <c:varyColors val="0"/>
        <c:ser>
          <c:idx val="0"/>
          <c:order val="0"/>
          <c:tx>
            <c:strRef>
              <c:f>Blad1!$B$2</c:f>
              <c:strCache>
                <c:ptCount val="1"/>
                <c:pt idx="0">
                  <c:v>Number of days</c:v>
                </c:pt>
              </c:strCache>
            </c:strRef>
          </c:tx>
          <c:spPr>
            <a:solidFill>
              <a:schemeClr val="accent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4"/>
              <c:layout>
                <c:manualLayout>
                  <c:x val="0"/>
                  <c:y val="1.2295081967213121E-2"/>
                </c:manualLayout>
              </c:layout>
              <c:dLblPos val="outEnd"/>
              <c:showLegendKey val="0"/>
              <c:showVal val="1"/>
              <c:showCatName val="0"/>
              <c:showSerName val="0"/>
              <c:showPercent val="0"/>
              <c:showBubbleSize val="0"/>
            </c:dLbl>
            <c:dLbl>
              <c:idx val="5"/>
              <c:layout>
                <c:manualLayout>
                  <c:x val="-2.3894862604539892E-3"/>
                  <c:y val="1.2295081967213121E-2"/>
                </c:manualLayout>
              </c:layout>
              <c:dLblPos val="outEnd"/>
              <c:showLegendKey val="0"/>
              <c:showVal val="1"/>
              <c:showCatName val="0"/>
              <c:showSerName val="0"/>
              <c:showPercent val="0"/>
              <c:showBubbleSize val="0"/>
            </c:dLbl>
            <c:dLbl>
              <c:idx val="6"/>
              <c:layout>
                <c:manualLayout>
                  <c:x val="0"/>
                  <c:y val="8.1967213114754103E-3"/>
                </c:manualLayout>
              </c:layout>
              <c:dLblPos val="outEnd"/>
              <c:showLegendKey val="0"/>
              <c:showVal val="1"/>
              <c:showCatName val="0"/>
              <c:showSerName val="0"/>
              <c:showPercent val="0"/>
              <c:showBubbleSize val="0"/>
            </c:dLbl>
            <c:dLbl>
              <c:idx val="7"/>
              <c:layout>
                <c:manualLayout>
                  <c:x val="0"/>
                  <c:y val="1.2282497441146366E-2"/>
                </c:manualLayout>
              </c:layout>
              <c:dLblPos val="outEnd"/>
              <c:showLegendKey val="0"/>
              <c:showVal val="1"/>
              <c:showCatName val="0"/>
              <c:showSerName val="0"/>
              <c:showPercent val="0"/>
              <c:showBubbleSize val="0"/>
            </c:dLbl>
            <c:dLbl>
              <c:idx val="8"/>
              <c:layout>
                <c:manualLayout>
                  <c:x val="0"/>
                  <c:y val="1.6393442622950821E-2"/>
                </c:manualLayout>
              </c:layout>
              <c:dLblPos val="outEnd"/>
              <c:showLegendKey val="0"/>
              <c:showVal val="1"/>
              <c:showCatName val="0"/>
              <c:showSerName val="0"/>
              <c:showPercent val="0"/>
              <c:showBubbleSize val="0"/>
            </c:dLbl>
            <c:dLbl>
              <c:idx val="9"/>
              <c:layout>
                <c:manualLayout>
                  <c:x val="4.3806742049103122E-17"/>
                  <c:y val="1.6393442622950821E-2"/>
                </c:manualLayout>
              </c:layout>
              <c:dLblPos val="outEnd"/>
              <c:showLegendKey val="0"/>
              <c:showVal val="1"/>
              <c:showCatName val="0"/>
              <c:showSerName val="0"/>
              <c:showPercent val="0"/>
              <c:showBubbleSize val="0"/>
            </c:dLbl>
            <c:txPr>
              <a:bodyPr/>
              <a:lstStyle/>
              <a:p>
                <a:pPr>
                  <a:defRPr lang="bg-BG" sz="800">
                    <a:solidFill>
                      <a:srgbClr val="002060"/>
                    </a:solidFill>
                    <a:latin typeface="Arial" panose="020B0604020202020204" pitchFamily="34" charset="0"/>
                    <a:cs typeface="Arial" panose="020B0604020202020204" pitchFamily="34" charset="0"/>
                  </a:defRPr>
                </a:pPr>
                <a:endParaRPr lang="en-US"/>
              </a:p>
            </c:txPr>
            <c:dLblPos val="outEnd"/>
            <c:showLegendKey val="0"/>
            <c:showVal val="1"/>
            <c:showCatName val="0"/>
            <c:showSerName val="0"/>
            <c:showPercent val="0"/>
            <c:showBubbleSize val="0"/>
            <c:showLeaderLines val="0"/>
          </c:dLbls>
          <c:cat>
            <c:strRef>
              <c:f>Blad1!$A$3:$A$30</c:f>
              <c:strCache>
                <c:ptCount val="28"/>
                <c:pt idx="0">
                  <c:v>SK</c:v>
                </c:pt>
                <c:pt idx="1">
                  <c:v>LT</c:v>
                </c:pt>
                <c:pt idx="2">
                  <c:v>PT</c:v>
                </c:pt>
                <c:pt idx="3">
                  <c:v>NL</c:v>
                </c:pt>
                <c:pt idx="4">
                  <c:v>BG</c:v>
                </c:pt>
                <c:pt idx="5">
                  <c:v>HR</c:v>
                </c:pt>
                <c:pt idx="6">
                  <c:v>HU</c:v>
                </c:pt>
                <c:pt idx="7">
                  <c:v>LV</c:v>
                </c:pt>
                <c:pt idx="8">
                  <c:v>AT</c:v>
                </c:pt>
                <c:pt idx="9">
                  <c:v>DE</c:v>
                </c:pt>
                <c:pt idx="10">
                  <c:v>IE</c:v>
                </c:pt>
                <c:pt idx="11">
                  <c:v>EL</c:v>
                </c:pt>
                <c:pt idx="12">
                  <c:v>PL</c:v>
                </c:pt>
                <c:pt idx="13">
                  <c:v>SI</c:v>
                </c:pt>
                <c:pt idx="14">
                  <c:v>CY</c:v>
                </c:pt>
                <c:pt idx="15">
                  <c:v>EE</c:v>
                </c:pt>
                <c:pt idx="16">
                  <c:v>MT</c:v>
                </c:pt>
                <c:pt idx="17">
                  <c:v>SE</c:v>
                </c:pt>
                <c:pt idx="18">
                  <c:v>IT</c:v>
                </c:pt>
                <c:pt idx="19">
                  <c:v>ES</c:v>
                </c:pt>
                <c:pt idx="20">
                  <c:v>DK</c:v>
                </c:pt>
                <c:pt idx="21">
                  <c:v>LU</c:v>
                </c:pt>
                <c:pt idx="22">
                  <c:v>RO</c:v>
                </c:pt>
                <c:pt idx="23">
                  <c:v>FI</c:v>
                </c:pt>
                <c:pt idx="24">
                  <c:v>CZ</c:v>
                </c:pt>
                <c:pt idx="25">
                  <c:v>UK</c:v>
                </c:pt>
                <c:pt idx="26">
                  <c:v>BE</c:v>
                </c:pt>
                <c:pt idx="27">
                  <c:v>FR</c:v>
                </c:pt>
              </c:strCache>
            </c:strRef>
          </c:cat>
          <c:val>
            <c:numRef>
              <c:f>Blad1!$B$3:$B$30</c:f>
              <c:numCache>
                <c:formatCode>0</c:formatCode>
                <c:ptCount val="28"/>
                <c:pt idx="0">
                  <c:v>57</c:v>
                </c:pt>
                <c:pt idx="1">
                  <c:v>58</c:v>
                </c:pt>
                <c:pt idx="2">
                  <c:v>59</c:v>
                </c:pt>
                <c:pt idx="3">
                  <c:v>62</c:v>
                </c:pt>
                <c:pt idx="4">
                  <c:v>66</c:v>
                </c:pt>
                <c:pt idx="5">
                  <c:v>66</c:v>
                </c:pt>
                <c:pt idx="6">
                  <c:v>66</c:v>
                </c:pt>
                <c:pt idx="7">
                  <c:v>67</c:v>
                </c:pt>
                <c:pt idx="8">
                  <c:v>68</c:v>
                </c:pt>
                <c:pt idx="9">
                  <c:v>69</c:v>
                </c:pt>
                <c:pt idx="10">
                  <c:v>70</c:v>
                </c:pt>
                <c:pt idx="11">
                  <c:v>71</c:v>
                </c:pt>
                <c:pt idx="12">
                  <c:v>71</c:v>
                </c:pt>
                <c:pt idx="13">
                  <c:v>72</c:v>
                </c:pt>
                <c:pt idx="14">
                  <c:v>73</c:v>
                </c:pt>
                <c:pt idx="15">
                  <c:v>73</c:v>
                </c:pt>
                <c:pt idx="16">
                  <c:v>73</c:v>
                </c:pt>
                <c:pt idx="17">
                  <c:v>73</c:v>
                </c:pt>
                <c:pt idx="18">
                  <c:v>74</c:v>
                </c:pt>
                <c:pt idx="19">
                  <c:v>78</c:v>
                </c:pt>
                <c:pt idx="20">
                  <c:v>80</c:v>
                </c:pt>
                <c:pt idx="21">
                  <c:v>80</c:v>
                </c:pt>
                <c:pt idx="22">
                  <c:v>80</c:v>
                </c:pt>
                <c:pt idx="23">
                  <c:v>81</c:v>
                </c:pt>
                <c:pt idx="24">
                  <c:v>83</c:v>
                </c:pt>
                <c:pt idx="25">
                  <c:v>83</c:v>
                </c:pt>
                <c:pt idx="26">
                  <c:v>85</c:v>
                </c:pt>
                <c:pt idx="27">
                  <c:v>85</c:v>
                </c:pt>
              </c:numCache>
            </c:numRef>
          </c:val>
        </c:ser>
        <c:dLbls>
          <c:showLegendKey val="0"/>
          <c:showVal val="0"/>
          <c:showCatName val="0"/>
          <c:showSerName val="0"/>
          <c:showPercent val="0"/>
          <c:showBubbleSize val="0"/>
        </c:dLbls>
        <c:gapWidth val="75"/>
        <c:overlap val="-25"/>
        <c:axId val="179973120"/>
        <c:axId val="179996160"/>
      </c:barChart>
      <c:lineChart>
        <c:grouping val="standard"/>
        <c:varyColors val="0"/>
        <c:ser>
          <c:idx val="1"/>
          <c:order val="1"/>
          <c:tx>
            <c:strRef>
              <c:f>Blad1!$C$2</c:f>
              <c:strCache>
                <c:ptCount val="1"/>
                <c:pt idx="0">
                  <c:v>Within 70 days of being notified by the Commission of problems, the Member State should provide a solution to these</c:v>
                </c:pt>
              </c:strCache>
            </c:strRef>
          </c:tx>
          <c:spPr>
            <a:ln w="15875">
              <a:solidFill>
                <a:srgbClr val="C00000"/>
              </a:solidFill>
              <a:prstDash val="dash"/>
            </a:ln>
          </c:spPr>
          <c:marker>
            <c:symbol val="none"/>
          </c:marker>
          <c:cat>
            <c:strRef>
              <c:f>Blad1!$A$3:$A$30</c:f>
              <c:strCache>
                <c:ptCount val="28"/>
                <c:pt idx="0">
                  <c:v>SK</c:v>
                </c:pt>
                <c:pt idx="1">
                  <c:v>LT</c:v>
                </c:pt>
                <c:pt idx="2">
                  <c:v>PT</c:v>
                </c:pt>
                <c:pt idx="3">
                  <c:v>NL</c:v>
                </c:pt>
                <c:pt idx="4">
                  <c:v>BG</c:v>
                </c:pt>
                <c:pt idx="5">
                  <c:v>HR</c:v>
                </c:pt>
                <c:pt idx="6">
                  <c:v>HU</c:v>
                </c:pt>
                <c:pt idx="7">
                  <c:v>LV</c:v>
                </c:pt>
                <c:pt idx="8">
                  <c:v>AT</c:v>
                </c:pt>
                <c:pt idx="9">
                  <c:v>DE</c:v>
                </c:pt>
                <c:pt idx="10">
                  <c:v>IE</c:v>
                </c:pt>
                <c:pt idx="11">
                  <c:v>EL</c:v>
                </c:pt>
                <c:pt idx="12">
                  <c:v>PL</c:v>
                </c:pt>
                <c:pt idx="13">
                  <c:v>SI</c:v>
                </c:pt>
                <c:pt idx="14">
                  <c:v>CY</c:v>
                </c:pt>
                <c:pt idx="15">
                  <c:v>EE</c:v>
                </c:pt>
                <c:pt idx="16">
                  <c:v>MT</c:v>
                </c:pt>
                <c:pt idx="17">
                  <c:v>SE</c:v>
                </c:pt>
                <c:pt idx="18">
                  <c:v>IT</c:v>
                </c:pt>
                <c:pt idx="19">
                  <c:v>ES</c:v>
                </c:pt>
                <c:pt idx="20">
                  <c:v>DK</c:v>
                </c:pt>
                <c:pt idx="21">
                  <c:v>LU</c:v>
                </c:pt>
                <c:pt idx="22">
                  <c:v>RO</c:v>
                </c:pt>
                <c:pt idx="23">
                  <c:v>FI</c:v>
                </c:pt>
                <c:pt idx="24">
                  <c:v>CZ</c:v>
                </c:pt>
                <c:pt idx="25">
                  <c:v>UK</c:v>
                </c:pt>
                <c:pt idx="26">
                  <c:v>BE</c:v>
                </c:pt>
                <c:pt idx="27">
                  <c:v>FR</c:v>
                </c:pt>
              </c:strCache>
            </c:strRef>
          </c:cat>
          <c:val>
            <c:numRef>
              <c:f>Blad1!$C$3:$C$30</c:f>
              <c:numCache>
                <c:formatCode>General</c:formatCode>
                <c:ptCount val="28"/>
                <c:pt idx="0">
                  <c:v>70</c:v>
                </c:pt>
                <c:pt idx="1">
                  <c:v>70</c:v>
                </c:pt>
                <c:pt idx="2">
                  <c:v>70</c:v>
                </c:pt>
                <c:pt idx="3">
                  <c:v>70</c:v>
                </c:pt>
                <c:pt idx="4">
                  <c:v>70</c:v>
                </c:pt>
                <c:pt idx="5">
                  <c:v>70</c:v>
                </c:pt>
                <c:pt idx="6">
                  <c:v>70</c:v>
                </c:pt>
                <c:pt idx="7">
                  <c:v>70</c:v>
                </c:pt>
                <c:pt idx="8">
                  <c:v>70</c:v>
                </c:pt>
                <c:pt idx="9">
                  <c:v>70</c:v>
                </c:pt>
                <c:pt idx="10">
                  <c:v>70</c:v>
                </c:pt>
                <c:pt idx="11">
                  <c:v>70</c:v>
                </c:pt>
                <c:pt idx="12">
                  <c:v>70</c:v>
                </c:pt>
                <c:pt idx="13">
                  <c:v>70</c:v>
                </c:pt>
                <c:pt idx="14">
                  <c:v>70</c:v>
                </c:pt>
                <c:pt idx="15">
                  <c:v>70</c:v>
                </c:pt>
                <c:pt idx="16">
                  <c:v>70</c:v>
                </c:pt>
                <c:pt idx="17">
                  <c:v>70</c:v>
                </c:pt>
                <c:pt idx="18">
                  <c:v>70</c:v>
                </c:pt>
                <c:pt idx="19">
                  <c:v>70</c:v>
                </c:pt>
                <c:pt idx="20">
                  <c:v>70</c:v>
                </c:pt>
                <c:pt idx="21">
                  <c:v>70</c:v>
                </c:pt>
                <c:pt idx="22">
                  <c:v>70</c:v>
                </c:pt>
                <c:pt idx="23">
                  <c:v>70</c:v>
                </c:pt>
                <c:pt idx="24">
                  <c:v>70</c:v>
                </c:pt>
                <c:pt idx="25">
                  <c:v>70</c:v>
                </c:pt>
                <c:pt idx="26">
                  <c:v>70</c:v>
                </c:pt>
                <c:pt idx="27">
                  <c:v>70</c:v>
                </c:pt>
              </c:numCache>
            </c:numRef>
          </c:val>
          <c:smooth val="0"/>
        </c:ser>
        <c:dLbls>
          <c:showLegendKey val="0"/>
          <c:showVal val="0"/>
          <c:showCatName val="0"/>
          <c:showSerName val="0"/>
          <c:showPercent val="0"/>
          <c:showBubbleSize val="0"/>
        </c:dLbls>
        <c:marker val="1"/>
        <c:smooth val="0"/>
        <c:axId val="179973120"/>
        <c:axId val="179996160"/>
      </c:lineChart>
      <c:catAx>
        <c:axId val="17997312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bg-BG" sz="800"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179996160"/>
        <c:crosses val="autoZero"/>
        <c:auto val="1"/>
        <c:lblAlgn val="ctr"/>
        <c:lblOffset val="100"/>
        <c:noMultiLvlLbl val="0"/>
      </c:catAx>
      <c:valAx>
        <c:axId val="179996160"/>
        <c:scaling>
          <c:orientation val="minMax"/>
          <c:min val="50"/>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one"/>
        <c:crossAx val="179973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bg-BG" sz="1100" b="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bg-BG" sz="1100" b="0" baseline="0">
                <a:solidFill>
                  <a:srgbClr val="002060"/>
                </a:solidFill>
                <a:latin typeface="Arial" panose="020B0604020202020204" pitchFamily="34" charset="0"/>
                <a:ea typeface="Verdana" panose="020B0604030504040204" pitchFamily="34" charset="0"/>
                <a:cs typeface="Arial" panose="020B0604020202020204" pitchFamily="34" charset="0"/>
              </a:rPr>
              <a:t>Нови производства за установяване на неизпълнение на задължения към</a:t>
            </a:r>
            <a:endParaRPr lang="en-US" sz="1100" b="0" baseline="0">
              <a:solidFill>
                <a:srgbClr val="002060"/>
              </a:solidFill>
              <a:latin typeface="Arial" panose="020B0604020202020204" pitchFamily="34" charset="0"/>
              <a:ea typeface="Verdana" panose="020B0604030504040204" pitchFamily="34" charset="0"/>
              <a:cs typeface="Arial" panose="020B0604020202020204" pitchFamily="34" charset="0"/>
            </a:endParaRPr>
          </a:p>
          <a:p>
            <a:pPr>
              <a:defRPr lang="bg-BG" sz="1100" b="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en-US" sz="1100" b="0" baseline="0">
                <a:solidFill>
                  <a:srgbClr val="002060"/>
                </a:solidFill>
                <a:latin typeface="Arial" panose="020B0604020202020204" pitchFamily="34" charset="0"/>
                <a:ea typeface="Verdana" panose="020B0604030504040204" pitchFamily="34" charset="0"/>
                <a:cs typeface="Arial" panose="020B0604020202020204" pitchFamily="34" charset="0"/>
              </a:rPr>
              <a:t>31</a:t>
            </a:r>
            <a:r>
              <a:rPr lang="bg-BG" sz="1100" b="0" baseline="0">
                <a:solidFill>
                  <a:srgbClr val="002060"/>
                </a:solidFill>
                <a:latin typeface="Arial" panose="020B0604020202020204" pitchFamily="34" charset="0"/>
                <a:ea typeface="Verdana" panose="020B0604030504040204" pitchFamily="34" charset="0"/>
                <a:cs typeface="Arial" panose="020B0604020202020204" pitchFamily="34" charset="0"/>
              </a:rPr>
              <a:t> декември </a:t>
            </a:r>
            <a:r>
              <a:rPr lang="en-US" sz="1100" b="0" baseline="0">
                <a:solidFill>
                  <a:srgbClr val="002060"/>
                </a:solidFill>
                <a:latin typeface="Arial" panose="020B0604020202020204" pitchFamily="34" charset="0"/>
                <a:ea typeface="Verdana" panose="020B0604030504040204" pitchFamily="34" charset="0"/>
                <a:cs typeface="Arial" panose="020B0604020202020204" pitchFamily="34" charset="0"/>
              </a:rPr>
              <a:t>2015</a:t>
            </a:r>
            <a:r>
              <a:rPr lang="bg-BG" sz="1100" b="0" baseline="0">
                <a:solidFill>
                  <a:srgbClr val="002060"/>
                </a:solidFill>
                <a:latin typeface="Arial" panose="020B0604020202020204" pitchFamily="34" charset="0"/>
                <a:ea typeface="Verdana" panose="020B0604030504040204" pitchFamily="34" charset="0"/>
                <a:cs typeface="Arial" panose="020B0604020202020204" pitchFamily="34" charset="0"/>
              </a:rPr>
              <a:t> г.</a:t>
            </a:r>
            <a:endParaRPr lang="en-US" sz="1100" b="0">
              <a:solidFill>
                <a:srgbClr val="002060"/>
              </a:solidFill>
              <a:latin typeface="Arial" panose="020B0604020202020204" pitchFamily="34" charset="0"/>
              <a:ea typeface="Verdana" panose="020B0604030504040204" pitchFamily="34" charset="0"/>
              <a:cs typeface="Arial" panose="020B0604020202020204" pitchFamily="34" charset="0"/>
            </a:endParaRPr>
          </a:p>
        </c:rich>
      </c:tx>
      <c:overlay val="0"/>
    </c:title>
    <c:autoTitleDeleted val="0"/>
    <c:plotArea>
      <c:layout/>
      <c:barChart>
        <c:barDir val="col"/>
        <c:grouping val="clustered"/>
        <c:varyColors val="0"/>
        <c:ser>
          <c:idx val="0"/>
          <c:order val="0"/>
          <c:tx>
            <c:strRef>
              <c:f>Blad1!$B$2</c:f>
              <c:strCache>
                <c:ptCount val="1"/>
                <c:pt idx="0">
                  <c:v>Number of late infringement cases</c:v>
                </c:pt>
              </c:strCache>
            </c:strRef>
          </c:tx>
          <c:spPr>
            <a:solidFill>
              <a:schemeClr val="accent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txPr>
              <a:bodyPr/>
              <a:lstStyle/>
              <a:p>
                <a:pPr>
                  <a:defRPr lang="bg-BG" sz="800">
                    <a:latin typeface="Verdana" panose="020B0604030504040204" pitchFamily="34" charset="0"/>
                    <a:ea typeface="Verdana" panose="020B0604030504040204" pitchFamily="34" charset="0"/>
                    <a:cs typeface="Verdana" panose="020B0604030504040204" pitchFamily="34" charset="0"/>
                  </a:defRPr>
                </a:pPr>
                <a:endParaRPr lang="en-US"/>
              </a:p>
            </c:txPr>
            <c:dLblPos val="outEnd"/>
            <c:showLegendKey val="0"/>
            <c:showVal val="1"/>
            <c:showCatName val="0"/>
            <c:showSerName val="0"/>
            <c:showPercent val="0"/>
            <c:showBubbleSize val="0"/>
            <c:showLeaderLines val="0"/>
          </c:dLbls>
          <c:cat>
            <c:strRef>
              <c:f>Blad1!$A$3:$A$30</c:f>
              <c:strCache>
                <c:ptCount val="28"/>
                <c:pt idx="0">
                  <c:v>EE</c:v>
                </c:pt>
                <c:pt idx="1">
                  <c:v>IE</c:v>
                </c:pt>
                <c:pt idx="2">
                  <c:v>NL</c:v>
                </c:pt>
                <c:pt idx="3">
                  <c:v>DK</c:v>
                </c:pt>
                <c:pt idx="4">
                  <c:v>HR</c:v>
                </c:pt>
                <c:pt idx="5">
                  <c:v>LV</c:v>
                </c:pt>
                <c:pt idx="6">
                  <c:v>AT</c:v>
                </c:pt>
                <c:pt idx="7">
                  <c:v>CZ</c:v>
                </c:pt>
                <c:pt idx="8">
                  <c:v>FI</c:v>
                </c:pt>
                <c:pt idx="9">
                  <c:v>LT</c:v>
                </c:pt>
                <c:pt idx="10">
                  <c:v>MT</c:v>
                </c:pt>
                <c:pt idx="11">
                  <c:v>UK</c:v>
                </c:pt>
                <c:pt idx="12">
                  <c:v>LU</c:v>
                </c:pt>
                <c:pt idx="13">
                  <c:v>BG</c:v>
                </c:pt>
                <c:pt idx="14">
                  <c:v>SK</c:v>
                </c:pt>
                <c:pt idx="15">
                  <c:v>PL</c:v>
                </c:pt>
                <c:pt idx="16">
                  <c:v>HU</c:v>
                </c:pt>
                <c:pt idx="17">
                  <c:v>RO</c:v>
                </c:pt>
                <c:pt idx="18">
                  <c:v>SE</c:v>
                </c:pt>
                <c:pt idx="19">
                  <c:v>IT</c:v>
                </c:pt>
                <c:pt idx="20">
                  <c:v>PT</c:v>
                </c:pt>
                <c:pt idx="21">
                  <c:v>SI</c:v>
                </c:pt>
                <c:pt idx="22">
                  <c:v>FR</c:v>
                </c:pt>
                <c:pt idx="23">
                  <c:v>BE</c:v>
                </c:pt>
                <c:pt idx="24">
                  <c:v>DE</c:v>
                </c:pt>
                <c:pt idx="25">
                  <c:v>ES</c:v>
                </c:pt>
                <c:pt idx="26">
                  <c:v>EL</c:v>
                </c:pt>
                <c:pt idx="27">
                  <c:v>CY</c:v>
                </c:pt>
              </c:strCache>
            </c:strRef>
          </c:cat>
          <c:val>
            <c:numRef>
              <c:f>Blad1!$B$3:$B$30</c:f>
              <c:numCache>
                <c:formatCode>General</c:formatCode>
                <c:ptCount val="28"/>
                <c:pt idx="0">
                  <c:v>16</c:v>
                </c:pt>
                <c:pt idx="1">
                  <c:v>17</c:v>
                </c:pt>
                <c:pt idx="2">
                  <c:v>17</c:v>
                </c:pt>
                <c:pt idx="3">
                  <c:v>18</c:v>
                </c:pt>
                <c:pt idx="4">
                  <c:v>18</c:v>
                </c:pt>
                <c:pt idx="5">
                  <c:v>18</c:v>
                </c:pt>
                <c:pt idx="6">
                  <c:v>21</c:v>
                </c:pt>
                <c:pt idx="7">
                  <c:v>21</c:v>
                </c:pt>
                <c:pt idx="8">
                  <c:v>21</c:v>
                </c:pt>
                <c:pt idx="9">
                  <c:v>21</c:v>
                </c:pt>
                <c:pt idx="10">
                  <c:v>22</c:v>
                </c:pt>
                <c:pt idx="11">
                  <c:v>22</c:v>
                </c:pt>
                <c:pt idx="12">
                  <c:v>24</c:v>
                </c:pt>
                <c:pt idx="13">
                  <c:v>25</c:v>
                </c:pt>
                <c:pt idx="14">
                  <c:v>25</c:v>
                </c:pt>
                <c:pt idx="15">
                  <c:v>26</c:v>
                </c:pt>
                <c:pt idx="16">
                  <c:v>27</c:v>
                </c:pt>
                <c:pt idx="17">
                  <c:v>29</c:v>
                </c:pt>
                <c:pt idx="18">
                  <c:v>29</c:v>
                </c:pt>
                <c:pt idx="19">
                  <c:v>31</c:v>
                </c:pt>
                <c:pt idx="20">
                  <c:v>31</c:v>
                </c:pt>
                <c:pt idx="21">
                  <c:v>32</c:v>
                </c:pt>
                <c:pt idx="22">
                  <c:v>35</c:v>
                </c:pt>
                <c:pt idx="23">
                  <c:v>35</c:v>
                </c:pt>
                <c:pt idx="24">
                  <c:v>37</c:v>
                </c:pt>
                <c:pt idx="25">
                  <c:v>37</c:v>
                </c:pt>
                <c:pt idx="26">
                  <c:v>40</c:v>
                </c:pt>
                <c:pt idx="27">
                  <c:v>47</c:v>
                </c:pt>
              </c:numCache>
            </c:numRef>
          </c:val>
        </c:ser>
        <c:dLbls>
          <c:showLegendKey val="0"/>
          <c:showVal val="0"/>
          <c:showCatName val="0"/>
          <c:showSerName val="0"/>
          <c:showPercent val="0"/>
          <c:showBubbleSize val="0"/>
        </c:dLbls>
        <c:gapWidth val="75"/>
        <c:overlap val="-25"/>
        <c:axId val="180322304"/>
        <c:axId val="180323840"/>
      </c:barChart>
      <c:catAx>
        <c:axId val="180322304"/>
        <c:scaling>
          <c:orientation val="minMax"/>
        </c:scaling>
        <c:delete val="0"/>
        <c:axPos val="b"/>
        <c:numFmt formatCode="General" sourceLinked="1"/>
        <c:majorTickMark val="none"/>
        <c:minorTickMark val="none"/>
        <c:tickLblPos val="nextTo"/>
        <c:spPr>
          <a:noFill/>
          <a:ln w="12702" cap="flat" cmpd="sng" algn="ctr">
            <a:solidFill>
              <a:schemeClr val="tx1">
                <a:lumMod val="15000"/>
                <a:lumOff val="85000"/>
              </a:schemeClr>
            </a:solidFill>
            <a:round/>
          </a:ln>
          <a:effectLst/>
        </c:spPr>
        <c:txPr>
          <a:bodyPr rot="-60000000" spcFirstLastPara="1" vertOverflow="ellipsis" vert="horz" wrap="square" anchor="ctr" anchorCtr="1"/>
          <a:lstStyle/>
          <a:p>
            <a:pPr>
              <a:defRPr lang="bg-BG" sz="800"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180323840"/>
        <c:crosses val="autoZero"/>
        <c:auto val="1"/>
        <c:lblAlgn val="ctr"/>
        <c:lblOffset val="100"/>
        <c:noMultiLvlLbl val="0"/>
      </c:catAx>
      <c:valAx>
        <c:axId val="180323840"/>
        <c:scaling>
          <c:orientation val="minMax"/>
          <c:min val="10"/>
        </c:scaling>
        <c:delete val="1"/>
        <c:axPos val="l"/>
        <c:majorGridlines>
          <c:spPr>
            <a:ln w="9526" cap="flat" cmpd="sng" algn="ctr">
              <a:solidFill>
                <a:schemeClr val="tx1">
                  <a:lumMod val="15000"/>
                  <a:lumOff val="85000"/>
                </a:schemeClr>
              </a:solidFill>
              <a:round/>
            </a:ln>
            <a:effectLst/>
          </c:spPr>
        </c:majorGridlines>
        <c:numFmt formatCode="General" sourceLinked="1"/>
        <c:majorTickMark val="out"/>
        <c:minorTickMark val="none"/>
        <c:tickLblPos val="none"/>
        <c:crossAx val="180322304"/>
        <c:crosses val="autoZero"/>
        <c:crossBetween val="between"/>
      </c:valAx>
      <c:spPr>
        <a:noFill/>
        <a:ln w="25403">
          <a:noFill/>
        </a:ln>
      </c:spPr>
    </c:plotArea>
    <c:plotVisOnly val="1"/>
    <c:dispBlanksAs val="gap"/>
    <c:showDLblsOverMax val="0"/>
  </c:chart>
  <c:spPr>
    <a:solidFill>
      <a:schemeClr val="bg1"/>
    </a:solidFill>
    <a:ln w="9526"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bg-BG" sz="1100" b="0" i="0" u="none" strike="noStrike" kern="1200" baseline="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bg-BG" sz="1100" b="0" baseline="0">
                <a:solidFill>
                  <a:srgbClr val="002060"/>
                </a:solidFill>
                <a:latin typeface="Arial" panose="020B0604020202020204" pitchFamily="34" charset="0"/>
                <a:ea typeface="Verdana" panose="020B0604030504040204" pitchFamily="34" charset="0"/>
                <a:cs typeface="Arial" panose="020B0604020202020204" pitchFamily="34" charset="0"/>
              </a:rPr>
              <a:t>Започнати нови производства за установяване на неизпълнение на задължения през </a:t>
            </a:r>
            <a:r>
              <a:rPr lang="nl-BE" sz="1100" b="0" baseline="0">
                <a:solidFill>
                  <a:srgbClr val="002060"/>
                </a:solidFill>
                <a:latin typeface="Arial" panose="020B0604020202020204" pitchFamily="34" charset="0"/>
                <a:ea typeface="Verdana" panose="020B0604030504040204" pitchFamily="34" charset="0"/>
                <a:cs typeface="Arial" panose="020B0604020202020204" pitchFamily="34" charset="0"/>
              </a:rPr>
              <a:t>2015</a:t>
            </a:r>
            <a:r>
              <a:rPr lang="bg-BG" sz="1100" b="0" baseline="0">
                <a:solidFill>
                  <a:srgbClr val="002060"/>
                </a:solidFill>
                <a:latin typeface="Arial" panose="020B0604020202020204" pitchFamily="34" charset="0"/>
                <a:ea typeface="Verdana" panose="020B0604030504040204" pitchFamily="34" charset="0"/>
                <a:cs typeface="Arial" panose="020B0604020202020204" pitchFamily="34" charset="0"/>
              </a:rPr>
              <a:t> г.</a:t>
            </a:r>
            <a:r>
              <a:rPr lang="nl-BE" sz="1100" b="0" baseline="0">
                <a:solidFill>
                  <a:srgbClr val="002060"/>
                </a:solidFill>
                <a:latin typeface="Arial" panose="020B0604020202020204" pitchFamily="34" charset="0"/>
                <a:ea typeface="Verdana" panose="020B0604030504040204" pitchFamily="34" charset="0"/>
                <a:cs typeface="Arial" panose="020B0604020202020204" pitchFamily="34" charset="0"/>
              </a:rPr>
              <a:t>: </a:t>
            </a:r>
            <a:r>
              <a:rPr lang="bg-BG" sz="1100" b="0" baseline="0">
                <a:solidFill>
                  <a:srgbClr val="002060"/>
                </a:solidFill>
                <a:latin typeface="Arial" panose="020B0604020202020204" pitchFamily="34" charset="0"/>
                <a:ea typeface="Verdana" panose="020B0604030504040204" pitchFamily="34" charset="0"/>
                <a:cs typeface="Arial" panose="020B0604020202020204" pitchFamily="34" charset="0"/>
              </a:rPr>
              <a:t>основни области на политиката</a:t>
            </a:r>
            <a:endParaRPr lang="nl-BE" sz="1100" b="0">
              <a:solidFill>
                <a:srgbClr val="002060"/>
              </a:solidFill>
              <a:latin typeface="Arial" panose="020B0604020202020204" pitchFamily="34" charset="0"/>
              <a:ea typeface="Verdana" panose="020B0604030504040204" pitchFamily="34" charset="0"/>
              <a:cs typeface="Arial" panose="020B0604020202020204" pitchFamily="34" charset="0"/>
            </a:endParaRPr>
          </a:p>
        </c:rich>
      </c:tx>
      <c:layout>
        <c:manualLayout>
          <c:xMode val="edge"/>
          <c:yMode val="edge"/>
          <c:x val="0.12670016687211241"/>
          <c:y val="2.4242298660035952E-2"/>
        </c:manualLayout>
      </c:layout>
      <c:overlay val="0"/>
      <c:spPr>
        <a:noFill/>
        <a:ln>
          <a:noFill/>
        </a:ln>
        <a:effectLst/>
      </c:spPr>
    </c:title>
    <c:autoTitleDeleted val="0"/>
    <c:plotArea>
      <c:layout/>
      <c:pieChart>
        <c:varyColors val="1"/>
        <c:ser>
          <c:idx val="0"/>
          <c:order val="0"/>
          <c:tx>
            <c:strRef>
              <c:f>Blad1!$B$1</c:f>
              <c:strCache>
                <c:ptCount val="1"/>
                <c:pt idx="0">
                  <c:v>893 newly opened infringement cases in 2014</c:v>
                </c:pt>
              </c:strCache>
            </c:strRef>
          </c:tx>
          <c:spPr>
            <a:scene3d>
              <a:camera prst="orthographicFront"/>
              <a:lightRig rig="threePt" dir="t"/>
            </a:scene3d>
            <a:sp3d>
              <a:bevelT w="63500" h="25400"/>
            </a:sp3d>
          </c:spPr>
          <c:dPt>
            <c:idx val="0"/>
            <c:bubble3D val="0"/>
            <c:spPr>
              <a:solidFill>
                <a:srgbClr val="808AA4"/>
              </a:solidFill>
              <a:ln>
                <a:noFill/>
              </a:ln>
              <a:effectLst>
                <a:outerShdw blurRad="40000" dist="23000" dir="5400000" rotWithShape="0">
                  <a:srgbClr val="000000">
                    <a:alpha val="35000"/>
                  </a:srgbClr>
                </a:outerShdw>
              </a:effectLst>
              <a:scene3d>
                <a:camera prst="orthographicFront"/>
                <a:lightRig rig="threePt" dir="t"/>
              </a:scene3d>
              <a:sp3d>
                <a:bevelT w="63500" h="25400"/>
              </a:sp3d>
            </c:spPr>
          </c:dPt>
          <c:dPt>
            <c:idx val="1"/>
            <c:bubble3D val="0"/>
            <c:spPr>
              <a:solidFill>
                <a:srgbClr val="FF9900"/>
              </a:solidFill>
              <a:ln>
                <a:noFill/>
              </a:ln>
              <a:effectLst>
                <a:outerShdw blurRad="40000" dist="23000" dir="5400000" rotWithShape="0">
                  <a:srgbClr val="000000">
                    <a:alpha val="35000"/>
                  </a:srgbClr>
                </a:outerShdw>
              </a:effectLst>
              <a:scene3d>
                <a:camera prst="orthographicFront"/>
                <a:lightRig rig="threePt" dir="t"/>
              </a:scene3d>
              <a:sp3d>
                <a:bevelT w="63500" h="25400"/>
              </a:sp3d>
            </c:spPr>
          </c:dPt>
          <c:dPt>
            <c:idx val="2"/>
            <c:bubble3D val="0"/>
            <c:spPr>
              <a:solidFill>
                <a:srgbClr val="7030A0"/>
              </a:solidFill>
              <a:ln>
                <a:noFill/>
              </a:ln>
              <a:effectLst>
                <a:outerShdw blurRad="40000" dist="23000" dir="5400000" rotWithShape="0">
                  <a:srgbClr val="000000">
                    <a:alpha val="35000"/>
                  </a:srgbClr>
                </a:outerShdw>
              </a:effectLst>
              <a:scene3d>
                <a:camera prst="orthographicFront"/>
                <a:lightRig rig="threePt" dir="t"/>
              </a:scene3d>
              <a:sp3d>
                <a:bevelT w="63500" h="25400"/>
              </a:sp3d>
            </c:spPr>
          </c:dPt>
          <c:dPt>
            <c:idx val="3"/>
            <c:bubble3D val="0"/>
            <c:spPr>
              <a:solidFill>
                <a:srgbClr val="00A676"/>
              </a:solidFill>
              <a:scene3d>
                <a:camera prst="orthographicFront"/>
                <a:lightRig rig="threePt" dir="t"/>
              </a:scene3d>
              <a:sp3d>
                <a:bevelT w="63500" h="25400"/>
              </a:sp3d>
            </c:spPr>
          </c:dPt>
          <c:dPt>
            <c:idx val="4"/>
            <c:bubble3D val="0"/>
            <c:spPr>
              <a:solidFill>
                <a:srgbClr val="000099"/>
              </a:solidFill>
              <a:scene3d>
                <a:camera prst="orthographicFront"/>
                <a:lightRig rig="threePt" dir="t"/>
              </a:scene3d>
              <a:sp3d>
                <a:bevelT w="63500" h="25400"/>
              </a:sp3d>
            </c:spPr>
          </c:dPt>
          <c:dLbls>
            <c:dLbl>
              <c:idx val="0"/>
              <c:layout>
                <c:manualLayout>
                  <c:x val="-4.7063805522712333E-4"/>
                  <c:y val="6.4412211631442215E-2"/>
                </c:manualLayout>
              </c:layout>
              <c:tx>
                <c:rich>
                  <a:bodyPr/>
                  <a:lstStyle/>
                  <a:p>
                    <a:r>
                      <a:rPr lang="bg-BG"/>
                      <a:t>Други</a:t>
                    </a:r>
                    <a:r>
                      <a:rPr lang="en-US"/>
                      <a:t>
254</a:t>
                    </a:r>
                  </a:p>
                </c:rich>
              </c:tx>
              <c:dLblPos val="bestFit"/>
              <c:showLegendKey val="1"/>
              <c:showVal val="1"/>
              <c:showCatName val="1"/>
              <c:showSerName val="0"/>
              <c:showPercent val="0"/>
              <c:showBubbleSize val="0"/>
              <c:separator>
</c:separator>
            </c:dLbl>
            <c:dLbl>
              <c:idx val="1"/>
              <c:layout>
                <c:manualLayout>
                  <c:x val="-2.5850502712720293E-2"/>
                  <c:y val="-4.3859649122807015E-2"/>
                </c:manualLayout>
              </c:layout>
              <c:tx>
                <c:rich>
                  <a:bodyPr/>
                  <a:lstStyle/>
                  <a:p>
                    <a:r>
                      <a:rPr lang="bg-BG"/>
                      <a:t>Мобилност и транспорт</a:t>
                    </a:r>
                    <a:r>
                      <a:rPr lang="en-US"/>
                      <a:t>
148</a:t>
                    </a:r>
                  </a:p>
                </c:rich>
              </c:tx>
              <c:dLblPos val="bestFit"/>
              <c:showLegendKey val="1"/>
              <c:showVal val="1"/>
              <c:showCatName val="1"/>
              <c:showSerName val="0"/>
              <c:showPercent val="0"/>
              <c:showBubbleSize val="0"/>
              <c:separator>
</c:separator>
            </c:dLbl>
            <c:dLbl>
              <c:idx val="2"/>
              <c:tx>
                <c:rich>
                  <a:bodyPr/>
                  <a:lstStyle/>
                  <a:p>
                    <a:r>
                      <a:rPr lang="bg-BG"/>
                      <a:t>Финансова стабилност</a:t>
                    </a:r>
                    <a:r>
                      <a:rPr lang="en-US"/>
                      <a:t>,</a:t>
                    </a:r>
                    <a:r>
                      <a:rPr lang="bg-BG"/>
                      <a:t> финансови услуги и съюз</a:t>
                    </a:r>
                    <a:r>
                      <a:rPr lang="bg-BG" baseline="0"/>
                      <a:t> на капиталовите пазари</a:t>
                    </a:r>
                    <a:r>
                      <a:rPr lang="en-US"/>
                      <a:t>
136</a:t>
                    </a:r>
                  </a:p>
                </c:rich>
              </c:tx>
              <c:dLblPos val="outEnd"/>
              <c:showLegendKey val="1"/>
              <c:showVal val="1"/>
              <c:showCatName val="1"/>
              <c:showSerName val="0"/>
              <c:showPercent val="0"/>
              <c:showBubbleSize val="0"/>
              <c:separator>
</c:separator>
            </c:dLbl>
            <c:dLbl>
              <c:idx val="3"/>
              <c:layout>
                <c:manualLayout>
                  <c:x val="2.0396761507048028E-2"/>
                  <c:y val="3.0701754385964952E-2"/>
                </c:manualLayout>
              </c:layout>
              <c:tx>
                <c:rich>
                  <a:bodyPr/>
                  <a:lstStyle/>
                  <a:p>
                    <a:r>
                      <a:rPr lang="bg-BG"/>
                      <a:t>Околна среда</a:t>
                    </a:r>
                    <a:r>
                      <a:rPr lang="en-US"/>
                      <a:t>
126</a:t>
                    </a:r>
                  </a:p>
                </c:rich>
              </c:tx>
              <c:dLblPos val="bestFit"/>
              <c:showLegendKey val="1"/>
              <c:showVal val="1"/>
              <c:showCatName val="1"/>
              <c:showSerName val="0"/>
              <c:showPercent val="0"/>
              <c:showBubbleSize val="0"/>
              <c:separator>
</c:separator>
            </c:dLbl>
            <c:dLbl>
              <c:idx val="4"/>
              <c:layout>
                <c:manualLayout>
                  <c:x val="1.8636847710330143E-2"/>
                  <c:y val="0.18421052631578938"/>
                </c:manualLayout>
              </c:layout>
              <c:tx>
                <c:rich>
                  <a:bodyPr rot="0" spcFirstLastPara="1" vertOverflow="ellipsis" vert="horz" wrap="square" lIns="38100" tIns="19050" rIns="38100" bIns="19050" anchor="ctr" anchorCtr="1">
                    <a:spAutoFit/>
                  </a:bodyPr>
                  <a:lstStyle/>
                  <a:p>
                    <a:pPr>
                      <a:defRPr lang="bg-BG" sz="850" b="0" i="0" u="none" strike="noStrike" kern="1200" baseline="0">
                        <a:solidFill>
                          <a:sysClr val="windowText" lastClr="000000"/>
                        </a:solidFill>
                        <a:latin typeface="Arial" panose="020B0604020202020204" pitchFamily="34" charset="0"/>
                        <a:ea typeface="Verdana" panose="020B0604030504040204" pitchFamily="34" charset="0"/>
                        <a:cs typeface="Arial" panose="020B0604020202020204" pitchFamily="34" charset="0"/>
                      </a:defRPr>
                    </a:pPr>
                    <a:r>
                      <a:rPr lang="bg-BG" sz="900"/>
                      <a:t>Вътрешен пазар, промишленост, предприемачество и МСП</a:t>
                    </a:r>
                    <a:r>
                      <a:rPr lang="en-US" sz="900"/>
                      <a:t>
78</a:t>
                    </a:r>
                  </a:p>
                </c:rich>
              </c:tx>
              <c:spPr>
                <a:noFill/>
                <a:ln>
                  <a:noFill/>
                </a:ln>
                <a:effectLst/>
              </c:spPr>
              <c:dLblPos val="bestFit"/>
              <c:showLegendKey val="1"/>
              <c:showVal val="1"/>
              <c:showCatName val="1"/>
              <c:showSerName val="0"/>
              <c:showPercent val="0"/>
              <c:showBubbleSize val="0"/>
              <c:separator>
</c:separator>
            </c:dLbl>
            <c:spPr>
              <a:noFill/>
              <a:ln>
                <a:noFill/>
              </a:ln>
              <a:effectLst/>
            </c:spPr>
            <c:txPr>
              <a:bodyPr rot="0" spcFirstLastPara="1" vertOverflow="ellipsis" vert="horz" wrap="square" lIns="38100" tIns="19050" rIns="38100" bIns="19050" anchor="ctr" anchorCtr="1">
                <a:spAutoFit/>
              </a:bodyPr>
              <a:lstStyle/>
              <a:p>
                <a:pPr>
                  <a:defRPr lang="bg-BG" sz="900" b="0" i="0" u="none" strike="noStrike" kern="1200" baseline="0">
                    <a:solidFill>
                      <a:sysClr val="windowText" lastClr="000000"/>
                    </a:solidFill>
                    <a:latin typeface="Arial" panose="020B0604020202020204" pitchFamily="34" charset="0"/>
                    <a:ea typeface="Verdana" panose="020B0604030504040204" pitchFamily="34" charset="0"/>
                    <a:cs typeface="Arial" panose="020B0604020202020204" pitchFamily="34" charset="0"/>
                  </a:defRPr>
                </a:pPr>
                <a:endParaRPr lang="en-US"/>
              </a:p>
            </c:txPr>
            <c:dLblPos val="outEnd"/>
            <c:showLegendKey val="1"/>
            <c:showVal val="1"/>
            <c:showCatName val="1"/>
            <c:showSerName val="0"/>
            <c:showPercent val="0"/>
            <c:showBubbleSize val="0"/>
            <c:separator>
</c:separator>
            <c:showLeaderLines val="0"/>
            <c:extLst>
              <c:ext xmlns:c15="http://schemas.microsoft.com/office/drawing/2012/chart" uri="{CE6537A1-D6FC-4f65-9D91-7224C49458BB}">
                <c15:layout/>
              </c:ext>
            </c:extLst>
          </c:dLbls>
          <c:cat>
            <c:strRef>
              <c:f>Blad1!$A$2:$A$6</c:f>
              <c:strCache>
                <c:ptCount val="5"/>
                <c:pt idx="0">
                  <c:v>Other</c:v>
                </c:pt>
                <c:pt idx="1">
                  <c:v>Mobility and transport</c:v>
                </c:pt>
                <c:pt idx="2">
                  <c:v>Financial stability, financial services and capital markets union</c:v>
                </c:pt>
                <c:pt idx="3">
                  <c:v>Environment</c:v>
                </c:pt>
                <c:pt idx="4">
                  <c:v>Internal market, industry, entrepreneurship &amp; SMEs</c:v>
                </c:pt>
              </c:strCache>
            </c:strRef>
          </c:cat>
          <c:val>
            <c:numRef>
              <c:f>Blad1!$B$2:$B$6</c:f>
              <c:numCache>
                <c:formatCode>General</c:formatCode>
                <c:ptCount val="5"/>
                <c:pt idx="0" formatCode="0">
                  <c:v>254</c:v>
                </c:pt>
                <c:pt idx="1">
                  <c:v>148</c:v>
                </c:pt>
                <c:pt idx="2">
                  <c:v>136</c:v>
                </c:pt>
                <c:pt idx="3">
                  <c:v>126</c:v>
                </c:pt>
                <c:pt idx="4" formatCode="0">
                  <c:v>78</c:v>
                </c:pt>
              </c:numCache>
            </c:numRef>
          </c:val>
          <c:extLst/>
        </c:ser>
        <c:dLbls>
          <c:showLegendKey val="0"/>
          <c:showVal val="0"/>
          <c:showCatName val="0"/>
          <c:showSerName val="0"/>
          <c:showPercent val="1"/>
          <c:showBubbleSize val="0"/>
          <c:showLeaderLines val="0"/>
        </c:dLbls>
        <c:firstSliceAng val="52"/>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0.50285</cdr:x>
      <cdr:y>0.28509</cdr:y>
    </cdr:from>
    <cdr:to>
      <cdr:x>0.90228</cdr:x>
      <cdr:y>0.4104</cdr:y>
    </cdr:to>
    <cdr:sp macro="" textlink="">
      <cdr:nvSpPr>
        <cdr:cNvPr id="3" name="Text Box 2"/>
        <cdr:cNvSpPr txBox="1"/>
      </cdr:nvSpPr>
      <cdr:spPr>
        <a:xfrm xmlns:a="http://schemas.openxmlformats.org/drawingml/2006/main">
          <a:off x="2686034" y="866775"/>
          <a:ext cx="2133616" cy="381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bg-BG" sz="900">
              <a:solidFill>
                <a:srgbClr val="C00000"/>
              </a:solidFill>
              <a:latin typeface="Arial" panose="020B0604020202020204" pitchFamily="34" charset="0"/>
              <a:cs typeface="Arial" panose="020B0604020202020204" pitchFamily="34" charset="0"/>
            </a:rPr>
            <a:t>Средно за ЕС</a:t>
          </a:r>
          <a:r>
            <a:rPr lang="bg-BG" sz="900" baseline="0">
              <a:solidFill>
                <a:srgbClr val="C00000"/>
              </a:solidFill>
              <a:latin typeface="Arial" panose="020B0604020202020204" pitchFamily="34" charset="0"/>
              <a:cs typeface="Arial" panose="020B0604020202020204" pitchFamily="34" charset="0"/>
            </a:rPr>
            <a:t> </a:t>
          </a:r>
          <a:r>
            <a:rPr lang="bg-BG" sz="900">
              <a:solidFill>
                <a:srgbClr val="C00000"/>
              </a:solidFill>
              <a:latin typeface="Arial" panose="020B0604020202020204" pitchFamily="34" charset="0"/>
              <a:cs typeface="Arial" panose="020B0604020202020204" pitchFamily="34" charset="0"/>
            </a:rPr>
            <a:t>ниво на успеваемост при</a:t>
          </a:r>
          <a:r>
            <a:rPr lang="bg-BG" sz="900" baseline="0">
              <a:solidFill>
                <a:srgbClr val="C00000"/>
              </a:solidFill>
              <a:latin typeface="Arial" panose="020B0604020202020204" pitchFamily="34" charset="0"/>
              <a:cs typeface="Arial" panose="020B0604020202020204" pitchFamily="34" charset="0"/>
            </a:rPr>
            <a:t> намирането на решение</a:t>
          </a:r>
          <a:endParaRPr lang="en-GB" sz="900">
            <a:solidFill>
              <a:srgbClr val="C00000"/>
            </a:solidFill>
            <a:latin typeface="Arial" panose="020B0604020202020204" pitchFamily="34" charset="0"/>
            <a:cs typeface="Arial" panose="020B0604020202020204"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0.06653</cdr:x>
      <cdr:y>0.45842</cdr:y>
    </cdr:from>
    <cdr:to>
      <cdr:x>0.35416</cdr:x>
      <cdr:y>0.5565</cdr:y>
    </cdr:to>
    <cdr:sp macro="" textlink="">
      <cdr:nvSpPr>
        <cdr:cNvPr id="2" name="Text Box 1"/>
        <cdr:cNvSpPr txBox="1"/>
      </cdr:nvSpPr>
      <cdr:spPr>
        <a:xfrm xmlns:a="http://schemas.openxmlformats.org/drawingml/2006/main">
          <a:off x="353785" y="1170214"/>
          <a:ext cx="1529443" cy="25037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900">
            <a:solidFill>
              <a:srgbClr val="C00000"/>
            </a:solidFill>
            <a:latin typeface="Verdana" panose="020B0604030504040204" pitchFamily="34" charset="0"/>
            <a:ea typeface="Verdana" panose="020B0604030504040204" pitchFamily="34" charset="0"/>
            <a:cs typeface="Verdana" panose="020B0604030504040204" pitchFamily="34" charset="0"/>
          </a:endParaRPr>
        </a:p>
      </cdr:txBody>
    </cdr:sp>
  </cdr:relSizeAnchor>
  <cdr:relSizeAnchor xmlns:cdr="http://schemas.openxmlformats.org/drawingml/2006/chartDrawing">
    <cdr:from>
      <cdr:x>0.05118</cdr:x>
      <cdr:y>0.46695</cdr:y>
    </cdr:from>
    <cdr:to>
      <cdr:x>0.3255</cdr:x>
      <cdr:y>0.55011</cdr:y>
    </cdr:to>
    <cdr:sp macro="" textlink="">
      <cdr:nvSpPr>
        <cdr:cNvPr id="3" name="Text Box 2"/>
        <cdr:cNvSpPr txBox="1"/>
      </cdr:nvSpPr>
      <cdr:spPr>
        <a:xfrm xmlns:a="http://schemas.openxmlformats.org/drawingml/2006/main">
          <a:off x="272142" y="1191985"/>
          <a:ext cx="1458686" cy="21227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1100"/>
        </a:p>
      </cdr:txBody>
    </cdr:sp>
  </cdr:relSizeAnchor>
  <cdr:relSizeAnchor xmlns:cdr="http://schemas.openxmlformats.org/drawingml/2006/chartDrawing">
    <cdr:from>
      <cdr:x>0.02607</cdr:x>
      <cdr:y>0.35921</cdr:y>
    </cdr:from>
    <cdr:to>
      <cdr:x>0.3045</cdr:x>
      <cdr:y>0.48816</cdr:y>
    </cdr:to>
    <cdr:sp macro="" textlink="">
      <cdr:nvSpPr>
        <cdr:cNvPr id="4" name="Text Box 3"/>
        <cdr:cNvSpPr txBox="1"/>
      </cdr:nvSpPr>
      <cdr:spPr>
        <a:xfrm xmlns:a="http://schemas.openxmlformats.org/drawingml/2006/main">
          <a:off x="138632" y="1114425"/>
          <a:ext cx="1480618" cy="40004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bg-BG" sz="900">
              <a:solidFill>
                <a:srgbClr val="C00000"/>
              </a:solidFill>
              <a:latin typeface="Verdana" panose="020B0604030504040204" pitchFamily="34" charset="0"/>
              <a:ea typeface="Verdana" panose="020B0604030504040204" pitchFamily="34" charset="0"/>
              <a:cs typeface="Verdana" panose="020B0604030504040204" pitchFamily="34" charset="0"/>
            </a:rPr>
            <a:t>Индикативен срок от </a:t>
          </a:r>
          <a:r>
            <a:rPr lang="en-GB" sz="900">
              <a:solidFill>
                <a:srgbClr val="C00000"/>
              </a:solidFill>
              <a:latin typeface="Verdana" panose="020B0604030504040204" pitchFamily="34" charset="0"/>
              <a:ea typeface="Verdana" panose="020B0604030504040204" pitchFamily="34" charset="0"/>
              <a:cs typeface="Verdana" panose="020B0604030504040204" pitchFamily="34" charset="0"/>
            </a:rPr>
            <a:t>70 </a:t>
          </a:r>
          <a:r>
            <a:rPr lang="bg-BG" sz="900">
              <a:solidFill>
                <a:srgbClr val="C00000"/>
              </a:solidFill>
              <a:latin typeface="Verdana" panose="020B0604030504040204" pitchFamily="34" charset="0"/>
              <a:ea typeface="Verdana" panose="020B0604030504040204" pitchFamily="34" charset="0"/>
              <a:cs typeface="Verdana" panose="020B0604030504040204" pitchFamily="34" charset="0"/>
            </a:rPr>
            <a:t>дни</a:t>
          </a:r>
          <a:endParaRPr lang="en-GB" sz="900">
            <a:solidFill>
              <a:srgbClr val="C00000"/>
            </a:solidFill>
            <a:latin typeface="Verdana" panose="020B0604030504040204" pitchFamily="34" charset="0"/>
            <a:ea typeface="Verdana" panose="020B0604030504040204" pitchFamily="34" charset="0"/>
            <a:cs typeface="Verdana" panose="020B060403050404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9F0726229EA944A351C92A661F0C83" ma:contentTypeVersion="0" ma:contentTypeDescription="Create a new document." ma:contentTypeScope="" ma:versionID="52fd43feccd3b2c7b93776ef59e179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07B4A-51FA-4C5C-B475-F968A9D782DE}">
  <ds:schemaRefs>
    <ds:schemaRef ds:uri="http://schemas.openxmlformats.org/package/2006/metadata/core-properties"/>
    <ds:schemaRef ds:uri="http://purl.org/dc/dcmitype/"/>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D535CDC4-13F9-4318-8328-1A8BB0A81085}">
  <ds:schemaRefs>
    <ds:schemaRef ds:uri="http://schemas.microsoft.com/sharepoint/v3/contenttype/forms"/>
  </ds:schemaRefs>
</ds:datastoreItem>
</file>

<file path=customXml/itemProps3.xml><?xml version="1.0" encoding="utf-8"?>
<ds:datastoreItem xmlns:ds="http://schemas.openxmlformats.org/officeDocument/2006/customXml" ds:itemID="{EDD2C900-15F6-4645-A8D4-C4AF3628C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786597-0735-4398-A8B4-5D412FACA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878</TotalTime>
  <Pages>35</Pages>
  <Words>11196</Words>
  <Characters>62478</Characters>
  <Application>Microsoft Office Word</Application>
  <DocSecurity>0</DocSecurity>
  <PresentationFormat>Microsoft Word 11.0</PresentationFormat>
  <Lines>1644</Lines>
  <Paragraphs>1116</Paragraphs>
  <ScaleCrop>false</ScaleCrop>
  <HeadingPairs>
    <vt:vector size="6" baseType="variant">
      <vt:variant>
        <vt:lpstr>Title</vt:lpstr>
      </vt:variant>
      <vt:variant>
        <vt:i4>1</vt:i4>
      </vt:variant>
      <vt:variant>
        <vt:lpstr>Заглавие</vt:lpstr>
      </vt:variant>
      <vt:variant>
        <vt:i4>1</vt:i4>
      </vt:variant>
      <vt:variant>
        <vt:lpstr>Titel</vt:lpstr>
      </vt:variant>
      <vt:variant>
        <vt:i4>1</vt:i4>
      </vt:variant>
    </vt:vector>
  </HeadingPairs>
  <TitlesOfParts>
    <vt:vector size="3" baseType="lpstr">
      <vt:lpstr/>
      <vt:lpstr/>
      <vt:lpstr/>
    </vt:vector>
  </TitlesOfParts>
  <Manager/>
  <Company/>
  <LinksUpToDate>false</LinksUpToDate>
  <CharactersWithSpaces>72558</CharactersWithSpaces>
  <SharedDoc>false</SharedDoc>
  <HyperlinkBase/>
  <HLinks>
    <vt:vector size="366" baseType="variant">
      <vt:variant>
        <vt:i4>3014747</vt:i4>
      </vt:variant>
      <vt:variant>
        <vt:i4>189</vt:i4>
      </vt:variant>
      <vt:variant>
        <vt:i4>0</vt:i4>
      </vt:variant>
      <vt:variant>
        <vt:i4>5</vt:i4>
      </vt:variant>
      <vt:variant>
        <vt:lpwstr>http://ec.europa.eu/atwork/applying-eu-law/index_en.htm</vt:lpwstr>
      </vt:variant>
      <vt:variant>
        <vt:lpwstr/>
      </vt:variant>
      <vt:variant>
        <vt:i4>3866697</vt:i4>
      </vt:variant>
      <vt:variant>
        <vt:i4>186</vt:i4>
      </vt:variant>
      <vt:variant>
        <vt:i4>0</vt:i4>
      </vt:variant>
      <vt:variant>
        <vt:i4>5</vt:i4>
      </vt:variant>
      <vt:variant>
        <vt:lpwstr>http://ec.europa.eu/atwork/applying-eu-law/infringements-proceedings/annual-reports/index_en.htm</vt:lpwstr>
      </vt:variant>
      <vt:variant>
        <vt:lpwstr/>
      </vt:variant>
      <vt:variant>
        <vt:i4>3211352</vt:i4>
      </vt:variant>
      <vt:variant>
        <vt:i4>183</vt:i4>
      </vt:variant>
      <vt:variant>
        <vt:i4>0</vt:i4>
      </vt:variant>
      <vt:variant>
        <vt:i4>5</vt:i4>
      </vt:variant>
      <vt:variant>
        <vt:lpwstr>mailto:infractions@ec.europa.eu</vt:lpwstr>
      </vt:variant>
      <vt:variant>
        <vt:lpwstr/>
      </vt:variant>
      <vt:variant>
        <vt:i4>262179</vt:i4>
      </vt:variant>
      <vt:variant>
        <vt:i4>180</vt:i4>
      </vt:variant>
      <vt:variant>
        <vt:i4>0</vt:i4>
      </vt:variant>
      <vt:variant>
        <vt:i4>5</vt:i4>
      </vt:variant>
      <vt:variant>
        <vt:lpwstr>mailto:Raluca.Trasca@ec.europa.eu</vt:lpwstr>
      </vt:variant>
      <vt:variant>
        <vt:lpwstr/>
      </vt:variant>
      <vt:variant>
        <vt:i4>1900599</vt:i4>
      </vt:variant>
      <vt:variant>
        <vt:i4>116</vt:i4>
      </vt:variant>
      <vt:variant>
        <vt:i4>0</vt:i4>
      </vt:variant>
      <vt:variant>
        <vt:i4>5</vt:i4>
      </vt:variant>
      <vt:variant>
        <vt:lpwstr/>
      </vt:variant>
      <vt:variant>
        <vt:lpwstr>_Toc413173792</vt:lpwstr>
      </vt:variant>
      <vt:variant>
        <vt:i4>1900599</vt:i4>
      </vt:variant>
      <vt:variant>
        <vt:i4>110</vt:i4>
      </vt:variant>
      <vt:variant>
        <vt:i4>0</vt:i4>
      </vt:variant>
      <vt:variant>
        <vt:i4>5</vt:i4>
      </vt:variant>
      <vt:variant>
        <vt:lpwstr/>
      </vt:variant>
      <vt:variant>
        <vt:lpwstr>_Toc413173791</vt:lpwstr>
      </vt:variant>
      <vt:variant>
        <vt:i4>1900599</vt:i4>
      </vt:variant>
      <vt:variant>
        <vt:i4>104</vt:i4>
      </vt:variant>
      <vt:variant>
        <vt:i4>0</vt:i4>
      </vt:variant>
      <vt:variant>
        <vt:i4>5</vt:i4>
      </vt:variant>
      <vt:variant>
        <vt:lpwstr/>
      </vt:variant>
      <vt:variant>
        <vt:lpwstr>_Toc413173790</vt:lpwstr>
      </vt:variant>
      <vt:variant>
        <vt:i4>1835063</vt:i4>
      </vt:variant>
      <vt:variant>
        <vt:i4>98</vt:i4>
      </vt:variant>
      <vt:variant>
        <vt:i4>0</vt:i4>
      </vt:variant>
      <vt:variant>
        <vt:i4>5</vt:i4>
      </vt:variant>
      <vt:variant>
        <vt:lpwstr/>
      </vt:variant>
      <vt:variant>
        <vt:lpwstr>_Toc413173789</vt:lpwstr>
      </vt:variant>
      <vt:variant>
        <vt:i4>1835063</vt:i4>
      </vt:variant>
      <vt:variant>
        <vt:i4>92</vt:i4>
      </vt:variant>
      <vt:variant>
        <vt:i4>0</vt:i4>
      </vt:variant>
      <vt:variant>
        <vt:i4>5</vt:i4>
      </vt:variant>
      <vt:variant>
        <vt:lpwstr/>
      </vt:variant>
      <vt:variant>
        <vt:lpwstr>_Toc413173788</vt:lpwstr>
      </vt:variant>
      <vt:variant>
        <vt:i4>1835063</vt:i4>
      </vt:variant>
      <vt:variant>
        <vt:i4>86</vt:i4>
      </vt:variant>
      <vt:variant>
        <vt:i4>0</vt:i4>
      </vt:variant>
      <vt:variant>
        <vt:i4>5</vt:i4>
      </vt:variant>
      <vt:variant>
        <vt:lpwstr/>
      </vt:variant>
      <vt:variant>
        <vt:lpwstr>_Toc413173787</vt:lpwstr>
      </vt:variant>
      <vt:variant>
        <vt:i4>1835063</vt:i4>
      </vt:variant>
      <vt:variant>
        <vt:i4>80</vt:i4>
      </vt:variant>
      <vt:variant>
        <vt:i4>0</vt:i4>
      </vt:variant>
      <vt:variant>
        <vt:i4>5</vt:i4>
      </vt:variant>
      <vt:variant>
        <vt:lpwstr/>
      </vt:variant>
      <vt:variant>
        <vt:lpwstr>_Toc413173786</vt:lpwstr>
      </vt:variant>
      <vt:variant>
        <vt:i4>1835063</vt:i4>
      </vt:variant>
      <vt:variant>
        <vt:i4>74</vt:i4>
      </vt:variant>
      <vt:variant>
        <vt:i4>0</vt:i4>
      </vt:variant>
      <vt:variant>
        <vt:i4>5</vt:i4>
      </vt:variant>
      <vt:variant>
        <vt:lpwstr/>
      </vt:variant>
      <vt:variant>
        <vt:lpwstr>_Toc413173785</vt:lpwstr>
      </vt:variant>
      <vt:variant>
        <vt:i4>1835063</vt:i4>
      </vt:variant>
      <vt:variant>
        <vt:i4>68</vt:i4>
      </vt:variant>
      <vt:variant>
        <vt:i4>0</vt:i4>
      </vt:variant>
      <vt:variant>
        <vt:i4>5</vt:i4>
      </vt:variant>
      <vt:variant>
        <vt:lpwstr/>
      </vt:variant>
      <vt:variant>
        <vt:lpwstr>_Toc413173784</vt:lpwstr>
      </vt:variant>
      <vt:variant>
        <vt:i4>1835063</vt:i4>
      </vt:variant>
      <vt:variant>
        <vt:i4>62</vt:i4>
      </vt:variant>
      <vt:variant>
        <vt:i4>0</vt:i4>
      </vt:variant>
      <vt:variant>
        <vt:i4>5</vt:i4>
      </vt:variant>
      <vt:variant>
        <vt:lpwstr/>
      </vt:variant>
      <vt:variant>
        <vt:lpwstr>_Toc413173783</vt:lpwstr>
      </vt:variant>
      <vt:variant>
        <vt:i4>1835063</vt:i4>
      </vt:variant>
      <vt:variant>
        <vt:i4>56</vt:i4>
      </vt:variant>
      <vt:variant>
        <vt:i4>0</vt:i4>
      </vt:variant>
      <vt:variant>
        <vt:i4>5</vt:i4>
      </vt:variant>
      <vt:variant>
        <vt:lpwstr/>
      </vt:variant>
      <vt:variant>
        <vt:lpwstr>_Toc413173782</vt:lpwstr>
      </vt:variant>
      <vt:variant>
        <vt:i4>1835063</vt:i4>
      </vt:variant>
      <vt:variant>
        <vt:i4>50</vt:i4>
      </vt:variant>
      <vt:variant>
        <vt:i4>0</vt:i4>
      </vt:variant>
      <vt:variant>
        <vt:i4>5</vt:i4>
      </vt:variant>
      <vt:variant>
        <vt:lpwstr/>
      </vt:variant>
      <vt:variant>
        <vt:lpwstr>_Toc413173781</vt:lpwstr>
      </vt:variant>
      <vt:variant>
        <vt:i4>1835063</vt:i4>
      </vt:variant>
      <vt:variant>
        <vt:i4>44</vt:i4>
      </vt:variant>
      <vt:variant>
        <vt:i4>0</vt:i4>
      </vt:variant>
      <vt:variant>
        <vt:i4>5</vt:i4>
      </vt:variant>
      <vt:variant>
        <vt:lpwstr/>
      </vt:variant>
      <vt:variant>
        <vt:lpwstr>_Toc413173780</vt:lpwstr>
      </vt:variant>
      <vt:variant>
        <vt:i4>1245239</vt:i4>
      </vt:variant>
      <vt:variant>
        <vt:i4>38</vt:i4>
      </vt:variant>
      <vt:variant>
        <vt:i4>0</vt:i4>
      </vt:variant>
      <vt:variant>
        <vt:i4>5</vt:i4>
      </vt:variant>
      <vt:variant>
        <vt:lpwstr/>
      </vt:variant>
      <vt:variant>
        <vt:lpwstr>_Toc413173779</vt:lpwstr>
      </vt:variant>
      <vt:variant>
        <vt:i4>1245239</vt:i4>
      </vt:variant>
      <vt:variant>
        <vt:i4>32</vt:i4>
      </vt:variant>
      <vt:variant>
        <vt:i4>0</vt:i4>
      </vt:variant>
      <vt:variant>
        <vt:i4>5</vt:i4>
      </vt:variant>
      <vt:variant>
        <vt:lpwstr/>
      </vt:variant>
      <vt:variant>
        <vt:lpwstr>_Toc413173778</vt:lpwstr>
      </vt:variant>
      <vt:variant>
        <vt:i4>1245239</vt:i4>
      </vt:variant>
      <vt:variant>
        <vt:i4>26</vt:i4>
      </vt:variant>
      <vt:variant>
        <vt:i4>0</vt:i4>
      </vt:variant>
      <vt:variant>
        <vt:i4>5</vt:i4>
      </vt:variant>
      <vt:variant>
        <vt:lpwstr/>
      </vt:variant>
      <vt:variant>
        <vt:lpwstr>_Toc413173777</vt:lpwstr>
      </vt:variant>
      <vt:variant>
        <vt:i4>1245239</vt:i4>
      </vt:variant>
      <vt:variant>
        <vt:i4>20</vt:i4>
      </vt:variant>
      <vt:variant>
        <vt:i4>0</vt:i4>
      </vt:variant>
      <vt:variant>
        <vt:i4>5</vt:i4>
      </vt:variant>
      <vt:variant>
        <vt:lpwstr/>
      </vt:variant>
      <vt:variant>
        <vt:lpwstr>_Toc413173776</vt:lpwstr>
      </vt:variant>
      <vt:variant>
        <vt:i4>1245239</vt:i4>
      </vt:variant>
      <vt:variant>
        <vt:i4>14</vt:i4>
      </vt:variant>
      <vt:variant>
        <vt:i4>0</vt:i4>
      </vt:variant>
      <vt:variant>
        <vt:i4>5</vt:i4>
      </vt:variant>
      <vt:variant>
        <vt:lpwstr/>
      </vt:variant>
      <vt:variant>
        <vt:lpwstr>_Toc413173775</vt:lpwstr>
      </vt:variant>
      <vt:variant>
        <vt:i4>1245239</vt:i4>
      </vt:variant>
      <vt:variant>
        <vt:i4>8</vt:i4>
      </vt:variant>
      <vt:variant>
        <vt:i4>0</vt:i4>
      </vt:variant>
      <vt:variant>
        <vt:i4>5</vt:i4>
      </vt:variant>
      <vt:variant>
        <vt:lpwstr/>
      </vt:variant>
      <vt:variant>
        <vt:lpwstr>_Toc413173774</vt:lpwstr>
      </vt:variant>
      <vt:variant>
        <vt:i4>1245239</vt:i4>
      </vt:variant>
      <vt:variant>
        <vt:i4>2</vt:i4>
      </vt:variant>
      <vt:variant>
        <vt:i4>0</vt:i4>
      </vt:variant>
      <vt:variant>
        <vt:i4>5</vt:i4>
      </vt:variant>
      <vt:variant>
        <vt:lpwstr/>
      </vt:variant>
      <vt:variant>
        <vt:lpwstr>_Toc413173773</vt:lpwstr>
      </vt:variant>
      <vt:variant>
        <vt:i4>7209065</vt:i4>
      </vt:variant>
      <vt:variant>
        <vt:i4>108</vt:i4>
      </vt:variant>
      <vt:variant>
        <vt:i4>0</vt:i4>
      </vt:variant>
      <vt:variant>
        <vt:i4>5</vt:i4>
      </vt:variant>
      <vt:variant>
        <vt:lpwstr>http://eur-lex.europa.eu/legal-content/EN/TXT/?qid=1424262080577&amp;uri=CELEX:52014DC0910</vt:lpwstr>
      </vt:variant>
      <vt:variant>
        <vt:lpwstr/>
      </vt:variant>
      <vt:variant>
        <vt:i4>4456574</vt:i4>
      </vt:variant>
      <vt:variant>
        <vt:i4>105</vt:i4>
      </vt:variant>
      <vt:variant>
        <vt:i4>0</vt:i4>
      </vt:variant>
      <vt:variant>
        <vt:i4>5</vt:i4>
      </vt:variant>
      <vt:variant>
        <vt:lpwstr>\\net1.cec.eu.int\SG\SG-C-3\Restricted\(I) - INFRACTIONS\RAPPORTS ANNUELS\32eme RAPPORT ANNUEL 2014\06. Main report\SWD(2014)192final\2</vt:lpwstr>
      </vt:variant>
      <vt:variant>
        <vt:lpwstr/>
      </vt:variant>
      <vt:variant>
        <vt:i4>6619238</vt:i4>
      </vt:variant>
      <vt:variant>
        <vt:i4>102</vt:i4>
      </vt:variant>
      <vt:variant>
        <vt:i4>0</vt:i4>
      </vt:variant>
      <vt:variant>
        <vt:i4>5</vt:i4>
      </vt:variant>
      <vt:variant>
        <vt:lpwstr>http://eur-lex.europa.eu/legal-content/EN/TXT/?qid=1424261940165&amp;uri=CELEX:52014DC0368</vt:lpwstr>
      </vt:variant>
      <vt:variant>
        <vt:lpwstr/>
      </vt:variant>
      <vt:variant>
        <vt:i4>7077998</vt:i4>
      </vt:variant>
      <vt:variant>
        <vt:i4>99</vt:i4>
      </vt:variant>
      <vt:variant>
        <vt:i4>0</vt:i4>
      </vt:variant>
      <vt:variant>
        <vt:i4>5</vt:i4>
      </vt:variant>
      <vt:variant>
        <vt:lpwstr>http://eur-lex.europa.eu/legal-content/EN/TXT/?qid=1424261839481&amp;uri=CELEX:52013DC0685</vt:lpwstr>
      </vt:variant>
      <vt:variant>
        <vt:lpwstr/>
      </vt:variant>
      <vt:variant>
        <vt:i4>2031664</vt:i4>
      </vt:variant>
      <vt:variant>
        <vt:i4>96</vt:i4>
      </vt:variant>
      <vt:variant>
        <vt:i4>0</vt:i4>
      </vt:variant>
      <vt:variant>
        <vt:i4>5</vt:i4>
      </vt:variant>
      <vt:variant>
        <vt:lpwstr>http://ec.europa.eu/smart-regulation/impact/planned_ia/consultation_2014/index_en.htm</vt:lpwstr>
      </vt:variant>
      <vt:variant>
        <vt:lpwstr/>
      </vt:variant>
      <vt:variant>
        <vt:i4>4521987</vt:i4>
      </vt:variant>
      <vt:variant>
        <vt:i4>93</vt:i4>
      </vt:variant>
      <vt:variant>
        <vt:i4>0</vt:i4>
      </vt:variant>
      <vt:variant>
        <vt:i4>5</vt:i4>
      </vt:variant>
      <vt:variant>
        <vt:lpwstr>http://ec.europa.eu/smart-regulation/impact/consultation_2014/index_en.htm</vt:lpwstr>
      </vt:variant>
      <vt:variant>
        <vt:lpwstr/>
      </vt:variant>
      <vt:variant>
        <vt:i4>786539</vt:i4>
      </vt:variant>
      <vt:variant>
        <vt:i4>90</vt:i4>
      </vt:variant>
      <vt:variant>
        <vt:i4>0</vt:i4>
      </vt:variant>
      <vt:variant>
        <vt:i4>5</vt:i4>
      </vt:variant>
      <vt:variant>
        <vt:lpwstr>http://ec.europa.eu/smart-regulation/evaluation/consultation/index_en.htm</vt:lpwstr>
      </vt:variant>
      <vt:variant>
        <vt:lpwstr/>
      </vt:variant>
      <vt:variant>
        <vt:i4>84</vt:i4>
      </vt:variant>
      <vt:variant>
        <vt:i4>87</vt:i4>
      </vt:variant>
      <vt:variant>
        <vt:i4>0</vt:i4>
      </vt:variant>
      <vt:variant>
        <vt:i4>5</vt:i4>
      </vt:variant>
      <vt:variant>
        <vt:lpwstr>http://ec.europa.eu/atwork/pdf/cwp_2015_en.pdf</vt:lpwstr>
      </vt:variant>
      <vt:variant>
        <vt:lpwstr/>
      </vt:variant>
      <vt:variant>
        <vt:i4>4980739</vt:i4>
      </vt:variant>
      <vt:variant>
        <vt:i4>84</vt:i4>
      </vt:variant>
      <vt:variant>
        <vt:i4>0</vt:i4>
      </vt:variant>
      <vt:variant>
        <vt:i4>5</vt:i4>
      </vt:variant>
      <vt:variant>
        <vt:lpwstr>http://curia.europa.eu/juris/liste.jsf?language=en&amp;jur=C,T,F&amp;num=C-427/07&amp;td=ALL</vt:lpwstr>
      </vt:variant>
      <vt:variant>
        <vt:lpwstr/>
      </vt:variant>
      <vt:variant>
        <vt:i4>983134</vt:i4>
      </vt:variant>
      <vt:variant>
        <vt:i4>81</vt:i4>
      </vt:variant>
      <vt:variant>
        <vt:i4>0</vt:i4>
      </vt:variant>
      <vt:variant>
        <vt:i4>5</vt:i4>
      </vt:variant>
      <vt:variant>
        <vt:lpwstr>http://eur-lex.europa.eu/legal-content/EN/TXT/?qid=1426182127330&amp;uri=CELEX:32014L0059</vt:lpwstr>
      </vt:variant>
      <vt:variant>
        <vt:lpwstr/>
      </vt:variant>
      <vt:variant>
        <vt:i4>917593</vt:i4>
      </vt:variant>
      <vt:variant>
        <vt:i4>78</vt:i4>
      </vt:variant>
      <vt:variant>
        <vt:i4>0</vt:i4>
      </vt:variant>
      <vt:variant>
        <vt:i4>5</vt:i4>
      </vt:variant>
      <vt:variant>
        <vt:lpwstr>http://eur-lex.europa.eu/legal-content/EN/TXT/?qid=1426182091832&amp;uri=CELEX:32013L0014</vt:lpwstr>
      </vt:variant>
      <vt:variant>
        <vt:lpwstr/>
      </vt:variant>
      <vt:variant>
        <vt:i4>196701</vt:i4>
      </vt:variant>
      <vt:variant>
        <vt:i4>75</vt:i4>
      </vt:variant>
      <vt:variant>
        <vt:i4>0</vt:i4>
      </vt:variant>
      <vt:variant>
        <vt:i4>5</vt:i4>
      </vt:variant>
      <vt:variant>
        <vt:lpwstr>http://eur-lex.europa.eu/legal-content/EN/TXT/?qid=1426182042048&amp;uri=CELEX:32012L0027</vt:lpwstr>
      </vt:variant>
      <vt:variant>
        <vt:lpwstr/>
      </vt:variant>
      <vt:variant>
        <vt:i4>327767</vt:i4>
      </vt:variant>
      <vt:variant>
        <vt:i4>72</vt:i4>
      </vt:variant>
      <vt:variant>
        <vt:i4>0</vt:i4>
      </vt:variant>
      <vt:variant>
        <vt:i4>5</vt:i4>
      </vt:variant>
      <vt:variant>
        <vt:lpwstr>http://eur-lex.europa.eu/legal-content/EN/TXT/?qid=1426181981444&amp;uri=CELEX:32012L0033</vt:lpwstr>
      </vt:variant>
      <vt:variant>
        <vt:lpwstr/>
      </vt:variant>
      <vt:variant>
        <vt:i4>262226</vt:i4>
      </vt:variant>
      <vt:variant>
        <vt:i4>69</vt:i4>
      </vt:variant>
      <vt:variant>
        <vt:i4>0</vt:i4>
      </vt:variant>
      <vt:variant>
        <vt:i4>5</vt:i4>
      </vt:variant>
      <vt:variant>
        <vt:lpwstr>http://eur-lex.europa.eu/legal-content/EN/TXT/?qid=1426181926861&amp;uri=CELEX:32012L0019</vt:lpwstr>
      </vt:variant>
      <vt:variant>
        <vt:lpwstr/>
      </vt:variant>
      <vt:variant>
        <vt:i4>917590</vt:i4>
      </vt:variant>
      <vt:variant>
        <vt:i4>66</vt:i4>
      </vt:variant>
      <vt:variant>
        <vt:i4>0</vt:i4>
      </vt:variant>
      <vt:variant>
        <vt:i4>5</vt:i4>
      </vt:variant>
      <vt:variant>
        <vt:lpwstr>http://eur-lex.europa.eu/legal-content/EN/TXT/?qid=1426181871046&amp;uri=CELEX:32012L0018</vt:lpwstr>
      </vt:variant>
      <vt:variant>
        <vt:lpwstr/>
      </vt:variant>
      <vt:variant>
        <vt:i4>589917</vt:i4>
      </vt:variant>
      <vt:variant>
        <vt:i4>63</vt:i4>
      </vt:variant>
      <vt:variant>
        <vt:i4>0</vt:i4>
      </vt:variant>
      <vt:variant>
        <vt:i4>5</vt:i4>
      </vt:variant>
      <vt:variant>
        <vt:lpwstr>http://eur-lex.europa.eu/legal-content/EN/TXT/?qid=1426181799788&amp;uri=CELEX:32013L0001</vt:lpwstr>
      </vt:variant>
      <vt:variant>
        <vt:lpwstr/>
      </vt:variant>
      <vt:variant>
        <vt:i4>852063</vt:i4>
      </vt:variant>
      <vt:variant>
        <vt:i4>60</vt:i4>
      </vt:variant>
      <vt:variant>
        <vt:i4>0</vt:i4>
      </vt:variant>
      <vt:variant>
        <vt:i4>5</vt:i4>
      </vt:variant>
      <vt:variant>
        <vt:lpwstr>http://eur-lex.europa.eu/legal-content/EN/TXT/?qid=1426181701725&amp;uri=CELEX:32012L0017</vt:lpwstr>
      </vt:variant>
      <vt:variant>
        <vt:lpwstr/>
      </vt:variant>
      <vt:variant>
        <vt:i4>4718622</vt:i4>
      </vt:variant>
      <vt:variant>
        <vt:i4>57</vt:i4>
      </vt:variant>
      <vt:variant>
        <vt:i4>0</vt:i4>
      </vt:variant>
      <vt:variant>
        <vt:i4>5</vt:i4>
      </vt:variant>
      <vt:variant>
        <vt:lpwstr>http://eur-lex.europa.eu/legal-content/EN/TXT/?uri=CELEX:52012DC0154</vt:lpwstr>
      </vt:variant>
      <vt:variant>
        <vt:lpwstr/>
      </vt:variant>
      <vt:variant>
        <vt:i4>7733341</vt:i4>
      </vt:variant>
      <vt:variant>
        <vt:i4>54</vt:i4>
      </vt:variant>
      <vt:variant>
        <vt:i4>0</vt:i4>
      </vt:variant>
      <vt:variant>
        <vt:i4>5</vt:i4>
      </vt:variant>
      <vt:variant>
        <vt:lpwstr>http://ec.europa.eu/solvit/index_en.htm</vt:lpwstr>
      </vt:variant>
      <vt:variant>
        <vt:lpwstr/>
      </vt:variant>
      <vt:variant>
        <vt:i4>5242916</vt:i4>
      </vt:variant>
      <vt:variant>
        <vt:i4>51</vt:i4>
      </vt:variant>
      <vt:variant>
        <vt:i4>0</vt:i4>
      </vt:variant>
      <vt:variant>
        <vt:i4>5</vt:i4>
      </vt:variant>
      <vt:variant>
        <vt:lpwstr>http://ec.europa.eu/your-rights/help/individuals/index_en.htm</vt:lpwstr>
      </vt:variant>
      <vt:variant>
        <vt:lpwstr/>
      </vt:variant>
      <vt:variant>
        <vt:i4>6094874</vt:i4>
      </vt:variant>
      <vt:variant>
        <vt:i4>48</vt:i4>
      </vt:variant>
      <vt:variant>
        <vt:i4>0</vt:i4>
      </vt:variant>
      <vt:variant>
        <vt:i4>5</vt:i4>
      </vt:variant>
      <vt:variant>
        <vt:lpwstr>http://ec.europa.eu/atwork/applying-eu-law/infringements-proceedings/infringement_decisions/?lang_code=en</vt:lpwstr>
      </vt:variant>
      <vt:variant>
        <vt:lpwstr/>
      </vt:variant>
      <vt:variant>
        <vt:i4>3014747</vt:i4>
      </vt:variant>
      <vt:variant>
        <vt:i4>45</vt:i4>
      </vt:variant>
      <vt:variant>
        <vt:i4>0</vt:i4>
      </vt:variant>
      <vt:variant>
        <vt:i4>5</vt:i4>
      </vt:variant>
      <vt:variant>
        <vt:lpwstr>http://ec.europa.eu/atwork/applying-eu-law/index_en.htm</vt:lpwstr>
      </vt:variant>
      <vt:variant>
        <vt:lpwstr/>
      </vt:variant>
      <vt:variant>
        <vt:i4>393305</vt:i4>
      </vt:variant>
      <vt:variant>
        <vt:i4>42</vt:i4>
      </vt:variant>
      <vt:variant>
        <vt:i4>0</vt:i4>
      </vt:variant>
      <vt:variant>
        <vt:i4>5</vt:i4>
      </vt:variant>
      <vt:variant>
        <vt:lpwstr>http://eur-lex.europa.eu/legal-content/EN/TXT/?qid=1424182522262&amp;uri=CELEX:32009L0028</vt:lpwstr>
      </vt:variant>
      <vt:variant>
        <vt:lpwstr/>
      </vt:variant>
      <vt:variant>
        <vt:i4>6357060</vt:i4>
      </vt:variant>
      <vt:variant>
        <vt:i4>39</vt:i4>
      </vt:variant>
      <vt:variant>
        <vt:i4>0</vt:i4>
      </vt:variant>
      <vt:variant>
        <vt:i4>5</vt:i4>
      </vt:variant>
      <vt:variant>
        <vt:lpwstr>http://eur-lex.europa.eu/legal-content/EN/TXT/?uri=uriserv:OJ.C_.2011.012.01.0001.01.ENG</vt:lpwstr>
      </vt:variant>
      <vt:variant>
        <vt:lpwstr/>
      </vt:variant>
      <vt:variant>
        <vt:i4>4915216</vt:i4>
      </vt:variant>
      <vt:variant>
        <vt:i4>36</vt:i4>
      </vt:variant>
      <vt:variant>
        <vt:i4>0</vt:i4>
      </vt:variant>
      <vt:variant>
        <vt:i4>5</vt:i4>
      </vt:variant>
      <vt:variant>
        <vt:lpwstr>http://eur-lex.europa.eu/legal-content/EN/TXT/PDF/?uri=CELEX:32011L0082&amp;qid=1421940925608&amp;from=EN</vt:lpwstr>
      </vt:variant>
      <vt:variant>
        <vt:lpwstr/>
      </vt:variant>
      <vt:variant>
        <vt:i4>4522011</vt:i4>
      </vt:variant>
      <vt:variant>
        <vt:i4>33</vt:i4>
      </vt:variant>
      <vt:variant>
        <vt:i4>0</vt:i4>
      </vt:variant>
      <vt:variant>
        <vt:i4>5</vt:i4>
      </vt:variant>
      <vt:variant>
        <vt:lpwstr>http://eur-lex.europa.eu/legal-content/EN/TXT/PDF/?uri=CELEX:32011L0024&amp;qid=1421940739664&amp;from=EN</vt:lpwstr>
      </vt:variant>
      <vt:variant>
        <vt:lpwstr/>
      </vt:variant>
      <vt:variant>
        <vt:i4>4259868</vt:i4>
      </vt:variant>
      <vt:variant>
        <vt:i4>30</vt:i4>
      </vt:variant>
      <vt:variant>
        <vt:i4>0</vt:i4>
      </vt:variant>
      <vt:variant>
        <vt:i4>5</vt:i4>
      </vt:variant>
      <vt:variant>
        <vt:lpwstr>http://eur-lex.europa.eu/legal-content/EN/TXT/PDF/?uri=CELEX:32011L0083&amp;qid=1421940632022&amp;from=EN</vt:lpwstr>
      </vt:variant>
      <vt:variant>
        <vt:lpwstr/>
      </vt:variant>
      <vt:variant>
        <vt:i4>4784149</vt:i4>
      </vt:variant>
      <vt:variant>
        <vt:i4>27</vt:i4>
      </vt:variant>
      <vt:variant>
        <vt:i4>0</vt:i4>
      </vt:variant>
      <vt:variant>
        <vt:i4>5</vt:i4>
      </vt:variant>
      <vt:variant>
        <vt:lpwstr>http://eur-lex.europa.eu/legal-content/EN/TXT/PDF/?uri=CELEX:32011L0085&amp;qid=1421940489335&amp;from=EN</vt:lpwstr>
      </vt:variant>
      <vt:variant>
        <vt:lpwstr/>
      </vt:variant>
      <vt:variant>
        <vt:i4>4653080</vt:i4>
      </vt:variant>
      <vt:variant>
        <vt:i4>24</vt:i4>
      </vt:variant>
      <vt:variant>
        <vt:i4>0</vt:i4>
      </vt:variant>
      <vt:variant>
        <vt:i4>5</vt:i4>
      </vt:variant>
      <vt:variant>
        <vt:lpwstr>http://eur-lex.europa.eu/legal-content/EN/TXT/PDF/?uri=CELEX:32012L0027&amp;qid=1421940160681&amp;from=EN</vt:lpwstr>
      </vt:variant>
      <vt:variant>
        <vt:lpwstr/>
      </vt:variant>
      <vt:variant>
        <vt:i4>3997751</vt:i4>
      </vt:variant>
      <vt:variant>
        <vt:i4>21</vt:i4>
      </vt:variant>
      <vt:variant>
        <vt:i4>0</vt:i4>
      </vt:variant>
      <vt:variant>
        <vt:i4>5</vt:i4>
      </vt:variant>
      <vt:variant>
        <vt:lpwstr>http://eur-lex.europa.eu/legal-content/EN/TXT/PDF/?uri=CELEX:32013L0036&amp;from=EN</vt:lpwstr>
      </vt:variant>
      <vt:variant>
        <vt:lpwstr/>
      </vt:variant>
      <vt:variant>
        <vt:i4>92</vt:i4>
      </vt:variant>
      <vt:variant>
        <vt:i4>18</vt:i4>
      </vt:variant>
      <vt:variant>
        <vt:i4>0</vt:i4>
      </vt:variant>
      <vt:variant>
        <vt:i4>5</vt:i4>
      </vt:variant>
      <vt:variant>
        <vt:lpwstr>http://eur-lex.europa.eu/legal-content/EN/TXT/?qid=1422287512667&amp;uri=CELEX:32009F0905</vt:lpwstr>
      </vt:variant>
      <vt:variant>
        <vt:lpwstr/>
      </vt:variant>
      <vt:variant>
        <vt:i4>6815855</vt:i4>
      </vt:variant>
      <vt:variant>
        <vt:i4>15</vt:i4>
      </vt:variant>
      <vt:variant>
        <vt:i4>0</vt:i4>
      </vt:variant>
      <vt:variant>
        <vt:i4>5</vt:i4>
      </vt:variant>
      <vt:variant>
        <vt:lpwstr>http://eur-lex.europa.eu/legal-content/EN/TXT/?qid=1424261672257&amp;uri=CELEX:52007DC0502</vt:lpwstr>
      </vt:variant>
      <vt:variant>
        <vt:lpwstr/>
      </vt:variant>
      <vt:variant>
        <vt:i4>5177345</vt:i4>
      </vt:variant>
      <vt:variant>
        <vt:i4>12</vt:i4>
      </vt:variant>
      <vt:variant>
        <vt:i4>0</vt:i4>
      </vt:variant>
      <vt:variant>
        <vt:i4>5</vt:i4>
      </vt:variant>
      <vt:variant>
        <vt:lpwstr>http://curia.europa.eu/juris/liste.jsf?language=en&amp;jur=C,T,F&amp;num=C-243/13&amp;td=ALL</vt:lpwstr>
      </vt:variant>
      <vt:variant>
        <vt:lpwstr/>
      </vt:variant>
      <vt:variant>
        <vt:i4>4915215</vt:i4>
      </vt:variant>
      <vt:variant>
        <vt:i4>9</vt:i4>
      </vt:variant>
      <vt:variant>
        <vt:i4>0</vt:i4>
      </vt:variant>
      <vt:variant>
        <vt:i4>5</vt:i4>
      </vt:variant>
      <vt:variant>
        <vt:lpwstr>http://curia.europa.eu/juris/liste.jsf?language=en&amp;jur=C,T,F&amp;num=C-184/11&amp;td=ALL</vt:lpwstr>
      </vt:variant>
      <vt:variant>
        <vt:lpwstr/>
      </vt:variant>
      <vt:variant>
        <vt:i4>4063272</vt:i4>
      </vt:variant>
      <vt:variant>
        <vt:i4>6</vt:i4>
      </vt:variant>
      <vt:variant>
        <vt:i4>0</vt:i4>
      </vt:variant>
      <vt:variant>
        <vt:i4>5</vt:i4>
      </vt:variant>
      <vt:variant>
        <vt:lpwstr>http://curia.europa.eu/juris/liste.jsf?language=en&amp;jur=C,T,F&amp;num=C-76/13&amp;td=ALL</vt:lpwstr>
      </vt:variant>
      <vt:variant>
        <vt:lpwstr/>
      </vt:variant>
      <vt:variant>
        <vt:i4>4521986</vt:i4>
      </vt:variant>
      <vt:variant>
        <vt:i4>3</vt:i4>
      </vt:variant>
      <vt:variant>
        <vt:i4>0</vt:i4>
      </vt:variant>
      <vt:variant>
        <vt:i4>5</vt:i4>
      </vt:variant>
      <vt:variant>
        <vt:lpwstr>http://curia.europa.eu/juris/liste.jsf?language=en&amp;jur=C,T,F&amp;num=C-378/13&amp;td=ALL</vt:lpwstr>
      </vt:variant>
      <vt:variant>
        <vt:lpwstr/>
      </vt:variant>
      <vt:variant>
        <vt:i4>4784140</vt:i4>
      </vt:variant>
      <vt:variant>
        <vt:i4>0</vt:i4>
      </vt:variant>
      <vt:variant>
        <vt:i4>0</vt:i4>
      </vt:variant>
      <vt:variant>
        <vt:i4>5</vt:i4>
      </vt:variant>
      <vt:variant>
        <vt:lpwstr>http://curia.europa.eu/juris/liste.jsf?language=en&amp;jur=C,T,F&amp;num=C-196/13&amp;td=ALL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JANSEN Colette (SG)</cp:lastModifiedBy>
  <cp:revision>166</cp:revision>
  <cp:lastPrinted>2016-06-12T14:56:00Z</cp:lastPrinted>
  <dcterms:created xsi:type="dcterms:W3CDTF">2016-06-21T11:59:00Z</dcterms:created>
  <dcterms:modified xsi:type="dcterms:W3CDTF">2016-07-14T15:23:00Z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ContentTypeId">
    <vt:lpwstr>0x010100429F0726229EA944A351C92A661F0C83</vt:lpwstr>
  </property>
  <property fmtid="{D5CDD505-2E9C-101B-9397-08002B2CF9AE}" pid="14" name="Part">
    <vt:lpwstr>1</vt:lpwstr>
  </property>
  <property fmtid="{D5CDD505-2E9C-101B-9397-08002B2CF9AE}" pid="15" name="Total parts">
    <vt:lpwstr>1</vt:lpwstr>
  </property>
  <property fmtid="{D5CDD505-2E9C-101B-9397-08002B2CF9AE}" pid="16" name="Classification">
    <vt:lpwstr> </vt:lpwstr>
  </property>
  <property fmtid="{D5CDD505-2E9C-101B-9397-08002B2CF9AE}" pid="17" name="DocStatus">
    <vt:lpwstr>Green</vt:lpwstr>
  </property>
</Properties>
</file>