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EF78F" w14:textId="7864248A" w:rsidR="007B7922" w:rsidRDefault="00D07D13" w:rsidP="00A914D2">
      <w:pPr>
        <w:pStyle w:val="Pagedecouverture"/>
      </w:pPr>
      <w:bookmarkStart w:id="0" w:name="_GoBack"/>
      <w:bookmarkEnd w:id="0"/>
      <w:r>
        <w:pict w14:anchorId="0C4CB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569D5E8D49F431D9E27B8D9345EF19A" style="width:450.7pt;height:352.8pt">
            <v:imagedata r:id="rId9" o:title=""/>
          </v:shape>
        </w:pict>
      </w:r>
    </w:p>
    <w:p w14:paraId="2DFC1D2A" w14:textId="77777777" w:rsidR="007B7922" w:rsidRDefault="007B7922" w:rsidP="007B7922">
      <w:pPr>
        <w:sectPr w:rsidR="007B7922" w:rsidSect="0018259B">
          <w:footerReference w:type="default" r:id="rId10"/>
          <w:pgSz w:w="11907" w:h="16839"/>
          <w:pgMar w:top="1134" w:right="1417" w:bottom="1134" w:left="1417" w:header="709" w:footer="709" w:gutter="0"/>
          <w:pgNumType w:start="1"/>
          <w:cols w:space="720"/>
          <w:docGrid w:linePitch="360"/>
        </w:sectPr>
      </w:pPr>
    </w:p>
    <w:p w14:paraId="32D06E98" w14:textId="77777777" w:rsidR="00800372" w:rsidRDefault="00800372" w:rsidP="00800372">
      <w:pPr>
        <w:pStyle w:val="Exposdesmotifstitre"/>
      </w:pPr>
    </w:p>
    <w:p w14:paraId="012F87ED" w14:textId="77777777" w:rsidR="00800372" w:rsidRPr="00800372" w:rsidRDefault="00800372" w:rsidP="00800372"/>
    <w:p w14:paraId="3BF7A388" w14:textId="00D968DB" w:rsidR="007B7922" w:rsidRDefault="00A914D2" w:rsidP="00A914D2">
      <w:pPr>
        <w:pStyle w:val="Statut"/>
        <w:rPr>
          <w:noProof/>
        </w:rPr>
      </w:pPr>
      <w:r w:rsidRPr="00A914D2">
        <w:t>Recommendation for a</w:t>
      </w:r>
    </w:p>
    <w:p w14:paraId="264978FE" w14:textId="2A99593D" w:rsidR="007B7922" w:rsidRDefault="00A914D2" w:rsidP="00A914D2">
      <w:pPr>
        <w:pStyle w:val="Typedudocument"/>
        <w:rPr>
          <w:noProof/>
        </w:rPr>
      </w:pPr>
      <w:r w:rsidRPr="00A914D2">
        <w:t>COUNCIL DECISION</w:t>
      </w:r>
    </w:p>
    <w:p w14:paraId="6BB360EB" w14:textId="552BC7F7" w:rsidR="007B7922" w:rsidRDefault="00A914D2" w:rsidP="00A914D2">
      <w:pPr>
        <w:pStyle w:val="Titreobjet"/>
        <w:rPr>
          <w:noProof/>
        </w:rPr>
      </w:pPr>
      <w:r w:rsidRPr="00A914D2">
        <w:t>giving notice to Portugal to take measures for the deficit reduction judged necessary in order to remedy the situation of excessive deficit</w:t>
      </w:r>
    </w:p>
    <w:p w14:paraId="5B99FD7F" w14:textId="6314F4F1" w:rsidR="007B7922" w:rsidRDefault="007B7922" w:rsidP="00750C38">
      <w:pPr>
        <w:pStyle w:val="Institutionquiagit"/>
        <w:rPr>
          <w:noProof/>
        </w:rPr>
      </w:pPr>
      <w:r w:rsidRPr="008C4321">
        <w:rPr>
          <w:noProof/>
        </w:rPr>
        <w:t>THE COUNCIL OF THE EUROPEAN UNION,</w:t>
      </w:r>
    </w:p>
    <w:p w14:paraId="3D9EE128" w14:textId="159996CF" w:rsidR="007B7922" w:rsidRPr="0026397F" w:rsidRDefault="007B7922" w:rsidP="007B7922">
      <w:r w:rsidRPr="00A73453">
        <w:rPr>
          <w:rStyle w:val="Corpsdutexte"/>
        </w:rPr>
        <w:t xml:space="preserve">Having regard to the Treaty on the Functioning of the European Union, and in particular </w:t>
      </w:r>
      <w:r w:rsidRPr="0026397F">
        <w:rPr>
          <w:rStyle w:val="Corpsdutexte"/>
        </w:rPr>
        <w:t>Article 126(9) thereof,</w:t>
      </w:r>
    </w:p>
    <w:p w14:paraId="13308437" w14:textId="77777777" w:rsidR="007B7922" w:rsidRPr="0026397F" w:rsidRDefault="007B7922" w:rsidP="007B7922">
      <w:r w:rsidRPr="0026397F">
        <w:rPr>
          <w:rStyle w:val="Corpsdutexte"/>
        </w:rPr>
        <w:t>Having regard to the recommendation from the European Commission,</w:t>
      </w:r>
    </w:p>
    <w:p w14:paraId="474CECCD" w14:textId="77777777" w:rsidR="007B7922" w:rsidRPr="0026397F" w:rsidRDefault="007B7922" w:rsidP="007B7922">
      <w:r w:rsidRPr="0026397F">
        <w:rPr>
          <w:rStyle w:val="Corpsdutexte"/>
        </w:rPr>
        <w:t>Whereas:</w:t>
      </w:r>
    </w:p>
    <w:p w14:paraId="6D253E80" w14:textId="77777777" w:rsidR="007B7922" w:rsidRPr="0026397F" w:rsidRDefault="007B7922" w:rsidP="0014071C">
      <w:pPr>
        <w:pStyle w:val="Considrant"/>
        <w:numPr>
          <w:ilvl w:val="0"/>
          <w:numId w:val="1"/>
        </w:numPr>
      </w:pPr>
      <w:r w:rsidRPr="0026397F">
        <w:rPr>
          <w:rStyle w:val="Corpsdutexte"/>
        </w:rPr>
        <w:t>According to Article 126 of the Treaty on the Functioning of the European Union, Member States shall avoid excessive government deficits.</w:t>
      </w:r>
    </w:p>
    <w:p w14:paraId="48DBA006" w14:textId="77777777" w:rsidR="007B7922" w:rsidRPr="00A73453" w:rsidRDefault="007B7922" w:rsidP="007B7922">
      <w:pPr>
        <w:pStyle w:val="Considrant"/>
      </w:pPr>
      <w:r w:rsidRPr="0026397F">
        <w:rPr>
          <w:rStyle w:val="Corpsdutexte"/>
        </w:rPr>
        <w:t>The Stability and Growth Pact is based on the objective of sound government finances as a means of strengthening the conditions for price stability and for strong sustainable growth conducive to employment creation. The Stability and Growth Pact includes Council Regulation (EC) No 1467/97 of 7 July 1997 on speeding up and clarifying the implementation of the excessive deficit procedure</w:t>
      </w:r>
      <w:r w:rsidRPr="0026397F">
        <w:rPr>
          <w:rStyle w:val="FootnoteReference"/>
        </w:rPr>
        <w:footnoteReference w:id="2"/>
      </w:r>
      <w:r w:rsidRPr="0026397F">
        <w:rPr>
          <w:rStyle w:val="Corpsdutexte"/>
        </w:rPr>
        <w:t>, which was adopted</w:t>
      </w:r>
      <w:r w:rsidRPr="00A73453">
        <w:rPr>
          <w:rStyle w:val="Corpsdutexte"/>
        </w:rPr>
        <w:t xml:space="preserve"> in order to further the prompt correction of excessive general government deficits.</w:t>
      </w:r>
    </w:p>
    <w:p w14:paraId="2C96D2D5" w14:textId="6BA5C1C7" w:rsidR="007B7922" w:rsidRPr="002264CA" w:rsidRDefault="007B7922" w:rsidP="000D4C85">
      <w:pPr>
        <w:pStyle w:val="Considrant"/>
      </w:pPr>
      <w:r w:rsidRPr="0026397F">
        <w:rPr>
          <w:rStyle w:val="Corpsdutexte"/>
        </w:rPr>
        <w:t xml:space="preserve">On 2 December 2009, the Council decided, in accordance with Article </w:t>
      </w:r>
      <w:r w:rsidR="000D4C85">
        <w:rPr>
          <w:rStyle w:val="Corpsdutexte"/>
        </w:rPr>
        <w:t>104(6)</w:t>
      </w:r>
      <w:r w:rsidRPr="0026397F">
        <w:rPr>
          <w:rStyle w:val="Corpsdutexte"/>
        </w:rPr>
        <w:t xml:space="preserve"> </w:t>
      </w:r>
      <w:r w:rsidR="000D4C85" w:rsidRPr="000D4C85">
        <w:rPr>
          <w:rStyle w:val="Corpsdutexte"/>
        </w:rPr>
        <w:t>of the Treaty establishing the European Community (TEC)</w:t>
      </w:r>
      <w:r w:rsidRPr="00A73453">
        <w:rPr>
          <w:rStyle w:val="Corpsdutexte"/>
        </w:rPr>
        <w:t xml:space="preserve">, that an excessive deficit existed in </w:t>
      </w:r>
      <w:r w:rsidRPr="0026397F">
        <w:rPr>
          <w:rStyle w:val="Corpsdutexte"/>
        </w:rPr>
        <w:t xml:space="preserve">Portugal and issued a recommendation to correct it by 2013 at the latest, in accordance with Article </w:t>
      </w:r>
      <w:r w:rsidR="000D4C85" w:rsidRPr="0026397F">
        <w:rPr>
          <w:rStyle w:val="Corpsdutexte"/>
        </w:rPr>
        <w:t>1</w:t>
      </w:r>
      <w:r w:rsidR="000D4C85">
        <w:rPr>
          <w:rStyle w:val="Corpsdutexte"/>
        </w:rPr>
        <w:t>04</w:t>
      </w:r>
      <w:r w:rsidRPr="0026397F">
        <w:rPr>
          <w:rStyle w:val="Corpsdutexte"/>
        </w:rPr>
        <w:t xml:space="preserve">(7) of the </w:t>
      </w:r>
      <w:r w:rsidR="000D4C85">
        <w:rPr>
          <w:rStyle w:val="Corpsdutexte"/>
        </w:rPr>
        <w:t>TEC</w:t>
      </w:r>
      <w:r w:rsidR="000D4C85" w:rsidRPr="0026397F">
        <w:rPr>
          <w:rStyle w:val="Corpsdutexte"/>
        </w:rPr>
        <w:t xml:space="preserve"> </w:t>
      </w:r>
      <w:r w:rsidRPr="0026397F">
        <w:rPr>
          <w:rStyle w:val="Corpsdutexte"/>
        </w:rPr>
        <w:t xml:space="preserve">and Article 3 of Council Regulation (EC) No 1467/97. </w:t>
      </w:r>
      <w:r w:rsidRPr="002264CA">
        <w:t>Following the request by the Portuguese authorities for financial assistance from the European Union, the Member States whose currency is the euro and the International Monetary Fund (IMF), the Council granted financial assistance to Portugal</w:t>
      </w:r>
      <w:r w:rsidRPr="00566687">
        <w:rPr>
          <w:rStyle w:val="FootnoteReference"/>
        </w:rPr>
        <w:footnoteReference w:id="3"/>
      </w:r>
      <w:r w:rsidRPr="002264CA">
        <w:t>. The Memorandum of Understanding on Specific Economic Policy Conditionality (the "Memorandum of Understanding") between the Commission and the Portuguese authorities was signed on 17 May 2011.</w:t>
      </w:r>
      <w:r>
        <w:rPr>
          <w:rStyle w:val="Corpsdutexte"/>
          <w:rFonts w:eastAsia="Arial"/>
          <w:lang w:val="sl"/>
        </w:rPr>
        <w:t xml:space="preserve"> </w:t>
      </w:r>
      <w:r w:rsidRPr="0026397F">
        <w:t xml:space="preserve">Since then, the Council has </w:t>
      </w:r>
      <w:r w:rsidR="00007F9B">
        <w:t>addressed</w:t>
      </w:r>
      <w:r w:rsidR="00007F9B" w:rsidRPr="0026397F">
        <w:t xml:space="preserve"> </w:t>
      </w:r>
      <w:r w:rsidRPr="0026397F">
        <w:t xml:space="preserve">two new recommendations to Portugal (on 9 October 2012 and 21 June 2013) on the basis of Article 126(7) of the Treaty on the Functioning of the European Union, which extended the deadline for correcting the excessive deficit to 2014 and 2015 respectively. In both recommendations, the Council considered that Portugal had </w:t>
      </w:r>
      <w:r w:rsidRPr="0026397F">
        <w:lastRenderedPageBreak/>
        <w:t>taken effective action, but unexpected adverse economic events with major unfavourable consequences for government finances had occurred.</w:t>
      </w:r>
      <w:r w:rsidR="00814D64">
        <w:rPr>
          <w:rStyle w:val="FootnoteReference"/>
        </w:rPr>
        <w:footnoteReference w:id="4"/>
      </w:r>
    </w:p>
    <w:p w14:paraId="31230840" w14:textId="1DBF71C1" w:rsidR="007B7922" w:rsidRPr="0026397F" w:rsidRDefault="007B7922" w:rsidP="007B7922">
      <w:pPr>
        <w:pStyle w:val="Considrant"/>
      </w:pPr>
      <w:r w:rsidRPr="0026397F">
        <w:rPr>
          <w:rStyle w:val="Corpsdutexte"/>
        </w:rPr>
        <w:t xml:space="preserve">According to the provisions of Article 126(8) of the Treaty, the Council decided on </w:t>
      </w:r>
      <w:r w:rsidR="00D1792B">
        <w:rPr>
          <w:rStyle w:val="Corpsdutexte"/>
        </w:rPr>
        <w:t>12 July</w:t>
      </w:r>
      <w:r w:rsidR="00D1792B" w:rsidRPr="0026397F">
        <w:rPr>
          <w:rStyle w:val="Corpsdutexte"/>
        </w:rPr>
        <w:t xml:space="preserve"> </w:t>
      </w:r>
      <w:r w:rsidRPr="0026397F">
        <w:rPr>
          <w:rStyle w:val="Corpsdutexte"/>
        </w:rPr>
        <w:t xml:space="preserve">2016 that </w:t>
      </w:r>
      <w:r w:rsidRPr="0026397F">
        <w:t xml:space="preserve">Portugal did not take effective action in response to the Council Recommendation of 21 June 2013. </w:t>
      </w:r>
    </w:p>
    <w:p w14:paraId="2800550B" w14:textId="520FAB41" w:rsidR="007B7922" w:rsidRPr="0026397F" w:rsidRDefault="00007F9B" w:rsidP="00566687">
      <w:pPr>
        <w:pStyle w:val="Considrant"/>
      </w:pPr>
      <w:r>
        <w:rPr>
          <w:rStyle w:val="Corpsdutexte"/>
        </w:rPr>
        <w:t>I</w:t>
      </w:r>
      <w:r w:rsidR="007B7922" w:rsidRPr="0026397F">
        <w:rPr>
          <w:rStyle w:val="Corpsdutexte"/>
        </w:rPr>
        <w:t xml:space="preserve">f </w:t>
      </w:r>
      <w:r w:rsidR="007B7922" w:rsidRPr="0060460D">
        <w:rPr>
          <w:rStyle w:val="Corpsdutexte"/>
        </w:rPr>
        <w:t>actual data</w:t>
      </w:r>
      <w:r w:rsidR="007B7922" w:rsidRPr="0026397F">
        <w:rPr>
          <w:rStyle w:val="Corpsdutexte"/>
        </w:rPr>
        <w:t xml:space="preserve"> pursuant to Regulation (EC) No 479/2009 indicate that an excessive deficit has not been corrected by a participating Member State within </w:t>
      </w:r>
      <w:r w:rsidR="007B7922" w:rsidRPr="00A73453">
        <w:rPr>
          <w:rStyle w:val="Corpsdutexte"/>
        </w:rPr>
        <w:t>the time limits specified in a recommendation issued under Article 126(7) of the Treaty</w:t>
      </w:r>
      <w:r w:rsidR="007B7922" w:rsidRPr="0026397F">
        <w:rPr>
          <w:rStyle w:val="Corpsdutexte"/>
        </w:rPr>
        <w:t xml:space="preserve">, the Council </w:t>
      </w:r>
      <w:r w:rsidRPr="0026397F">
        <w:rPr>
          <w:rStyle w:val="Corpsdutexte"/>
        </w:rPr>
        <w:t>sh</w:t>
      </w:r>
      <w:r>
        <w:rPr>
          <w:rStyle w:val="Corpsdutexte"/>
        </w:rPr>
        <w:t>ou</w:t>
      </w:r>
      <w:r w:rsidRPr="0026397F">
        <w:rPr>
          <w:rStyle w:val="Corpsdutexte"/>
        </w:rPr>
        <w:t>l</w:t>
      </w:r>
      <w:r>
        <w:rPr>
          <w:rStyle w:val="Corpsdutexte"/>
        </w:rPr>
        <w:t>d</w:t>
      </w:r>
      <w:r w:rsidRPr="0026397F">
        <w:rPr>
          <w:rStyle w:val="Corpsdutexte"/>
        </w:rPr>
        <w:t xml:space="preserve"> </w:t>
      </w:r>
      <w:r w:rsidR="007B7922" w:rsidRPr="0026397F">
        <w:rPr>
          <w:rStyle w:val="Corpsdutexte"/>
        </w:rPr>
        <w:t>immediately take a decision under Article 126(9)</w:t>
      </w:r>
      <w:r w:rsidR="00ED3F94">
        <w:rPr>
          <w:rStyle w:val="Corpsdutexte"/>
        </w:rPr>
        <w:t xml:space="preserve"> of the Treaty</w:t>
      </w:r>
      <w:r w:rsidR="007B7922" w:rsidRPr="0026397F">
        <w:rPr>
          <w:rStyle w:val="Corpsdutexte"/>
        </w:rPr>
        <w:t>.</w:t>
      </w:r>
    </w:p>
    <w:p w14:paraId="2FCB6003" w14:textId="60194FF8" w:rsidR="007B7922" w:rsidRPr="0014470A" w:rsidRDefault="007B7922" w:rsidP="0022321F">
      <w:pPr>
        <w:pStyle w:val="Considrant"/>
        <w:rPr>
          <w:rStyle w:val="Corpsdutexte"/>
        </w:rPr>
      </w:pPr>
      <w:r w:rsidRPr="00D363BE">
        <w:rPr>
          <w:rStyle w:val="Corpsdutexte"/>
        </w:rPr>
        <w:t>The Commission 2016 spring forecast</w:t>
      </w:r>
      <w:r w:rsidR="004352DE" w:rsidRPr="00D363BE">
        <w:rPr>
          <w:rStyle w:val="Corpsdutexte"/>
        </w:rPr>
        <w:t xml:space="preserve"> </w:t>
      </w:r>
      <w:r w:rsidRPr="00D363BE">
        <w:rPr>
          <w:rStyle w:val="Corpsdutexte"/>
        </w:rPr>
        <w:t>projects</w:t>
      </w:r>
      <w:r w:rsidRPr="0026397F">
        <w:rPr>
          <w:rStyle w:val="Corpsdutexte"/>
        </w:rPr>
        <w:t xml:space="preserve"> a moderate recovery of the Portuguese economy. In 2016, real GDP is projected to grow by 1.5%, </w:t>
      </w:r>
      <w:r w:rsidR="00B531A2">
        <w:rPr>
          <w:rStyle w:val="Corpsdutexte"/>
        </w:rPr>
        <w:t xml:space="preserve">at the same pace as in 2015, </w:t>
      </w:r>
      <w:r w:rsidRPr="0026397F">
        <w:rPr>
          <w:rStyle w:val="Corpsdutexte"/>
        </w:rPr>
        <w:t xml:space="preserve">mainly driven by domestic demand amid still high macroeconomic imbalances. Private consumption is expected to lose momentum in 2016 due to higher indirect taxes and a slight recovery in energy price inflation. The strong rebound in </w:t>
      </w:r>
      <w:r w:rsidR="00B531A2" w:rsidRPr="00B531A2">
        <w:rPr>
          <w:rStyle w:val="Corpsdutexte"/>
        </w:rPr>
        <w:t>the consumption of durable goods</w:t>
      </w:r>
      <w:r w:rsidRPr="0026397F">
        <w:rPr>
          <w:rStyle w:val="Corpsdutexte"/>
        </w:rPr>
        <w:t xml:space="preserve"> in the first half of 2015 is not forecast to be maintained over the medium term as still high unemployment and debt levels are projected to keep upward pressures on household savings. Business investment already decelerated significantly over the second half of 2015 and is not expected to resume its </w:t>
      </w:r>
      <w:r w:rsidR="001D518B">
        <w:rPr>
          <w:rStyle w:val="Corpsdutexte"/>
        </w:rPr>
        <w:t xml:space="preserve">previous </w:t>
      </w:r>
      <w:r w:rsidRPr="0026397F">
        <w:rPr>
          <w:rStyle w:val="Corpsdutexte"/>
        </w:rPr>
        <w:t>growth</w:t>
      </w:r>
      <w:r w:rsidR="001D518B">
        <w:rPr>
          <w:rStyle w:val="Corpsdutexte"/>
        </w:rPr>
        <w:t xml:space="preserve"> rate </w:t>
      </w:r>
      <w:r w:rsidRPr="0026397F">
        <w:rPr>
          <w:rStyle w:val="Corpsdutexte"/>
        </w:rPr>
        <w:t xml:space="preserve">soon, despite a relatively high capacity utilisation rate. Total investment is anticipated to gain some pace in 2017, supported by EU structural funds and the improvement in financing conditions. Exports are forecast to grow in line with foreign demand, but imports are still expected to outbalance exports. As a result, the contribution of net trade to GDP growth is forecast to remain slightly negative although significantly less so than in 2015. </w:t>
      </w:r>
      <w:r w:rsidR="0022321F" w:rsidRPr="0022321F">
        <w:rPr>
          <w:rStyle w:val="Corpsdutexte"/>
        </w:rPr>
        <w:t>HICP inflation is</w:t>
      </w:r>
      <w:r w:rsidR="0022321F">
        <w:rPr>
          <w:rStyle w:val="Corpsdutexte"/>
        </w:rPr>
        <w:t xml:space="preserve"> </w:t>
      </w:r>
      <w:r w:rsidR="0022321F" w:rsidRPr="0022321F">
        <w:rPr>
          <w:rStyle w:val="Corpsdutexte"/>
        </w:rPr>
        <w:t>expected to increase to 0.7% in 2016, mainly</w:t>
      </w:r>
      <w:r w:rsidR="0022321F">
        <w:rPr>
          <w:rStyle w:val="Corpsdutexte"/>
        </w:rPr>
        <w:t xml:space="preserve"> </w:t>
      </w:r>
      <w:r w:rsidR="0022321F" w:rsidRPr="0022321F">
        <w:rPr>
          <w:rStyle w:val="Corpsdutexte"/>
        </w:rPr>
        <w:t>driven by higher indirect taxes</w:t>
      </w:r>
      <w:r w:rsidR="0022321F">
        <w:rPr>
          <w:rStyle w:val="Corpsdutexte"/>
        </w:rPr>
        <w:t xml:space="preserve">. </w:t>
      </w:r>
      <w:r w:rsidR="00393B95" w:rsidRPr="00393B95">
        <w:rPr>
          <w:rStyle w:val="Corpsdutexte"/>
        </w:rPr>
        <w:t xml:space="preserve">While downward risks to the outlook </w:t>
      </w:r>
      <w:r w:rsidR="009059C3">
        <w:rPr>
          <w:rStyle w:val="Corpsdutexte"/>
        </w:rPr>
        <w:t>have increased since the publication</w:t>
      </w:r>
      <w:r w:rsidR="00393B95" w:rsidRPr="00393B95">
        <w:rPr>
          <w:rStyle w:val="Corpsdutexte"/>
        </w:rPr>
        <w:t xml:space="preserve"> of the </w:t>
      </w:r>
      <w:r w:rsidR="009059C3">
        <w:rPr>
          <w:rStyle w:val="Corpsdutexte"/>
        </w:rPr>
        <w:t>s</w:t>
      </w:r>
      <w:r w:rsidR="009059C3" w:rsidRPr="00393B95">
        <w:rPr>
          <w:rStyle w:val="Corpsdutexte"/>
        </w:rPr>
        <w:t xml:space="preserve">pring </w:t>
      </w:r>
      <w:r w:rsidR="00393B95" w:rsidRPr="00393B95">
        <w:rPr>
          <w:rStyle w:val="Corpsdutexte"/>
        </w:rPr>
        <w:t xml:space="preserve">forecast, data </w:t>
      </w:r>
      <w:r w:rsidR="009059C3">
        <w:rPr>
          <w:rStyle w:val="Corpsdutexte"/>
        </w:rPr>
        <w:t xml:space="preserve">on the first quarter of 2016 </w:t>
      </w:r>
      <w:r w:rsidR="00393B95" w:rsidRPr="00393B95">
        <w:rPr>
          <w:rStyle w:val="Corpsdutexte"/>
        </w:rPr>
        <w:t xml:space="preserve">and preliminary information on </w:t>
      </w:r>
      <w:r w:rsidR="009059C3">
        <w:rPr>
          <w:rStyle w:val="Corpsdutexte"/>
        </w:rPr>
        <w:t>the second quarter</w:t>
      </w:r>
      <w:r w:rsidR="009059C3" w:rsidRPr="00393B95">
        <w:rPr>
          <w:rStyle w:val="Corpsdutexte"/>
        </w:rPr>
        <w:t xml:space="preserve"> </w:t>
      </w:r>
      <w:r w:rsidR="0014470A">
        <w:rPr>
          <w:rStyle w:val="Corpsdutexte"/>
        </w:rPr>
        <w:t xml:space="preserve">overall </w:t>
      </w:r>
      <w:r w:rsidR="00393B95" w:rsidRPr="00393B95">
        <w:rPr>
          <w:rStyle w:val="Corpsdutexte"/>
        </w:rPr>
        <w:t xml:space="preserve">confirm the outlook of the forecast for the rest of the </w:t>
      </w:r>
      <w:r w:rsidR="00393B95" w:rsidRPr="0014470A">
        <w:rPr>
          <w:rStyle w:val="Corpsdutexte"/>
        </w:rPr>
        <w:t>year.</w:t>
      </w:r>
    </w:p>
    <w:p w14:paraId="282F24D7" w14:textId="008657E4" w:rsidR="007B7922" w:rsidRPr="00A73453" w:rsidRDefault="007B7922" w:rsidP="007B7922">
      <w:pPr>
        <w:pStyle w:val="Considrant"/>
        <w:rPr>
          <w:rStyle w:val="Corpsdutexte"/>
        </w:rPr>
      </w:pPr>
      <w:r w:rsidRPr="0026397F">
        <w:rPr>
          <w:rStyle w:val="Corpsdutexte"/>
        </w:rPr>
        <w:t>According to the Commission 2016 spring</w:t>
      </w:r>
      <w:r w:rsidRPr="0026397F">
        <w:rPr>
          <w:noProof/>
        </w:rPr>
        <w:t xml:space="preserve"> forecast,</w:t>
      </w:r>
      <w:r w:rsidRPr="0026397F">
        <w:rPr>
          <w:rStyle w:val="Corpsdutexte"/>
        </w:rPr>
        <w:t xml:space="preserve"> the general government deficit is </w:t>
      </w:r>
      <w:r w:rsidR="00CE3973">
        <w:rPr>
          <w:rStyle w:val="Corpsdutexte"/>
        </w:rPr>
        <w:t>expected</w:t>
      </w:r>
      <w:r w:rsidRPr="0026397F">
        <w:rPr>
          <w:rStyle w:val="Corpsdutexte"/>
        </w:rPr>
        <w:t xml:space="preserve"> to decrease to 2.7% of GDP in 2016. The 2016 Budget, which entered into force on 31 March 2016, targets a deficit of 2.2% of GDP, which was confirmed in the 2016 Stability Programme. The difference</w:t>
      </w:r>
      <w:r w:rsidRPr="0026397F">
        <w:t xml:space="preserve"> </w:t>
      </w:r>
      <w:r w:rsidRPr="0026397F">
        <w:rPr>
          <w:rStyle w:val="Corpsdutexte"/>
        </w:rPr>
        <w:t xml:space="preserve">between the government's target and the Commission forecast is due to the Commission's less optimistic macroeconomic scenario, leading to lower tax revenues and higher social expenditure, as well as the Commission's more conservative assessment of the yields of some consolidation measures, in particular as regards planned savings in intermediate consumption and other current expenditure. </w:t>
      </w:r>
      <w:r w:rsidR="00330242">
        <w:rPr>
          <w:rStyle w:val="Corpsdutexte"/>
        </w:rPr>
        <w:t>T</w:t>
      </w:r>
      <w:r w:rsidRPr="0026397F">
        <w:rPr>
          <w:rStyle w:val="Corpsdutexte"/>
        </w:rPr>
        <w:t xml:space="preserve">he Commission 2016 spring forecast projects the general government deficit to decline further to 2.3% of GDP in 2017. The projected improvement is largely linked to a deficit improving one-off operation linked to the expected recovery of the </w:t>
      </w:r>
      <w:r w:rsidR="0060460D">
        <w:rPr>
          <w:rStyle w:val="Corpsdutexte"/>
        </w:rPr>
        <w:t>Banco Privado Português</w:t>
      </w:r>
      <w:r w:rsidR="00CE3973">
        <w:rPr>
          <w:rStyle w:val="Corpsdutexte"/>
        </w:rPr>
        <w:t xml:space="preserve"> (</w:t>
      </w:r>
      <w:r w:rsidRPr="0026397F">
        <w:rPr>
          <w:rStyle w:val="Corpsdutexte"/>
        </w:rPr>
        <w:t>BPP</w:t>
      </w:r>
      <w:r w:rsidR="00CE3973">
        <w:rPr>
          <w:rStyle w:val="Corpsdutexte"/>
        </w:rPr>
        <w:t>)</w:t>
      </w:r>
      <w:r w:rsidRPr="0026397F">
        <w:rPr>
          <w:rStyle w:val="Corpsdutexte"/>
        </w:rPr>
        <w:t xml:space="preserve"> bank guarantee worth about ¼% of GDP. Adjusted for this one-off budgetary impact, the deficit would be projected to reach 2.6% of GDP in 2017. </w:t>
      </w:r>
      <w:r w:rsidR="003A6038">
        <w:rPr>
          <w:rStyle w:val="Corpsdutexte"/>
        </w:rPr>
        <w:t xml:space="preserve">Based on the </w:t>
      </w:r>
      <w:r w:rsidR="00D7325F">
        <w:rPr>
          <w:rStyle w:val="Corpsdutexte"/>
        </w:rPr>
        <w:t>Commission's assessment of the yields of</w:t>
      </w:r>
      <w:r w:rsidR="00D7325F" w:rsidRPr="00D7325F">
        <w:rPr>
          <w:rStyle w:val="Corpsdutexte"/>
        </w:rPr>
        <w:t xml:space="preserve"> </w:t>
      </w:r>
      <w:r w:rsidR="00D7325F">
        <w:rPr>
          <w:rStyle w:val="Corpsdutexte"/>
        </w:rPr>
        <w:t xml:space="preserve">the measures indicated in the 2016 Budget and in the 2016 Stability Programme, </w:t>
      </w:r>
      <w:r w:rsidR="003A6038">
        <w:rPr>
          <w:rStyle w:val="Corpsdutexte"/>
        </w:rPr>
        <w:t>t</w:t>
      </w:r>
      <w:r w:rsidRPr="0026397F">
        <w:rPr>
          <w:rStyle w:val="Corpsdutexte"/>
        </w:rPr>
        <w:t>he structural deficit is expected to deteriorate by ¼% of GDP each year in 2016 and 2017 according to the Commission 2016 spring forecast</w:t>
      </w:r>
      <w:r w:rsidRPr="00A73453">
        <w:rPr>
          <w:rStyle w:val="Corpsdutexte"/>
        </w:rPr>
        <w:t>.</w:t>
      </w:r>
    </w:p>
    <w:p w14:paraId="33A5061A" w14:textId="31D90626" w:rsidR="007B7922" w:rsidRPr="0026397F" w:rsidRDefault="007B7922" w:rsidP="007B7922">
      <w:pPr>
        <w:pStyle w:val="Considrant"/>
        <w:rPr>
          <w:noProof/>
        </w:rPr>
      </w:pPr>
      <w:r w:rsidRPr="0026397F">
        <w:t xml:space="preserve">The general government gross debt-to-GDP ratio has broadly stabilised during the period 2013-2015, reaching 129.2% in 2013, 130.2% in 2014 and 129.0% in 2015. Taking into account significant debt-reducing stock-flow adjustments in 2016 and continued primary surpluses, the Commission 2016 spring forecast projects the debt ratio to decrease to 126% of GDP </w:t>
      </w:r>
      <w:r w:rsidR="003A6038">
        <w:t>in</w:t>
      </w:r>
      <w:r w:rsidRPr="0026397F">
        <w:t xml:space="preserve"> 2016, and subsequently to 124.5% of GDP </w:t>
      </w:r>
      <w:r w:rsidR="003A6038">
        <w:t>in</w:t>
      </w:r>
      <w:r w:rsidRPr="0026397F">
        <w:t xml:space="preserve"> 2017. </w:t>
      </w:r>
      <w:r w:rsidRPr="0026397F">
        <w:rPr>
          <w:noProof/>
        </w:rPr>
        <w:t xml:space="preserve">Portugal does not appear to face considerable risks of fiscal stress in the short term, while short-term challenges are </w:t>
      </w:r>
      <w:r w:rsidR="003A6038">
        <w:rPr>
          <w:noProof/>
        </w:rPr>
        <w:t xml:space="preserve">nevertheless </w:t>
      </w:r>
      <w:r w:rsidRPr="0026397F">
        <w:rPr>
          <w:noProof/>
        </w:rPr>
        <w:t xml:space="preserve">not excluded (stemming from gross and net public debt, gross financing needs, the net international investment position, as well as the level and the change in the share of non-performing loans or general capital needs in the banking system). In the medium term, however, risks appear to be significant due to the high stock of debt and the high sensitivity of the debt ratio to possible interest rate </w:t>
      </w:r>
      <w:r w:rsidR="003A6038">
        <w:rPr>
          <w:noProof/>
        </w:rPr>
        <w:t>increases</w:t>
      </w:r>
      <w:r w:rsidR="003A6038" w:rsidRPr="0026397F">
        <w:rPr>
          <w:noProof/>
        </w:rPr>
        <w:t xml:space="preserve"> </w:t>
      </w:r>
      <w:r w:rsidRPr="0026397F">
        <w:rPr>
          <w:noProof/>
        </w:rPr>
        <w:t xml:space="preserve">and negative nominal growth shocks. </w:t>
      </w:r>
      <w:r w:rsidRPr="0026397F">
        <w:t xml:space="preserve">In the long term, provided that adequate structural primary balances are consistently preserved, </w:t>
      </w:r>
      <w:r w:rsidRPr="0026397F">
        <w:rPr>
          <w:noProof/>
        </w:rPr>
        <w:t>sustainability risks appear low owing to the pension reforms implemented in the past.</w:t>
      </w:r>
      <w:r w:rsidRPr="0026397F">
        <w:rPr>
          <w:rStyle w:val="FootnoteReference"/>
          <w:noProof/>
        </w:rPr>
        <w:footnoteReference w:id="5"/>
      </w:r>
    </w:p>
    <w:p w14:paraId="5CE7DD8C" w14:textId="504CE40D" w:rsidR="007B7922" w:rsidRPr="007E3A13" w:rsidRDefault="00A957DD" w:rsidP="009059C3">
      <w:pPr>
        <w:pStyle w:val="Considrant"/>
      </w:pPr>
      <w:r>
        <w:rPr>
          <w:rStyle w:val="Corpsdutexte"/>
          <w:szCs w:val="24"/>
        </w:rPr>
        <w:t>Under the f</w:t>
      </w:r>
      <w:r w:rsidR="007B7922" w:rsidRPr="007E3A13">
        <w:rPr>
          <w:rStyle w:val="Corpsdutexte"/>
          <w:szCs w:val="24"/>
        </w:rPr>
        <w:t>iscal policy measures taken in the 2016 Budget</w:t>
      </w:r>
      <w:r>
        <w:rPr>
          <w:rStyle w:val="Corpsdutexte"/>
          <w:szCs w:val="24"/>
        </w:rPr>
        <w:t>,</w:t>
      </w:r>
      <w:r w:rsidR="007B7922" w:rsidRPr="007E3A13">
        <w:rPr>
          <w:rStyle w:val="Corpsdutexte"/>
          <w:szCs w:val="24"/>
        </w:rPr>
        <w:t xml:space="preserve"> the general government deficit </w:t>
      </w:r>
      <w:r>
        <w:rPr>
          <w:rStyle w:val="Corpsdutexte"/>
          <w:szCs w:val="24"/>
        </w:rPr>
        <w:t xml:space="preserve">would be </w:t>
      </w:r>
      <w:r w:rsidR="007B7922" w:rsidRPr="007E3A13">
        <w:rPr>
          <w:rStyle w:val="Corpsdutexte"/>
          <w:szCs w:val="24"/>
        </w:rPr>
        <w:t xml:space="preserve">below 3% of GDP in 2016. However, according to the Commission 2016 spring forecast, the safety margin against breaching the Treaty reference value is narrow. </w:t>
      </w:r>
      <w:r w:rsidR="007B7922" w:rsidRPr="007E3A13">
        <w:rPr>
          <w:lang w:val="en-US"/>
        </w:rPr>
        <w:t>Against the background of high uncertainties regarding economic and budgetary developments, the budgetary targets recommended for the correction year should be set at a level clearly below the Treaty reference value of 3% of GDP, in order to guarantee a durable correction of the excessive deficit situation within the requested deadline.</w:t>
      </w:r>
    </w:p>
    <w:p w14:paraId="0374C6D3" w14:textId="606F64F4" w:rsidR="0006734B" w:rsidRDefault="007B7922" w:rsidP="007B7922">
      <w:pPr>
        <w:pStyle w:val="Considrant"/>
        <w:rPr>
          <w:rStyle w:val="Corpsdutexte"/>
          <w:color w:val="000000"/>
        </w:rPr>
      </w:pPr>
      <w:r w:rsidRPr="0006734B">
        <w:rPr>
          <w:rStyle w:val="Corpsdutexte"/>
          <w:color w:val="000000"/>
        </w:rPr>
        <w:t xml:space="preserve">According to Article 5 of Regulation (EC) No 1467/97, in the Council decision to give notice to take measures for the deficit reduction in accordance with Article 126(9) of the Treaty, the Council shall request that the Member State achieve annual budgetary targets which, on the basis of the forecast underpinning the notice, are consistent with a minimum annual improvement of at least 0.5% of GDP as a benchmark, in its cyclically adjusted balance net of one-off and temporary measures. As this Council decision to give notice is adopted in </w:t>
      </w:r>
      <w:r w:rsidR="00C65EAC" w:rsidRPr="0006734B">
        <w:rPr>
          <w:rStyle w:val="Corpsdutexte"/>
          <w:color w:val="000000"/>
        </w:rPr>
        <w:t xml:space="preserve">the second half of the </w:t>
      </w:r>
      <w:r w:rsidRPr="0006734B">
        <w:rPr>
          <w:rStyle w:val="Corpsdutexte"/>
          <w:color w:val="000000"/>
        </w:rPr>
        <w:t>year, and taking into consideration the current Commission estimates</w:t>
      </w:r>
      <w:r w:rsidR="00767476">
        <w:rPr>
          <w:rStyle w:val="Corpsdutexte"/>
          <w:color w:val="000000"/>
        </w:rPr>
        <w:t xml:space="preserve"> of the spring forecast</w:t>
      </w:r>
      <w:r w:rsidRPr="0006734B">
        <w:rPr>
          <w:rStyle w:val="Corpsdutexte"/>
          <w:color w:val="000000"/>
        </w:rPr>
        <w:t xml:space="preserve">, </w:t>
      </w:r>
      <w:r w:rsidR="00C65EAC" w:rsidRPr="00140680">
        <w:rPr>
          <w:rStyle w:val="Corpsdutexte"/>
          <w:color w:val="000000"/>
        </w:rPr>
        <w:t>an unchanged structural balance</w:t>
      </w:r>
      <w:r w:rsidRPr="0006734B">
        <w:rPr>
          <w:rStyle w:val="Corpsdutexte"/>
          <w:color w:val="000000"/>
        </w:rPr>
        <w:t xml:space="preserve"> would be </w:t>
      </w:r>
      <w:r w:rsidR="00EB7780" w:rsidRPr="0006734B">
        <w:rPr>
          <w:rStyle w:val="Corpsdutexte"/>
          <w:color w:val="000000"/>
        </w:rPr>
        <w:t xml:space="preserve">warranted </w:t>
      </w:r>
      <w:r w:rsidRPr="0006734B">
        <w:rPr>
          <w:rStyle w:val="Corpsdutexte"/>
          <w:color w:val="000000"/>
        </w:rPr>
        <w:t xml:space="preserve">for 2016 to provide </w:t>
      </w:r>
      <w:r w:rsidR="000A37BF">
        <w:rPr>
          <w:rStyle w:val="Corpsdutexte"/>
          <w:color w:val="000000"/>
        </w:rPr>
        <w:t>a sufficient</w:t>
      </w:r>
      <w:r w:rsidR="000A37BF" w:rsidRPr="0006734B">
        <w:rPr>
          <w:rStyle w:val="Corpsdutexte"/>
          <w:color w:val="000000"/>
        </w:rPr>
        <w:t xml:space="preserve"> </w:t>
      </w:r>
      <w:r w:rsidRPr="0006734B">
        <w:rPr>
          <w:rStyle w:val="Corpsdutexte"/>
          <w:color w:val="000000"/>
        </w:rPr>
        <w:t>safety margin towards a durable correction of the excessive deficit.</w:t>
      </w:r>
    </w:p>
    <w:p w14:paraId="05D31080" w14:textId="7E4A73AC" w:rsidR="0006734B" w:rsidRPr="004E4ABC" w:rsidRDefault="007B7922" w:rsidP="007B7922">
      <w:pPr>
        <w:pStyle w:val="Considrant"/>
        <w:rPr>
          <w:rStyle w:val="Corpsdutexte"/>
          <w:color w:val="000000"/>
        </w:rPr>
      </w:pPr>
      <w:r w:rsidRPr="0006734B">
        <w:rPr>
          <w:rStyle w:val="Corpsdutexte"/>
          <w:color w:val="000000"/>
        </w:rPr>
        <w:t>Therefore, a credible and sustainable adjustment path would require Portugal to reach a general government deficit o</w:t>
      </w:r>
      <w:r w:rsidRPr="00EF4BC0">
        <w:rPr>
          <w:rStyle w:val="Corpsdutexte"/>
          <w:color w:val="000000"/>
        </w:rPr>
        <w:t xml:space="preserve">f </w:t>
      </w:r>
      <w:r w:rsidR="005E76A2" w:rsidRPr="00140680">
        <w:rPr>
          <w:rStyle w:val="Corpsdutexte"/>
          <w:color w:val="000000"/>
        </w:rPr>
        <w:t>2.</w:t>
      </w:r>
      <w:r w:rsidR="00D1792B" w:rsidRPr="00140680">
        <w:rPr>
          <w:rStyle w:val="Corpsdutexte"/>
          <w:color w:val="000000"/>
        </w:rPr>
        <w:t>5</w:t>
      </w:r>
      <w:r w:rsidRPr="00EF4BC0">
        <w:rPr>
          <w:rStyle w:val="Corpsdutexte"/>
          <w:color w:val="000000"/>
        </w:rPr>
        <w:t>% of GDP in 2016, which is consistent with</w:t>
      </w:r>
      <w:r w:rsidR="005E76A2" w:rsidRPr="00140680">
        <w:rPr>
          <w:rStyle w:val="Corpsdutexte"/>
          <w:color w:val="000000"/>
        </w:rPr>
        <w:t xml:space="preserve"> a</w:t>
      </w:r>
      <w:r w:rsidR="00DD4BD7" w:rsidRPr="00140680">
        <w:rPr>
          <w:rStyle w:val="Corpsdutexte"/>
          <w:color w:val="000000"/>
        </w:rPr>
        <w:t>n unchanged structural balance with respect to 2015</w:t>
      </w:r>
      <w:r w:rsidRPr="00EF4BC0">
        <w:rPr>
          <w:rStyle w:val="Corpsdutexte"/>
          <w:color w:val="000000"/>
        </w:rPr>
        <w:t>.</w:t>
      </w:r>
      <w:r w:rsidRPr="00296151">
        <w:rPr>
          <w:rStyle w:val="Corpsdutexte"/>
          <w:color w:val="000000"/>
        </w:rPr>
        <w:t xml:space="preserve"> Those budgetary targets take into account the need to compensate for second-round effects of fiscal consolidation on public finances, through its impact on the wider economy</w:t>
      </w:r>
      <w:r w:rsidRPr="004E4ABC">
        <w:rPr>
          <w:rStyle w:val="Corpsdutexte"/>
          <w:color w:val="000000"/>
        </w:rPr>
        <w:t>.</w:t>
      </w:r>
      <w:r w:rsidR="000A37BF" w:rsidRPr="004E4ABC">
        <w:t xml:space="preserve"> </w:t>
      </w:r>
    </w:p>
    <w:p w14:paraId="02D0E328" w14:textId="75C2E36B" w:rsidR="007B7922" w:rsidRPr="0006734B" w:rsidRDefault="0006734B" w:rsidP="007B7922">
      <w:pPr>
        <w:pStyle w:val="Considrant"/>
        <w:rPr>
          <w:rStyle w:val="Corpsdutexte"/>
          <w:color w:val="000000"/>
        </w:rPr>
      </w:pPr>
      <w:r>
        <w:t>T</w:t>
      </w:r>
      <w:r w:rsidRPr="00D363BE">
        <w:t>h</w:t>
      </w:r>
      <w:r>
        <w:t>e</w:t>
      </w:r>
      <w:r w:rsidRPr="00D363BE">
        <w:t xml:space="preserve"> </w:t>
      </w:r>
      <w:r w:rsidRPr="00476437">
        <w:t xml:space="preserve">deficit target </w:t>
      </w:r>
      <w:r>
        <w:t xml:space="preserve">implied by the proposed adjustment path </w:t>
      </w:r>
      <w:r w:rsidRPr="00476437">
        <w:t xml:space="preserve">does not incorporate the possible direct </w:t>
      </w:r>
      <w:r>
        <w:t xml:space="preserve">fiscal </w:t>
      </w:r>
      <w:r w:rsidRPr="00476437">
        <w:t>effect of potential bank support measures</w:t>
      </w:r>
      <w:r>
        <w:t xml:space="preserve"> in the second half of 2016.</w:t>
      </w:r>
      <w:r w:rsidRPr="0006734B">
        <w:t xml:space="preserve"> </w:t>
      </w:r>
      <w:r>
        <w:t>This is because there is high uncertainty regarding the effective implementation and statistical recording of these measures, and hence their possible impact on deficit and debt.</w:t>
      </w:r>
      <w:r w:rsidR="00B72EA4" w:rsidRPr="009059C3">
        <w:t xml:space="preserve"> </w:t>
      </w:r>
      <w:r w:rsidR="004C0ACA">
        <w:rPr>
          <w:szCs w:val="24"/>
          <w:lang w:val="en-US"/>
        </w:rPr>
        <w:t>Any possible b</w:t>
      </w:r>
      <w:r w:rsidR="001D518B" w:rsidRPr="009059C3">
        <w:rPr>
          <w:szCs w:val="24"/>
          <w:lang w:val="en-US"/>
        </w:rPr>
        <w:t>ank sector support measures should aim at limiting the fiscal impact to the minimum possible to ensure debt sustainability</w:t>
      </w:r>
      <w:r w:rsidR="001D518B">
        <w:rPr>
          <w:szCs w:val="24"/>
          <w:lang w:val="en-US"/>
        </w:rPr>
        <w:t>.</w:t>
      </w:r>
    </w:p>
    <w:p w14:paraId="22A71B72" w14:textId="6A8852BB" w:rsidR="007B7922" w:rsidRPr="00D363BE" w:rsidRDefault="007B7922" w:rsidP="00154906">
      <w:pPr>
        <w:pStyle w:val="Considrant"/>
        <w:rPr>
          <w:rStyle w:val="Corpsdutexte"/>
          <w:color w:val="000000"/>
        </w:rPr>
      </w:pPr>
      <w:r w:rsidRPr="002264CA">
        <w:rPr>
          <w:rStyle w:val="Corpsdutexte"/>
          <w:color w:val="000000"/>
        </w:rPr>
        <w:t xml:space="preserve">To </w:t>
      </w:r>
      <w:r w:rsidR="0006734B">
        <w:rPr>
          <w:rStyle w:val="Corpsdutexte"/>
          <w:color w:val="000000"/>
        </w:rPr>
        <w:t>attain the budgetary targets implied by the proposed adjustment path</w:t>
      </w:r>
      <w:r w:rsidRPr="002264CA">
        <w:rPr>
          <w:rStyle w:val="Corpsdutexte"/>
          <w:color w:val="000000"/>
        </w:rPr>
        <w:t xml:space="preserve">, additional consolidation measures with an estimated impact of </w:t>
      </w:r>
      <w:r w:rsidR="005E76A2" w:rsidRPr="00140680">
        <w:rPr>
          <w:rStyle w:val="Corpsdutexte"/>
          <w:color w:val="000000"/>
        </w:rPr>
        <w:t>0.25</w:t>
      </w:r>
      <w:r w:rsidRPr="00EF4BC0">
        <w:rPr>
          <w:rStyle w:val="Corpsdutexte"/>
          <w:color w:val="000000"/>
        </w:rPr>
        <w:t>%</w:t>
      </w:r>
      <w:r w:rsidRPr="002264CA">
        <w:rPr>
          <w:rStyle w:val="Corpsdutexte"/>
          <w:color w:val="000000"/>
        </w:rPr>
        <w:t xml:space="preserve"> of GDP in 2016 are considered necessary, also in view of the structural deterioration </w:t>
      </w:r>
      <w:r w:rsidR="007D5D28">
        <w:rPr>
          <w:rStyle w:val="Corpsdutexte"/>
          <w:color w:val="000000"/>
        </w:rPr>
        <w:t>identified</w:t>
      </w:r>
      <w:r w:rsidRPr="002264CA">
        <w:rPr>
          <w:rStyle w:val="Corpsdutexte"/>
          <w:color w:val="000000"/>
        </w:rPr>
        <w:t xml:space="preserve"> in the Commission 2016 spring forecast. In particular, Portugal shall implement the measures included in the 2016 Budget as well </w:t>
      </w:r>
      <w:r w:rsidRPr="00D363BE">
        <w:rPr>
          <w:rStyle w:val="Corpsdutexte"/>
          <w:color w:val="000000"/>
        </w:rPr>
        <w:t xml:space="preserve">as the expenditure control mechanism in the procurement of goods and services, which is currently </w:t>
      </w:r>
      <w:r w:rsidR="0059295D" w:rsidRPr="00D363BE">
        <w:rPr>
          <w:rStyle w:val="Corpsdutexte"/>
          <w:color w:val="000000"/>
        </w:rPr>
        <w:t>highlighted</w:t>
      </w:r>
      <w:r w:rsidRPr="00D363BE">
        <w:rPr>
          <w:rStyle w:val="Corpsdutexte"/>
          <w:color w:val="000000"/>
        </w:rPr>
        <w:t xml:space="preserve"> in the 2016 Stability Programme. </w:t>
      </w:r>
      <w:r w:rsidR="00154906" w:rsidRPr="00154906">
        <w:rPr>
          <w:rStyle w:val="Corpsdutexte"/>
          <w:color w:val="000000"/>
        </w:rPr>
        <w:t xml:space="preserve">These savings would need to be complemented with other measures of a structural nature </w:t>
      </w:r>
      <w:r w:rsidR="00154906">
        <w:rPr>
          <w:rStyle w:val="Corpsdutexte"/>
          <w:color w:val="000000"/>
        </w:rPr>
        <w:t>which c</w:t>
      </w:r>
      <w:r w:rsidRPr="00D363BE">
        <w:rPr>
          <w:rStyle w:val="Corpsdutexte"/>
          <w:color w:val="000000"/>
        </w:rPr>
        <w:t xml:space="preserve">ould focus on </w:t>
      </w:r>
      <w:r w:rsidR="0049787E" w:rsidRPr="00D363BE">
        <w:rPr>
          <w:rStyle w:val="Corpsdutexte"/>
          <w:color w:val="000000"/>
        </w:rPr>
        <w:t xml:space="preserve">the </w:t>
      </w:r>
      <w:r w:rsidRPr="00D363BE">
        <w:rPr>
          <w:rStyle w:val="Corpsdutexte"/>
          <w:color w:val="000000"/>
        </w:rPr>
        <w:t>revenue</w:t>
      </w:r>
      <w:r w:rsidR="0049787E" w:rsidRPr="00D363BE">
        <w:rPr>
          <w:rStyle w:val="Corpsdutexte"/>
          <w:color w:val="000000"/>
        </w:rPr>
        <w:t xml:space="preserve"> side</w:t>
      </w:r>
      <w:r w:rsidRPr="00D363BE">
        <w:rPr>
          <w:rStyle w:val="Corpsdutexte"/>
          <w:color w:val="000000"/>
        </w:rPr>
        <w:t xml:space="preserve"> aim</w:t>
      </w:r>
      <w:r w:rsidR="0049787E" w:rsidRPr="00D363BE">
        <w:rPr>
          <w:rStyle w:val="Corpsdutexte"/>
          <w:color w:val="000000"/>
        </w:rPr>
        <w:t>ing</w:t>
      </w:r>
      <w:r w:rsidRPr="00D363BE">
        <w:rPr>
          <w:rStyle w:val="Corpsdutexte"/>
          <w:color w:val="000000"/>
        </w:rPr>
        <w:t xml:space="preserve"> at increasing the yields of indirect taxation by broadening the tax base and reducing tax expenditures. One way to achieve this could be by adjusting the still broad use of reduced VAT rates</w:t>
      </w:r>
      <w:r w:rsidR="0006734B">
        <w:rPr>
          <w:rStyle w:val="Corpsdutexte"/>
          <w:color w:val="000000"/>
        </w:rPr>
        <w:t>.</w:t>
      </w:r>
    </w:p>
    <w:p w14:paraId="6ED0C41E" w14:textId="027090F2" w:rsidR="007D5D28" w:rsidRDefault="007B7922" w:rsidP="00CD68BC">
      <w:pPr>
        <w:pStyle w:val="Considrant"/>
        <w:rPr>
          <w:rStyle w:val="Corpsdutexte"/>
          <w:color w:val="000000"/>
        </w:rPr>
      </w:pPr>
      <w:r w:rsidRPr="00EB7780">
        <w:rPr>
          <w:rStyle w:val="Corpsdutexte"/>
          <w:color w:val="000000"/>
        </w:rPr>
        <w:t>In addition, Portugal should reinforce structural reforms to</w:t>
      </w:r>
      <w:r w:rsidRPr="005427BA">
        <w:rPr>
          <w:rStyle w:val="Corpsdutexte"/>
          <w:color w:val="000000"/>
        </w:rPr>
        <w:t xml:space="preserve"> enhance competiti</w:t>
      </w:r>
      <w:r w:rsidRPr="002264CA">
        <w:rPr>
          <w:rStyle w:val="Corpsdutexte"/>
          <w:color w:val="000000"/>
        </w:rPr>
        <w:t xml:space="preserve">veness and long-term sustainable growth in line with the Council </w:t>
      </w:r>
      <w:r>
        <w:rPr>
          <w:rStyle w:val="Corpsdutexte"/>
          <w:color w:val="000000"/>
        </w:rPr>
        <w:t>R</w:t>
      </w:r>
      <w:r w:rsidRPr="002264CA">
        <w:rPr>
          <w:rStyle w:val="Corpsdutexte"/>
          <w:color w:val="000000"/>
        </w:rPr>
        <w:t xml:space="preserve">ecommendations addressed to Portugal in the context of the European Semester and in particular those related to the </w:t>
      </w:r>
      <w:r>
        <w:rPr>
          <w:rStyle w:val="Corpsdutexte"/>
          <w:color w:val="000000"/>
        </w:rPr>
        <w:t>correction of its excessive macroeconomic imbalances</w:t>
      </w:r>
      <w:r w:rsidRPr="002264CA">
        <w:rPr>
          <w:rStyle w:val="Corpsdutexte"/>
          <w:color w:val="000000"/>
        </w:rPr>
        <w:t xml:space="preserve">. In particular, further fiscal-structural measures are necessary to strengthen the resilience of Portugal’s public finances. The timely and strict implementation of the revised </w:t>
      </w:r>
      <w:r w:rsidR="005427BA">
        <w:rPr>
          <w:rStyle w:val="Corpsdutexte"/>
          <w:color w:val="000000"/>
        </w:rPr>
        <w:t>B</w:t>
      </w:r>
      <w:r w:rsidR="005427BA" w:rsidRPr="002264CA">
        <w:rPr>
          <w:rStyle w:val="Corpsdutexte"/>
          <w:color w:val="000000"/>
        </w:rPr>
        <w:t xml:space="preserve">udget </w:t>
      </w:r>
      <w:r w:rsidR="005427BA">
        <w:rPr>
          <w:rStyle w:val="Corpsdutexte"/>
          <w:color w:val="000000"/>
        </w:rPr>
        <w:t>F</w:t>
      </w:r>
      <w:r w:rsidR="005427BA" w:rsidRPr="002264CA">
        <w:rPr>
          <w:rStyle w:val="Corpsdutexte"/>
          <w:color w:val="000000"/>
        </w:rPr>
        <w:t xml:space="preserve">ramework </w:t>
      </w:r>
      <w:r w:rsidR="005427BA">
        <w:rPr>
          <w:rStyle w:val="Corpsdutexte"/>
          <w:color w:val="000000"/>
        </w:rPr>
        <w:t>L</w:t>
      </w:r>
      <w:r w:rsidR="005427BA" w:rsidRPr="002264CA">
        <w:rPr>
          <w:rStyle w:val="Corpsdutexte"/>
          <w:color w:val="000000"/>
        </w:rPr>
        <w:t xml:space="preserve">aw </w:t>
      </w:r>
      <w:r w:rsidRPr="002264CA">
        <w:rPr>
          <w:rStyle w:val="Corpsdutexte"/>
          <w:color w:val="000000"/>
        </w:rPr>
        <w:t xml:space="preserve">and the </w:t>
      </w:r>
      <w:r w:rsidR="005427BA">
        <w:rPr>
          <w:rStyle w:val="Corpsdutexte"/>
          <w:color w:val="000000"/>
        </w:rPr>
        <w:t>C</w:t>
      </w:r>
      <w:r w:rsidR="005427BA" w:rsidRPr="002264CA">
        <w:rPr>
          <w:rStyle w:val="Corpsdutexte"/>
          <w:color w:val="000000"/>
        </w:rPr>
        <w:t xml:space="preserve">ommitment </w:t>
      </w:r>
      <w:r w:rsidR="005427BA">
        <w:rPr>
          <w:rStyle w:val="Corpsdutexte"/>
          <w:color w:val="000000"/>
        </w:rPr>
        <w:t>C</w:t>
      </w:r>
      <w:r w:rsidR="005427BA" w:rsidRPr="002264CA">
        <w:rPr>
          <w:rStyle w:val="Corpsdutexte"/>
          <w:color w:val="000000"/>
        </w:rPr>
        <w:t xml:space="preserve">ontrol </w:t>
      </w:r>
      <w:r w:rsidR="005427BA">
        <w:rPr>
          <w:rStyle w:val="Corpsdutexte"/>
          <w:color w:val="000000"/>
        </w:rPr>
        <w:t>L</w:t>
      </w:r>
      <w:r w:rsidR="005427BA" w:rsidRPr="002264CA">
        <w:rPr>
          <w:rStyle w:val="Corpsdutexte"/>
          <w:color w:val="000000"/>
        </w:rPr>
        <w:t xml:space="preserve">aw </w:t>
      </w:r>
      <w:r w:rsidRPr="002264CA">
        <w:rPr>
          <w:rStyle w:val="Corpsdutexte"/>
          <w:color w:val="000000"/>
        </w:rPr>
        <w:t xml:space="preserve">as well as further improvements in revenue collection and expenditure control may significantly contribute to achieving and </w:t>
      </w:r>
      <w:r w:rsidRPr="00F84991">
        <w:rPr>
          <w:rStyle w:val="Corpsdutexte"/>
          <w:color w:val="000000"/>
        </w:rPr>
        <w:t>maintaining</w:t>
      </w:r>
      <w:r w:rsidRPr="002264CA">
        <w:rPr>
          <w:rStyle w:val="Corpsdutexte"/>
          <w:color w:val="000000"/>
        </w:rPr>
        <w:t xml:space="preserve"> a healthy fiscal position. </w:t>
      </w:r>
      <w:r w:rsidR="005427BA" w:rsidRPr="005427BA">
        <w:rPr>
          <w:rStyle w:val="Corpsdutexte"/>
          <w:color w:val="000000"/>
        </w:rPr>
        <w:t>Portugal sh</w:t>
      </w:r>
      <w:r w:rsidR="005427BA">
        <w:rPr>
          <w:rStyle w:val="Corpsdutexte"/>
          <w:color w:val="000000"/>
        </w:rPr>
        <w:t>ould</w:t>
      </w:r>
      <w:r w:rsidR="005427BA" w:rsidRPr="005427BA">
        <w:rPr>
          <w:rStyle w:val="Corpsdutexte"/>
          <w:color w:val="000000"/>
        </w:rPr>
        <w:t xml:space="preserve"> present a clear schedule and implement steps to clear arrears </w:t>
      </w:r>
      <w:r w:rsidR="00CD68BC" w:rsidRPr="00CD68BC">
        <w:rPr>
          <w:rStyle w:val="Corpsdutexte"/>
          <w:color w:val="000000"/>
        </w:rPr>
        <w:t xml:space="preserve">fully </w:t>
      </w:r>
      <w:r w:rsidR="005427BA" w:rsidRPr="005427BA">
        <w:rPr>
          <w:rStyle w:val="Corpsdutexte"/>
          <w:color w:val="000000"/>
        </w:rPr>
        <w:t xml:space="preserve">and improve efficiency in the health care system, to reduce the reliance of the pension system on budget transfers and to ensure fiscal savings in the restructuring of State-owned enterprises. </w:t>
      </w:r>
      <w:bookmarkStart w:id="1" w:name="_Ref309746214"/>
    </w:p>
    <w:p w14:paraId="6BF54270" w14:textId="63F59A1C" w:rsidR="00371B54" w:rsidRPr="007D5D28" w:rsidRDefault="000A37BF" w:rsidP="00087B1B">
      <w:pPr>
        <w:pStyle w:val="Considrant"/>
        <w:rPr>
          <w:shd w:val="clear" w:color="auto" w:fill="FFFFFF"/>
        </w:rPr>
      </w:pPr>
      <w:r w:rsidRPr="00C8502E">
        <w:t xml:space="preserve">According to Article 126(9) of the Treaty, </w:t>
      </w:r>
      <w:r w:rsidRPr="00C8502E">
        <w:rPr>
          <w:rStyle w:val="Corpsdutexte"/>
        </w:rPr>
        <w:t xml:space="preserve">the </w:t>
      </w:r>
      <w:r w:rsidR="007B7922" w:rsidRPr="00C8502E">
        <w:rPr>
          <w:rStyle w:val="Corpsdutexte"/>
        </w:rPr>
        <w:t xml:space="preserve">Council may, as part of its </w:t>
      </w:r>
      <w:r w:rsidR="008A42CB" w:rsidRPr="00C8502E">
        <w:rPr>
          <w:rStyle w:val="Corpsdutexte"/>
        </w:rPr>
        <w:t xml:space="preserve">decision to </w:t>
      </w:r>
      <w:r w:rsidR="007B7922" w:rsidRPr="00C8502E">
        <w:rPr>
          <w:rStyle w:val="Corpsdutexte"/>
        </w:rPr>
        <w:t>giv</w:t>
      </w:r>
      <w:r w:rsidR="008A42CB" w:rsidRPr="00C8502E">
        <w:rPr>
          <w:rStyle w:val="Corpsdutexte"/>
        </w:rPr>
        <w:t>e</w:t>
      </w:r>
      <w:r w:rsidR="007B7922" w:rsidRPr="00C8502E">
        <w:rPr>
          <w:rStyle w:val="Corpsdutexte"/>
        </w:rPr>
        <w:t xml:space="preserve"> notice under this Article, request the Member State concerned to submit reports on the adjustment effort in accordance with a specific timetable. </w:t>
      </w:r>
      <w:r w:rsidRPr="00C8502E">
        <w:t>According to Article 5(1a) of Regulation EC (No) 1467/97</w:t>
      </w:r>
      <w:r>
        <w:rPr>
          <w:color w:val="1F497D"/>
        </w:rPr>
        <w:t xml:space="preserve">, </w:t>
      </w:r>
      <w:r>
        <w:rPr>
          <w:rStyle w:val="Corpsdutexte"/>
          <w:color w:val="000000"/>
        </w:rPr>
        <w:t>t</w:t>
      </w:r>
      <w:r w:rsidR="007B7922" w:rsidRPr="007D5D28">
        <w:rPr>
          <w:rStyle w:val="Corpsdutexte"/>
          <w:color w:val="000000"/>
        </w:rPr>
        <w:t xml:space="preserve">he Member State report </w:t>
      </w:r>
      <w:r w:rsidR="00007F9B" w:rsidRPr="007D5D28">
        <w:rPr>
          <w:rStyle w:val="Corpsdutexte"/>
          <w:color w:val="000000"/>
        </w:rPr>
        <w:t>sh</w:t>
      </w:r>
      <w:r w:rsidR="00007F9B">
        <w:rPr>
          <w:rStyle w:val="Corpsdutexte"/>
          <w:color w:val="000000"/>
        </w:rPr>
        <w:t>ould</w:t>
      </w:r>
      <w:r w:rsidR="00007F9B" w:rsidRPr="007D5D28">
        <w:rPr>
          <w:rStyle w:val="Corpsdutexte"/>
          <w:color w:val="000000"/>
        </w:rPr>
        <w:t xml:space="preserve"> </w:t>
      </w:r>
      <w:r w:rsidR="007B7922" w:rsidRPr="007D5D28">
        <w:rPr>
          <w:rStyle w:val="Corpsdutexte"/>
          <w:color w:val="000000"/>
        </w:rPr>
        <w:t xml:space="preserve">include the targets for government expenditure and revenue and </w:t>
      </w:r>
      <w:r w:rsidR="001C03F3" w:rsidRPr="007D5D28">
        <w:rPr>
          <w:rStyle w:val="Corpsdutexte"/>
          <w:color w:val="000000"/>
        </w:rPr>
        <w:t>specify</w:t>
      </w:r>
      <w:r w:rsidR="007B7922" w:rsidRPr="007D5D28">
        <w:rPr>
          <w:rStyle w:val="Corpsdutexte"/>
          <w:color w:val="000000"/>
        </w:rPr>
        <w:t xml:space="preserve"> the fiscal policy measures on both the expenditure and the revenue side, as well as information on the policy actions being taken in response to the specific Council </w:t>
      </w:r>
      <w:r w:rsidR="001C03F3" w:rsidRPr="007D5D28">
        <w:rPr>
          <w:rStyle w:val="Corpsdutexte"/>
          <w:color w:val="000000"/>
        </w:rPr>
        <w:t>decisions</w:t>
      </w:r>
      <w:r w:rsidR="007B7922" w:rsidRPr="007D5D28">
        <w:rPr>
          <w:rStyle w:val="Corpsdutexte"/>
          <w:color w:val="000000"/>
        </w:rPr>
        <w:t xml:space="preserve">. In order to facilitate the monitoring of the deadline for compliance with the recommendations contained in this notice, as well as the deadline for correction of the excessive deficit, Portugal </w:t>
      </w:r>
      <w:r>
        <w:rPr>
          <w:rStyle w:val="Corpsdutexte"/>
          <w:color w:val="000000"/>
        </w:rPr>
        <w:t>is</w:t>
      </w:r>
      <w:r w:rsidR="00007F9B" w:rsidRPr="007D5D28">
        <w:rPr>
          <w:rStyle w:val="Corpsdutexte"/>
          <w:color w:val="000000"/>
        </w:rPr>
        <w:t xml:space="preserve"> </w:t>
      </w:r>
      <w:r w:rsidR="007B7922" w:rsidRPr="007D5D28">
        <w:rPr>
          <w:rStyle w:val="Corpsdutexte"/>
          <w:color w:val="000000"/>
        </w:rPr>
        <w:t>requested to submit such a repor</w:t>
      </w:r>
      <w:r w:rsidR="007B7922" w:rsidRPr="00CF7F11">
        <w:rPr>
          <w:rStyle w:val="Corpsdutexte"/>
          <w:color w:val="000000"/>
        </w:rPr>
        <w:t xml:space="preserve">t </w:t>
      </w:r>
      <w:r w:rsidR="001D15D6" w:rsidRPr="00CF7F11">
        <w:rPr>
          <w:rStyle w:val="Corpsdutexte"/>
          <w:color w:val="000000"/>
        </w:rPr>
        <w:t>before</w:t>
      </w:r>
      <w:r w:rsidR="00087B1B" w:rsidRPr="00CF7F11">
        <w:rPr>
          <w:rStyle w:val="Corpsdutexte"/>
          <w:color w:val="000000"/>
        </w:rPr>
        <w:t xml:space="preserve"> 15 October</w:t>
      </w:r>
      <w:r w:rsidR="001D15D6" w:rsidRPr="00CF7F11">
        <w:rPr>
          <w:rStyle w:val="Corpsdutexte"/>
          <w:color w:val="000000"/>
        </w:rPr>
        <w:t xml:space="preserve"> 2016</w:t>
      </w:r>
      <w:r w:rsidR="009C1CD5">
        <w:rPr>
          <w:rStyle w:val="Corpsdutexte"/>
          <w:color w:val="000000"/>
        </w:rPr>
        <w:t xml:space="preserve">, </w:t>
      </w:r>
      <w:r w:rsidR="009C1CD5">
        <w:rPr>
          <w:rFonts w:eastAsia="Times New Roman"/>
        </w:rPr>
        <w:t>in parallel with its 2017 Draft Budgetary Plan</w:t>
      </w:r>
      <w:r w:rsidR="00CF7F11" w:rsidRPr="00CF7F11">
        <w:rPr>
          <w:rStyle w:val="Corpsdutexte"/>
          <w:color w:val="000000"/>
        </w:rPr>
        <w:t>.</w:t>
      </w:r>
      <w:bookmarkEnd w:id="1"/>
    </w:p>
    <w:p w14:paraId="2E9E5C50" w14:textId="1E5BCB4A" w:rsidR="00452C33" w:rsidRDefault="007B7922" w:rsidP="00095966">
      <w:pPr>
        <w:pStyle w:val="Considrant"/>
        <w:rPr>
          <w:rStyle w:val="Corpsdutexte"/>
          <w:color w:val="000000"/>
        </w:rPr>
      </w:pPr>
      <w:r w:rsidRPr="00371B54">
        <w:rPr>
          <w:rStyle w:val="Corpsdutexte"/>
          <w:color w:val="000000"/>
        </w:rPr>
        <w:t>By the same deadline</w:t>
      </w:r>
      <w:r w:rsidR="00CD68BC">
        <w:rPr>
          <w:rStyle w:val="Corpsdutexte"/>
          <w:color w:val="000000"/>
        </w:rPr>
        <w:t>,</w:t>
      </w:r>
      <w:r w:rsidRPr="00371B54">
        <w:rPr>
          <w:rStyle w:val="Corpsdutexte"/>
          <w:color w:val="000000"/>
        </w:rPr>
        <w:t xml:space="preserve"> Portugal should also present an economic partnership programme in accordance with Articles 9(1) and 17(2) of Regulation (EU) No 473/2013 of the European Parliament and of the Council of 21 May 2013. The economic partnership programme should describe policy measures and structural reforms that are needed to ensure an effective and lasting correction of the excessive deficit, as a development of the national reform programme and the stability programme, and fully taking into account the Council recommendations on the implementation of the integrated guidelines for the economic and employment policies.</w:t>
      </w:r>
    </w:p>
    <w:p w14:paraId="0C482DDA" w14:textId="166F5F49" w:rsidR="007B7922" w:rsidRDefault="007B7922" w:rsidP="007B7922">
      <w:pPr>
        <w:pStyle w:val="Considrant"/>
        <w:rPr>
          <w:rStyle w:val="Corpsdutexte"/>
        </w:rPr>
      </w:pPr>
      <w:r w:rsidRPr="00A73453">
        <w:rPr>
          <w:rStyle w:val="Corpsdutexte"/>
        </w:rPr>
        <w:t>Portugal sh</w:t>
      </w:r>
      <w:r>
        <w:rPr>
          <w:rStyle w:val="Corpsdutexte"/>
        </w:rPr>
        <w:t>ould</w:t>
      </w:r>
      <w:r w:rsidR="007B5D49">
        <w:rPr>
          <w:rStyle w:val="Corpsdutexte"/>
        </w:rPr>
        <w:t xml:space="preserve"> also</w:t>
      </w:r>
      <w:r w:rsidRPr="00A73453">
        <w:rPr>
          <w:rStyle w:val="Corpsdutexte"/>
        </w:rPr>
        <w:t xml:space="preserve"> report to the Commission and the Economic and Financial Committee as required under Article 10 of Regulation </w:t>
      </w:r>
      <w:r w:rsidR="009038B4">
        <w:rPr>
          <w:rStyle w:val="Corpsdutexte"/>
        </w:rPr>
        <w:t>(</w:t>
      </w:r>
      <w:r w:rsidRPr="00A73453">
        <w:rPr>
          <w:rStyle w:val="Corpsdutexte"/>
        </w:rPr>
        <w:t>EU</w:t>
      </w:r>
      <w:r w:rsidR="009038B4">
        <w:rPr>
          <w:rStyle w:val="Corpsdutexte"/>
        </w:rPr>
        <w:t>)</w:t>
      </w:r>
      <w:r w:rsidRPr="00A73453">
        <w:rPr>
          <w:rStyle w:val="Corpsdutexte"/>
        </w:rPr>
        <w:t xml:space="preserve"> No 473/2013 in accordance with the specifications laid down in Commission Delegated Regulation (EU) No 877/2013. The report </w:t>
      </w:r>
      <w:r w:rsidRPr="009C1CD5">
        <w:rPr>
          <w:rStyle w:val="Corpsdutexte"/>
        </w:rPr>
        <w:t xml:space="preserve">should be submitted for the first time by </w:t>
      </w:r>
      <w:r w:rsidR="00F5496E" w:rsidRPr="009C1CD5">
        <w:rPr>
          <w:rStyle w:val="Corpsdutexte"/>
        </w:rPr>
        <w:t xml:space="preserve">15 </w:t>
      </w:r>
      <w:r w:rsidR="000A37BF" w:rsidRPr="009C1CD5">
        <w:rPr>
          <w:rStyle w:val="Corpsdutexte"/>
        </w:rPr>
        <w:t xml:space="preserve">January </w:t>
      </w:r>
      <w:r w:rsidR="001D15D6" w:rsidRPr="009C1CD5">
        <w:rPr>
          <w:rStyle w:val="Corpsdutexte"/>
        </w:rPr>
        <w:t>201</w:t>
      </w:r>
      <w:r w:rsidR="000A37BF" w:rsidRPr="009C1CD5">
        <w:rPr>
          <w:rStyle w:val="Corpsdutexte"/>
        </w:rPr>
        <w:t>7</w:t>
      </w:r>
      <w:r w:rsidR="00F33688" w:rsidRPr="009C1CD5">
        <w:rPr>
          <w:rStyle w:val="Corpsdutexte"/>
        </w:rPr>
        <w:t xml:space="preserve"> </w:t>
      </w:r>
      <w:r w:rsidRPr="009C1CD5">
        <w:rPr>
          <w:rStyle w:val="Corpsdutexte"/>
        </w:rPr>
        <w:t>and on a three</w:t>
      </w:r>
      <w:r w:rsidRPr="00A73453">
        <w:rPr>
          <w:rStyle w:val="Corpsdutexte"/>
        </w:rPr>
        <w:t>-monthly basis thereafter.</w:t>
      </w:r>
      <w:r w:rsidR="0088380B">
        <w:rPr>
          <w:rStyle w:val="Corpsdutexte"/>
        </w:rPr>
        <w:t xml:space="preserve"> </w:t>
      </w:r>
    </w:p>
    <w:p w14:paraId="4813ADEE" w14:textId="77777777" w:rsidR="007B7922" w:rsidRDefault="007B7922" w:rsidP="00CC71D0">
      <w:pPr>
        <w:pStyle w:val="Formuledadoption"/>
        <w:rPr>
          <w:noProof/>
        </w:rPr>
      </w:pPr>
      <w:r w:rsidRPr="008C4321">
        <w:rPr>
          <w:noProof/>
        </w:rPr>
        <w:t xml:space="preserve">HAS ADOPTED THIS DECISION: </w:t>
      </w:r>
    </w:p>
    <w:p w14:paraId="360463F8" w14:textId="77777777" w:rsidR="007B7922" w:rsidRDefault="007B7922" w:rsidP="00750C38">
      <w:pPr>
        <w:pStyle w:val="Titrearticle"/>
        <w:rPr>
          <w:noProof/>
        </w:rPr>
      </w:pPr>
      <w:r w:rsidRPr="008C4321">
        <w:rPr>
          <w:noProof/>
        </w:rPr>
        <w:t xml:space="preserve">Article </w:t>
      </w:r>
      <w:r>
        <w:rPr>
          <w:noProof/>
        </w:rPr>
        <w:t>1</w:t>
      </w:r>
    </w:p>
    <w:p w14:paraId="617BF922" w14:textId="77777777" w:rsidR="007B7922" w:rsidRDefault="007B7922" w:rsidP="0014071C">
      <w:pPr>
        <w:pStyle w:val="NumPar1"/>
        <w:numPr>
          <w:ilvl w:val="0"/>
          <w:numId w:val="2"/>
        </w:numPr>
      </w:pPr>
      <w:r w:rsidRPr="0026397F">
        <w:rPr>
          <w:rStyle w:val="Corpsdutexte"/>
        </w:rPr>
        <w:t xml:space="preserve">Portugal shall put an end to the present excessive deficit situation by </w:t>
      </w:r>
      <w:r w:rsidRPr="00F84991">
        <w:rPr>
          <w:rStyle w:val="Corpsdutexte"/>
        </w:rPr>
        <w:t>2016.</w:t>
      </w:r>
      <w:r w:rsidRPr="00F84991">
        <w:t xml:space="preserve"> </w:t>
      </w:r>
    </w:p>
    <w:p w14:paraId="6C117799" w14:textId="09449C14" w:rsidR="007B7922" w:rsidRPr="00EA1437" w:rsidRDefault="007B7922" w:rsidP="001A3ACB">
      <w:pPr>
        <w:pStyle w:val="NumPar1"/>
      </w:pPr>
      <w:r w:rsidRPr="00F84991">
        <w:t xml:space="preserve">Portugal shall reduce the general government deficit </w:t>
      </w:r>
      <w:r w:rsidRPr="00EF4BC0">
        <w:t xml:space="preserve">to </w:t>
      </w:r>
      <w:r w:rsidR="005E76A2" w:rsidRPr="00140680">
        <w:t>2.5</w:t>
      </w:r>
      <w:r w:rsidRPr="00EF4BC0">
        <w:t>%</w:t>
      </w:r>
      <w:r w:rsidRPr="00F84991">
        <w:t xml:space="preserve"> of GDP in 2016</w:t>
      </w:r>
      <w:r w:rsidR="00007F9B">
        <w:t>.</w:t>
      </w:r>
      <w:r w:rsidR="00007F9B" w:rsidRPr="00476437">
        <w:t xml:space="preserve"> </w:t>
      </w:r>
      <w:r w:rsidR="00007F9B">
        <w:t>T</w:t>
      </w:r>
      <w:r w:rsidR="00007F9B" w:rsidRPr="00D363BE">
        <w:t xml:space="preserve">his </w:t>
      </w:r>
      <w:r w:rsidRPr="00476437">
        <w:t xml:space="preserve">target </w:t>
      </w:r>
      <w:r w:rsidR="001A3ACB" w:rsidRPr="001A3ACB">
        <w:t xml:space="preserve">does not </w:t>
      </w:r>
      <w:r w:rsidR="001D15D6">
        <w:t>include</w:t>
      </w:r>
      <w:r w:rsidR="001A3ACB" w:rsidRPr="001A3ACB">
        <w:t xml:space="preserve"> the impact</w:t>
      </w:r>
      <w:r w:rsidR="001A3ACB" w:rsidRPr="001A3ACB" w:rsidDel="001A3ACB">
        <w:t xml:space="preserve"> </w:t>
      </w:r>
      <w:r w:rsidR="00007F9B">
        <w:t>of</w:t>
      </w:r>
      <w:r w:rsidRPr="00476437">
        <w:t xml:space="preserve"> </w:t>
      </w:r>
      <w:r w:rsidRPr="004E4ABC">
        <w:t xml:space="preserve">the direct effect of potential bank support. </w:t>
      </w:r>
      <w:r w:rsidR="00007F9B" w:rsidRPr="004E4ABC">
        <w:t>This</w:t>
      </w:r>
      <w:r w:rsidRPr="004E4ABC">
        <w:t xml:space="preserve"> improve</w:t>
      </w:r>
      <w:r w:rsidRPr="00F84991">
        <w:t xml:space="preserve">ment </w:t>
      </w:r>
      <w:r w:rsidRPr="00486698">
        <w:t xml:space="preserve">in the general government deficit is consistent with </w:t>
      </w:r>
      <w:r w:rsidR="00D348F8" w:rsidRPr="00140680">
        <w:t>an unchanged structural balance with respect to 2015</w:t>
      </w:r>
      <w:r w:rsidRPr="00EF4BC0">
        <w:t>,</w:t>
      </w:r>
      <w:r w:rsidRPr="00486698">
        <w:t xml:space="preserve"> </w:t>
      </w:r>
      <w:r w:rsidRPr="00EA1437">
        <w:t xml:space="preserve">based on the Commission 2016 spring forecast. Portugal </w:t>
      </w:r>
      <w:r w:rsidR="00007F9B">
        <w:t>shall also</w:t>
      </w:r>
      <w:r w:rsidR="00007F9B" w:rsidRPr="00EA1437">
        <w:t xml:space="preserve"> </w:t>
      </w:r>
      <w:r w:rsidRPr="00EA1437">
        <w:t>use all windfall gains to accelerate the deficit and debt reduction.</w:t>
      </w:r>
      <w:r w:rsidR="00732915" w:rsidRPr="00EA1437">
        <w:t xml:space="preserve"> </w:t>
      </w:r>
    </w:p>
    <w:p w14:paraId="75261826" w14:textId="0579B1FA" w:rsidR="007B7922" w:rsidRPr="00EA1437" w:rsidRDefault="007B7922" w:rsidP="00154906">
      <w:pPr>
        <w:pStyle w:val="NumPar1"/>
      </w:pPr>
      <w:r w:rsidRPr="00EA1437">
        <w:rPr>
          <w:rStyle w:val="Corpsdutexte"/>
        </w:rPr>
        <w:t xml:space="preserve">In addition to the savings already included in the Commission 2016 spring forecast, Portugal shall adopt and fully implement consolidation measures </w:t>
      </w:r>
      <w:r w:rsidR="00C43358">
        <w:rPr>
          <w:rStyle w:val="Corpsdutexte"/>
        </w:rPr>
        <w:t>for</w:t>
      </w:r>
      <w:r w:rsidR="00C43358" w:rsidRPr="00EA1437">
        <w:rPr>
          <w:rStyle w:val="Corpsdutexte"/>
        </w:rPr>
        <w:t xml:space="preserve"> </w:t>
      </w:r>
      <w:r w:rsidRPr="00EA1437">
        <w:rPr>
          <w:rStyle w:val="Corpsdutexte"/>
        </w:rPr>
        <w:t xml:space="preserve">the amount of </w:t>
      </w:r>
      <w:r w:rsidR="005E76A2" w:rsidRPr="00140680">
        <w:rPr>
          <w:rStyle w:val="Corpsdutexte"/>
        </w:rPr>
        <w:t>0.25</w:t>
      </w:r>
      <w:r w:rsidRPr="00140680">
        <w:rPr>
          <w:rStyle w:val="Corpsdutexte"/>
        </w:rPr>
        <w:t>%</w:t>
      </w:r>
      <w:r w:rsidRPr="00EA1437">
        <w:rPr>
          <w:rStyle w:val="Corpsdutexte"/>
        </w:rPr>
        <w:t xml:space="preserve"> of GDP in 2016. </w:t>
      </w:r>
      <w:r w:rsidRPr="00EA1437">
        <w:t xml:space="preserve">In particular, Portugal </w:t>
      </w:r>
      <w:r w:rsidRPr="00EA1437">
        <w:rPr>
          <w:noProof/>
        </w:rPr>
        <w:t>shall implement fully the consolidation measures incorporated in the 2016 Budget</w:t>
      </w:r>
      <w:r w:rsidR="00AE6D64" w:rsidRPr="00EA1437">
        <w:rPr>
          <w:noProof/>
        </w:rPr>
        <w:t>,</w:t>
      </w:r>
      <w:r w:rsidRPr="00EA1437">
        <w:rPr>
          <w:noProof/>
        </w:rPr>
        <w:t xml:space="preserve"> including the additional expenditure control in the procurement of goods and services </w:t>
      </w:r>
      <w:r w:rsidR="00D363BE" w:rsidRPr="00EA1437">
        <w:rPr>
          <w:noProof/>
        </w:rPr>
        <w:t xml:space="preserve">highlighted </w:t>
      </w:r>
      <w:r w:rsidRPr="00EA1437">
        <w:rPr>
          <w:noProof/>
        </w:rPr>
        <w:t xml:space="preserve">in the Stability Programme. </w:t>
      </w:r>
      <w:r w:rsidR="00154906">
        <w:rPr>
          <w:noProof/>
        </w:rPr>
        <w:t xml:space="preserve">Portugal shall </w:t>
      </w:r>
      <w:r w:rsidR="00154906" w:rsidRPr="00154906">
        <w:rPr>
          <w:noProof/>
        </w:rPr>
        <w:t>complement those savings with further measures of a structural nature to achieve the recommended structural effort</w:t>
      </w:r>
      <w:r w:rsidR="00154906">
        <w:rPr>
          <w:noProof/>
        </w:rPr>
        <w:t>.</w:t>
      </w:r>
      <w:r w:rsidR="00154906" w:rsidRPr="00154906">
        <w:rPr>
          <w:noProof/>
        </w:rPr>
        <w:t xml:space="preserve"> </w:t>
      </w:r>
    </w:p>
    <w:p w14:paraId="5179557A" w14:textId="6ECDDBC9" w:rsidR="007B7922" w:rsidRPr="0026397F" w:rsidRDefault="007B7922" w:rsidP="007B7922">
      <w:pPr>
        <w:pStyle w:val="NumPar1"/>
        <w:rPr>
          <w:noProof/>
        </w:rPr>
      </w:pPr>
      <w:r w:rsidRPr="0026397F">
        <w:rPr>
          <w:noProof/>
        </w:rPr>
        <w:t xml:space="preserve">Portugal shall stand ready to adopt further measures should risks to the budgetary plans materialise. </w:t>
      </w:r>
      <w:r w:rsidRPr="0026397F">
        <w:rPr>
          <w:rStyle w:val="Corpsdutexte"/>
        </w:rPr>
        <w:t xml:space="preserve">Fiscal consolidation measures </w:t>
      </w:r>
      <w:r w:rsidR="00621B1F">
        <w:rPr>
          <w:rStyle w:val="Corpsdutexte"/>
        </w:rPr>
        <w:t>shall</w:t>
      </w:r>
      <w:r w:rsidR="00621B1F" w:rsidRPr="0026397F">
        <w:rPr>
          <w:rStyle w:val="Corpsdutexte"/>
        </w:rPr>
        <w:t xml:space="preserve"> </w:t>
      </w:r>
      <w:r w:rsidRPr="0026397F">
        <w:rPr>
          <w:rStyle w:val="Corpsdutexte"/>
        </w:rPr>
        <w:t>secure a lasting improvement in the general government balance in a growth-friendly manner.</w:t>
      </w:r>
    </w:p>
    <w:p w14:paraId="36D103E9" w14:textId="73A17713" w:rsidR="007B7922" w:rsidRPr="0026397F" w:rsidRDefault="007B7922" w:rsidP="007B7922">
      <w:pPr>
        <w:pStyle w:val="NumPar1"/>
        <w:rPr>
          <w:noProof/>
        </w:rPr>
      </w:pPr>
      <w:r w:rsidRPr="0026397F">
        <w:rPr>
          <w:noProof/>
        </w:rPr>
        <w:t xml:space="preserve">To ensure a durable improvement of public finances, Portugal shall strictly implement the Budget Framework Law and the Commitment Control Law and further improve revenue collection and expenditure control. Portugal shall present a clear schedule and implement steps to fully clear arrears and improve efficiency in the health care system, to reduce the reliance of the pension system on budget transfers and to ensure fiscal savings in the restructuring of State-owned enterprises. </w:t>
      </w:r>
    </w:p>
    <w:p w14:paraId="0B8FCC47" w14:textId="77777777" w:rsidR="007B7922" w:rsidRPr="00C8502E" w:rsidRDefault="007B7922" w:rsidP="007B7922">
      <w:pPr>
        <w:pStyle w:val="Titrearticle"/>
        <w:rPr>
          <w:rStyle w:val="Corpsdutexte"/>
        </w:rPr>
      </w:pPr>
      <w:r w:rsidRPr="0026397F">
        <w:rPr>
          <w:rStyle w:val="Corpsdutexte"/>
        </w:rPr>
        <w:t>Article 2</w:t>
      </w:r>
    </w:p>
    <w:p w14:paraId="239AFA8A" w14:textId="5BEC093E" w:rsidR="00140680" w:rsidRDefault="00140680" w:rsidP="0018259B">
      <w:pPr>
        <w:pStyle w:val="NumPar1"/>
      </w:pPr>
      <w:r w:rsidRPr="00C8502E">
        <w:rPr>
          <w:rStyle w:val="Corpsdutexte"/>
          <w:shd w:val="clear" w:color="auto" w:fill="auto"/>
        </w:rPr>
        <w:t xml:space="preserve">The Council establishes </w:t>
      </w:r>
      <w:r w:rsidRPr="00CF7F11">
        <w:rPr>
          <w:rStyle w:val="Corpsdutexte"/>
          <w:shd w:val="clear" w:color="auto" w:fill="auto"/>
        </w:rPr>
        <w:t>the deadline of 15 October 2016 for Portugal</w:t>
      </w:r>
      <w:r w:rsidRPr="00C8502E">
        <w:rPr>
          <w:rStyle w:val="Corpsdutexte"/>
          <w:shd w:val="clear" w:color="auto" w:fill="auto"/>
        </w:rPr>
        <w:t xml:space="preserve"> to take effective action and </w:t>
      </w:r>
      <w:r w:rsidRPr="00140680">
        <w:t xml:space="preserve">to submit a report to the Council and the Commission on action taken in response to the Council notice. The report shall include the targets for the government expenditure and revenue and specify the discretionary measures on both the expenditure and the revenue side, as well as information on the actions being taken in accordance with Article 1(5). </w:t>
      </w:r>
    </w:p>
    <w:p w14:paraId="5016A58A" w14:textId="23C9683A" w:rsidR="0035631D" w:rsidRPr="0035631D" w:rsidRDefault="0035631D" w:rsidP="0035631D">
      <w:pPr>
        <w:pStyle w:val="Titrearticle"/>
      </w:pPr>
      <w:r>
        <w:t>Article 3</w:t>
      </w:r>
    </w:p>
    <w:p w14:paraId="0D25CBDD" w14:textId="77777777" w:rsidR="007B7922" w:rsidRDefault="007B7922" w:rsidP="007B7922">
      <w:pPr>
        <w:rPr>
          <w:noProof/>
        </w:rPr>
      </w:pPr>
      <w:r w:rsidRPr="00A73453">
        <w:rPr>
          <w:noProof/>
        </w:rPr>
        <w:t>This Decision is addressed to the Portuguese Republic.</w:t>
      </w:r>
    </w:p>
    <w:p w14:paraId="7E0A9B06" w14:textId="02794753" w:rsidR="007B7922" w:rsidRDefault="00A914D2" w:rsidP="00A914D2">
      <w:pPr>
        <w:pStyle w:val="Fait"/>
      </w:pPr>
      <w:r w:rsidRPr="00A914D2">
        <w:t>Done at Brussels,</w:t>
      </w:r>
      <w:r w:rsidR="00B559BE">
        <w:t xml:space="preserve"> </w:t>
      </w:r>
    </w:p>
    <w:p w14:paraId="77EA28CA" w14:textId="77777777" w:rsidR="007B7922" w:rsidRDefault="007B7922" w:rsidP="007B7922">
      <w:pPr>
        <w:pStyle w:val="Institutionquisigne"/>
      </w:pPr>
      <w:r w:rsidRPr="007B7922">
        <w:tab/>
        <w:t>For the Council</w:t>
      </w:r>
    </w:p>
    <w:p w14:paraId="6D2BD813" w14:textId="77777777" w:rsidR="007B7922" w:rsidRPr="007B7922" w:rsidRDefault="007B7922" w:rsidP="007B7922">
      <w:pPr>
        <w:pStyle w:val="Personnequisigne"/>
      </w:pPr>
      <w:r w:rsidRPr="007B7922">
        <w:tab/>
        <w:t>The President</w:t>
      </w:r>
    </w:p>
    <w:sectPr w:rsidR="007B7922" w:rsidRPr="007B7922" w:rsidSect="0018259B">
      <w:footerReference w:type="default" r:id="rId11"/>
      <w:footerReference w:type="first" r:id="rId12"/>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12F59" w15:done="0"/>
  <w15:commentEx w15:paraId="61722BCB" w15:done="0"/>
  <w15:commentEx w15:paraId="7406F6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F0BE5" w14:textId="77777777" w:rsidR="00735F85" w:rsidRDefault="00735F85" w:rsidP="007B7922">
      <w:pPr>
        <w:spacing w:before="0" w:after="0"/>
      </w:pPr>
      <w:r>
        <w:separator/>
      </w:r>
    </w:p>
  </w:endnote>
  <w:endnote w:type="continuationSeparator" w:id="0">
    <w:p w14:paraId="2D346284" w14:textId="77777777" w:rsidR="00735F85" w:rsidRDefault="00735F85" w:rsidP="007B7922">
      <w:pPr>
        <w:spacing w:before="0" w:after="0"/>
      </w:pPr>
      <w:r>
        <w:continuationSeparator/>
      </w:r>
    </w:p>
  </w:endnote>
  <w:endnote w:type="continuationNotice" w:id="1">
    <w:p w14:paraId="11C0A1F6" w14:textId="77777777" w:rsidR="00735F85" w:rsidRDefault="00735F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3C156" w14:textId="60D0712D" w:rsidR="0018259B" w:rsidRPr="0018259B" w:rsidRDefault="0018259B" w:rsidP="0018259B">
    <w:pPr>
      <w:pStyle w:val="Footer"/>
      <w:rPr>
        <w:rFonts w:ascii="Arial" w:hAnsi="Arial" w:cs="Arial"/>
        <w:b/>
        <w:sz w:val="48"/>
      </w:rPr>
    </w:pPr>
    <w:r w:rsidRPr="0018259B">
      <w:rPr>
        <w:rFonts w:ascii="Arial" w:hAnsi="Arial" w:cs="Arial"/>
        <w:b/>
        <w:sz w:val="48"/>
      </w:rPr>
      <w:t>EN</w:t>
    </w:r>
    <w:r w:rsidRPr="0018259B">
      <w:rPr>
        <w:rFonts w:ascii="Arial" w:hAnsi="Arial" w:cs="Arial"/>
        <w:b/>
        <w:sz w:val="48"/>
      </w:rPr>
      <w:tab/>
    </w:r>
    <w:r w:rsidRPr="0018259B">
      <w:rPr>
        <w:rFonts w:ascii="Arial" w:hAnsi="Arial" w:cs="Arial"/>
        <w:b/>
        <w:sz w:val="48"/>
      </w:rPr>
      <w:tab/>
    </w:r>
    <w:r w:rsidR="00D07D13">
      <w:fldChar w:fldCharType="begin"/>
    </w:r>
    <w:r w:rsidR="00D07D13">
      <w:instrText xml:space="preserve"> DOCVARIABLE "LW_Confidence" \* MERGEFORMAT </w:instrText>
    </w:r>
    <w:r w:rsidR="00D07D13">
      <w:fldChar w:fldCharType="separate"/>
    </w:r>
    <w:r>
      <w:t xml:space="preserve"> </w:t>
    </w:r>
    <w:r w:rsidR="00D07D13">
      <w:fldChar w:fldCharType="end"/>
    </w:r>
    <w:r w:rsidRPr="0018259B">
      <w:tab/>
    </w:r>
    <w:r w:rsidRPr="0018259B">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95144" w14:textId="6284C82A" w:rsidR="0018259B" w:rsidRPr="0018259B" w:rsidRDefault="0018259B" w:rsidP="0018259B">
    <w:pPr>
      <w:pStyle w:val="Footer"/>
      <w:rPr>
        <w:rFonts w:ascii="Arial" w:hAnsi="Arial" w:cs="Arial"/>
        <w:b/>
        <w:sz w:val="48"/>
      </w:rPr>
    </w:pPr>
    <w:r w:rsidRPr="0018259B">
      <w:rPr>
        <w:rFonts w:ascii="Arial" w:hAnsi="Arial" w:cs="Arial"/>
        <w:b/>
        <w:sz w:val="48"/>
      </w:rPr>
      <w:t>EN</w:t>
    </w:r>
    <w:r w:rsidRPr="0018259B">
      <w:rPr>
        <w:rFonts w:ascii="Arial" w:hAnsi="Arial" w:cs="Arial"/>
        <w:b/>
        <w:sz w:val="48"/>
      </w:rPr>
      <w:tab/>
    </w:r>
    <w:r>
      <w:fldChar w:fldCharType="begin"/>
    </w:r>
    <w:r>
      <w:instrText xml:space="preserve"> PAGE  \* MERGEFORMAT </w:instrText>
    </w:r>
    <w:r>
      <w:fldChar w:fldCharType="separate"/>
    </w:r>
    <w:r w:rsidR="00D07D13">
      <w:rPr>
        <w:noProof/>
      </w:rPr>
      <w:t>2</w:t>
    </w:r>
    <w:r>
      <w:fldChar w:fldCharType="end"/>
    </w:r>
    <w:r>
      <w:tab/>
    </w:r>
    <w:r w:rsidR="00D07D13">
      <w:fldChar w:fldCharType="begin"/>
    </w:r>
    <w:r w:rsidR="00D07D13">
      <w:instrText xml:space="preserve"> DOCVARIABLE "LW_Confidence" \* MERGEFORMAT </w:instrText>
    </w:r>
    <w:r w:rsidR="00D07D13">
      <w:fldChar w:fldCharType="separate"/>
    </w:r>
    <w:r>
      <w:t xml:space="preserve"> </w:t>
    </w:r>
    <w:r w:rsidR="00D07D13">
      <w:fldChar w:fldCharType="end"/>
    </w:r>
    <w:r w:rsidRPr="0018259B">
      <w:tab/>
    </w:r>
    <w:r w:rsidRPr="0018259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80BC" w14:textId="77777777" w:rsidR="0018259B" w:rsidRDefault="0018259B" w:rsidP="00182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848F8" w14:textId="77777777" w:rsidR="00735F85" w:rsidRDefault="00735F85" w:rsidP="007B7922">
      <w:pPr>
        <w:spacing w:before="0" w:after="0"/>
      </w:pPr>
      <w:r>
        <w:separator/>
      </w:r>
    </w:p>
  </w:footnote>
  <w:footnote w:type="continuationSeparator" w:id="0">
    <w:p w14:paraId="4BC15527" w14:textId="77777777" w:rsidR="00735F85" w:rsidRDefault="00735F85" w:rsidP="007B7922">
      <w:pPr>
        <w:spacing w:before="0" w:after="0"/>
      </w:pPr>
      <w:r>
        <w:continuationSeparator/>
      </w:r>
    </w:p>
  </w:footnote>
  <w:footnote w:type="continuationNotice" w:id="1">
    <w:p w14:paraId="5AA7F030" w14:textId="77777777" w:rsidR="00735F85" w:rsidRDefault="00735F85">
      <w:pPr>
        <w:spacing w:before="0" w:after="0"/>
      </w:pPr>
    </w:p>
  </w:footnote>
  <w:footnote w:id="2">
    <w:p w14:paraId="5B13FD3C" w14:textId="77777777" w:rsidR="007B7922" w:rsidRPr="00ED2FA0" w:rsidRDefault="007B7922" w:rsidP="007B7922">
      <w:pPr>
        <w:pStyle w:val="FootnoteText"/>
        <w:spacing w:before="120" w:after="120"/>
        <w:ind w:left="284" w:hanging="284"/>
      </w:pPr>
      <w:r w:rsidRPr="00566687">
        <w:rPr>
          <w:rStyle w:val="FootnoteReference"/>
        </w:rPr>
        <w:footnoteRef/>
      </w:r>
      <w:r w:rsidR="00566687">
        <w:tab/>
      </w:r>
      <w:r>
        <w:t>OJ L 209, 2.8.1997, p. 6.</w:t>
      </w:r>
    </w:p>
  </w:footnote>
  <w:footnote w:id="3">
    <w:p w14:paraId="37BDFBC9" w14:textId="666B3B17" w:rsidR="007B7922" w:rsidRDefault="007B7922" w:rsidP="007B7922">
      <w:pPr>
        <w:pStyle w:val="FootnoteText"/>
        <w:spacing w:before="120" w:after="120"/>
        <w:ind w:left="284" w:hanging="284"/>
      </w:pPr>
      <w:r w:rsidRPr="00566687">
        <w:rPr>
          <w:rStyle w:val="FootnoteReference"/>
        </w:rPr>
        <w:footnoteRef/>
      </w:r>
      <w:r w:rsidR="00566687">
        <w:tab/>
      </w:r>
      <w:r>
        <w:t xml:space="preserve">Council Implementing Decision </w:t>
      </w:r>
      <w:r w:rsidR="00007F9B" w:rsidRPr="00007F9B">
        <w:t>2011/344/EU</w:t>
      </w:r>
      <w:r w:rsidR="00007F9B">
        <w:t xml:space="preserve"> </w:t>
      </w:r>
      <w:r>
        <w:t>of 30 May 2011 on granting Union financial assistance to Portugal, OJ L 159, 17.6.2011, p. 88</w:t>
      </w:r>
      <w:r w:rsidR="00007F9B">
        <w:t>.</w:t>
      </w:r>
      <w:r>
        <w:t xml:space="preserve"> </w:t>
      </w:r>
    </w:p>
  </w:footnote>
  <w:footnote w:id="4">
    <w:p w14:paraId="47E9D971" w14:textId="5FFFF3A2" w:rsidR="00814D64" w:rsidRPr="00D5088E" w:rsidRDefault="00814D64" w:rsidP="00EA1437">
      <w:pPr>
        <w:pStyle w:val="FootnoteText"/>
        <w:rPr>
          <w:lang w:val="en-US"/>
        </w:rPr>
      </w:pPr>
      <w:r w:rsidRPr="00800372">
        <w:rPr>
          <w:rStyle w:val="FootnoteReference"/>
        </w:rPr>
        <w:footnoteRef/>
      </w:r>
      <w:r w:rsidR="00800372">
        <w:tab/>
      </w:r>
      <w:r w:rsidR="0062580D" w:rsidRPr="00ED2FA0">
        <w:t xml:space="preserve">All documents related to the excessive deficit procedure of </w:t>
      </w:r>
      <w:r w:rsidR="0062580D">
        <w:t>Portugal</w:t>
      </w:r>
      <w:r w:rsidR="00EA1437">
        <w:t xml:space="preserve"> can be found at: </w:t>
      </w:r>
      <w:hyperlink r:id="rId1" w:history="1">
        <w:r w:rsidR="0062580D" w:rsidRPr="00D5088E">
          <w:t>http://ec.europa.eu/economy_finance/economic_governance/sgp/deficit/countries/portugal_en.htm</w:t>
        </w:r>
      </w:hyperlink>
    </w:p>
  </w:footnote>
  <w:footnote w:id="5">
    <w:p w14:paraId="0E71113C" w14:textId="77777777" w:rsidR="007B7922" w:rsidRPr="002036AE" w:rsidRDefault="007B7922" w:rsidP="007B7922">
      <w:pPr>
        <w:pStyle w:val="FootnoteText"/>
        <w:ind w:left="284" w:hanging="284"/>
      </w:pPr>
      <w:r w:rsidRPr="00566687">
        <w:rPr>
          <w:rStyle w:val="FootnoteReference"/>
        </w:rPr>
        <w:footnoteRef/>
      </w:r>
      <w:r w:rsidR="00566687">
        <w:tab/>
      </w:r>
      <w:r w:rsidRPr="00124991">
        <w:t>European Commission (2016), "Fiscal Sustainability Report 2015", European Economy, Institutional Paper No. 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4041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9C28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C683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287F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CAA3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3E94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605CFC"/>
    <w:lvl w:ilvl="0">
      <w:start w:val="1"/>
      <w:numFmt w:val="decimal"/>
      <w:pStyle w:val="ListNumber"/>
      <w:lvlText w:val="%1."/>
      <w:lvlJc w:val="left"/>
      <w:pPr>
        <w:tabs>
          <w:tab w:val="num" w:pos="360"/>
        </w:tabs>
        <w:ind w:left="360" w:hanging="360"/>
      </w:pPr>
    </w:lvl>
  </w:abstractNum>
  <w:abstractNum w:abstractNumId="7">
    <w:nsid w:val="FFFFFF89"/>
    <w:multiLevelType w:val="singleLevel"/>
    <w:tmpl w:val="4308F2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a">
    <w15:presenceInfo w15:providerId="None" w15:userId="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7 13:20: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9569D5E8D49F431D9E27B8D9345EF19A"/>
    <w:docVar w:name="LW_CROSSREFERENCE" w:val="{SWD(2016) 264 final}"/>
    <w:docVar w:name="LW_DocType" w:val="COM"/>
    <w:docVar w:name="LW_EMISSION" w:val="27.7.2016"/>
    <w:docVar w:name="LW_EMISSION_ISODATE" w:val="2016-07-27"/>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20"/>
    <w:docVar w:name="LW_REF.INTERNE" w:val="&lt;UNUSED&gt;"/>
    <w:docVar w:name="LW_SOUS.TITRE.OBJ.CP" w:val="&lt;UNUSED&gt;"/>
    <w:docVar w:name="LW_STATUT.CP" w:val="Recommendation for a"/>
    <w:docVar w:name="LW_SUPERTITRE" w:val="&lt;UNUSED&gt;"/>
    <w:docVar w:name="LW_TITRE.OBJ.CP" w:val="giving notice to Portugal to take measures for the deficit reduction judged necessary in order to remedy the situation of excessive deficit"/>
    <w:docVar w:name="LW_TYPE.DOC.CP" w:val="COUNCIL DECISION"/>
  </w:docVars>
  <w:rsids>
    <w:rsidRoot w:val="007B7922"/>
    <w:rsid w:val="00007ADA"/>
    <w:rsid w:val="00007F9B"/>
    <w:rsid w:val="00012891"/>
    <w:rsid w:val="00012A10"/>
    <w:rsid w:val="000263CB"/>
    <w:rsid w:val="00032828"/>
    <w:rsid w:val="00050459"/>
    <w:rsid w:val="0006734B"/>
    <w:rsid w:val="000857D1"/>
    <w:rsid w:val="00087B1B"/>
    <w:rsid w:val="00094F3A"/>
    <w:rsid w:val="000A37BF"/>
    <w:rsid w:val="000A6BA1"/>
    <w:rsid w:val="000C1D8D"/>
    <w:rsid w:val="000C4BF4"/>
    <w:rsid w:val="000D3B73"/>
    <w:rsid w:val="000D4C85"/>
    <w:rsid w:val="00121DB5"/>
    <w:rsid w:val="00140680"/>
    <w:rsid w:val="0014071C"/>
    <w:rsid w:val="001443B0"/>
    <w:rsid w:val="0014470A"/>
    <w:rsid w:val="00154906"/>
    <w:rsid w:val="00155ADF"/>
    <w:rsid w:val="00160603"/>
    <w:rsid w:val="00161FA4"/>
    <w:rsid w:val="00171635"/>
    <w:rsid w:val="00175CCC"/>
    <w:rsid w:val="0018259B"/>
    <w:rsid w:val="001A3ACB"/>
    <w:rsid w:val="001C03F3"/>
    <w:rsid w:val="001C41AD"/>
    <w:rsid w:val="001C5A8C"/>
    <w:rsid w:val="001D15D6"/>
    <w:rsid w:val="001D518B"/>
    <w:rsid w:val="001E2652"/>
    <w:rsid w:val="001F06A2"/>
    <w:rsid w:val="002024B5"/>
    <w:rsid w:val="00202B76"/>
    <w:rsid w:val="00211D3B"/>
    <w:rsid w:val="0022321F"/>
    <w:rsid w:val="0022798F"/>
    <w:rsid w:val="00234167"/>
    <w:rsid w:val="00246F12"/>
    <w:rsid w:val="00255819"/>
    <w:rsid w:val="00270E24"/>
    <w:rsid w:val="002953B9"/>
    <w:rsid w:val="00296151"/>
    <w:rsid w:val="002A3423"/>
    <w:rsid w:val="002D2015"/>
    <w:rsid w:val="002D49E6"/>
    <w:rsid w:val="003246A3"/>
    <w:rsid w:val="00330242"/>
    <w:rsid w:val="00330FE3"/>
    <w:rsid w:val="0034445E"/>
    <w:rsid w:val="0035631D"/>
    <w:rsid w:val="00371B54"/>
    <w:rsid w:val="00393B95"/>
    <w:rsid w:val="00397AE3"/>
    <w:rsid w:val="003A6038"/>
    <w:rsid w:val="003C09FC"/>
    <w:rsid w:val="003C2D83"/>
    <w:rsid w:val="003C33DE"/>
    <w:rsid w:val="003D54BF"/>
    <w:rsid w:val="004352DE"/>
    <w:rsid w:val="00435648"/>
    <w:rsid w:val="00445624"/>
    <w:rsid w:val="00452C33"/>
    <w:rsid w:val="00460C9F"/>
    <w:rsid w:val="0048701F"/>
    <w:rsid w:val="0049787E"/>
    <w:rsid w:val="004B2C4E"/>
    <w:rsid w:val="004C0ACA"/>
    <w:rsid w:val="004C7493"/>
    <w:rsid w:val="004E4ABC"/>
    <w:rsid w:val="004F15FD"/>
    <w:rsid w:val="005328F6"/>
    <w:rsid w:val="005427BA"/>
    <w:rsid w:val="005526EE"/>
    <w:rsid w:val="00566687"/>
    <w:rsid w:val="0058744F"/>
    <w:rsid w:val="00590A6C"/>
    <w:rsid w:val="0059295D"/>
    <w:rsid w:val="005A5230"/>
    <w:rsid w:val="005C29AB"/>
    <w:rsid w:val="005E76A2"/>
    <w:rsid w:val="005F399C"/>
    <w:rsid w:val="005F6519"/>
    <w:rsid w:val="0060460D"/>
    <w:rsid w:val="00610F8B"/>
    <w:rsid w:val="00621B1F"/>
    <w:rsid w:val="0062580D"/>
    <w:rsid w:val="00632F9B"/>
    <w:rsid w:val="00654CD5"/>
    <w:rsid w:val="00673264"/>
    <w:rsid w:val="00677496"/>
    <w:rsid w:val="006A5E4A"/>
    <w:rsid w:val="0070079F"/>
    <w:rsid w:val="0071037C"/>
    <w:rsid w:val="00711545"/>
    <w:rsid w:val="00712399"/>
    <w:rsid w:val="00715D61"/>
    <w:rsid w:val="00716360"/>
    <w:rsid w:val="007200D4"/>
    <w:rsid w:val="00732915"/>
    <w:rsid w:val="00735F85"/>
    <w:rsid w:val="00751070"/>
    <w:rsid w:val="00767476"/>
    <w:rsid w:val="007B5D49"/>
    <w:rsid w:val="007B7922"/>
    <w:rsid w:val="007D29C6"/>
    <w:rsid w:val="007D4483"/>
    <w:rsid w:val="007D53B6"/>
    <w:rsid w:val="007D5D28"/>
    <w:rsid w:val="007E3A13"/>
    <w:rsid w:val="007F7FA9"/>
    <w:rsid w:val="00800372"/>
    <w:rsid w:val="00814D64"/>
    <w:rsid w:val="0082002C"/>
    <w:rsid w:val="00820527"/>
    <w:rsid w:val="00823C30"/>
    <w:rsid w:val="00831EE4"/>
    <w:rsid w:val="0088380B"/>
    <w:rsid w:val="008A42CB"/>
    <w:rsid w:val="008E5ACA"/>
    <w:rsid w:val="009038B4"/>
    <w:rsid w:val="009056F7"/>
    <w:rsid w:val="009059C3"/>
    <w:rsid w:val="009110C8"/>
    <w:rsid w:val="00915BF5"/>
    <w:rsid w:val="00925E06"/>
    <w:rsid w:val="00931F83"/>
    <w:rsid w:val="009336C6"/>
    <w:rsid w:val="009369DA"/>
    <w:rsid w:val="00990647"/>
    <w:rsid w:val="009A5B1C"/>
    <w:rsid w:val="009A7512"/>
    <w:rsid w:val="009C1CD5"/>
    <w:rsid w:val="009C2823"/>
    <w:rsid w:val="009C2989"/>
    <w:rsid w:val="009C40C7"/>
    <w:rsid w:val="009C5752"/>
    <w:rsid w:val="009E2786"/>
    <w:rsid w:val="009E3148"/>
    <w:rsid w:val="009E6EA1"/>
    <w:rsid w:val="009F0B10"/>
    <w:rsid w:val="00A02582"/>
    <w:rsid w:val="00A13706"/>
    <w:rsid w:val="00A229E2"/>
    <w:rsid w:val="00A25E61"/>
    <w:rsid w:val="00A30C3A"/>
    <w:rsid w:val="00A420DF"/>
    <w:rsid w:val="00A45DC4"/>
    <w:rsid w:val="00A630C1"/>
    <w:rsid w:val="00A63411"/>
    <w:rsid w:val="00A712D3"/>
    <w:rsid w:val="00A914D2"/>
    <w:rsid w:val="00A957DD"/>
    <w:rsid w:val="00AA43EB"/>
    <w:rsid w:val="00AA5711"/>
    <w:rsid w:val="00AB5D2D"/>
    <w:rsid w:val="00AD70EA"/>
    <w:rsid w:val="00AE6D64"/>
    <w:rsid w:val="00B0211D"/>
    <w:rsid w:val="00B04DCA"/>
    <w:rsid w:val="00B05D68"/>
    <w:rsid w:val="00B310B5"/>
    <w:rsid w:val="00B44CFD"/>
    <w:rsid w:val="00B531A2"/>
    <w:rsid w:val="00B559BE"/>
    <w:rsid w:val="00B55C4D"/>
    <w:rsid w:val="00B72EA4"/>
    <w:rsid w:val="00BC182B"/>
    <w:rsid w:val="00BC419D"/>
    <w:rsid w:val="00BD49A3"/>
    <w:rsid w:val="00BD505C"/>
    <w:rsid w:val="00BD690B"/>
    <w:rsid w:val="00BE29E7"/>
    <w:rsid w:val="00C1049B"/>
    <w:rsid w:val="00C120E1"/>
    <w:rsid w:val="00C3320F"/>
    <w:rsid w:val="00C35287"/>
    <w:rsid w:val="00C43358"/>
    <w:rsid w:val="00C65EAC"/>
    <w:rsid w:val="00C7581A"/>
    <w:rsid w:val="00C809B6"/>
    <w:rsid w:val="00C8502E"/>
    <w:rsid w:val="00CA109B"/>
    <w:rsid w:val="00CC71D0"/>
    <w:rsid w:val="00CD3008"/>
    <w:rsid w:val="00CD5788"/>
    <w:rsid w:val="00CD68BC"/>
    <w:rsid w:val="00CE327F"/>
    <w:rsid w:val="00CE3973"/>
    <w:rsid w:val="00CE5FF6"/>
    <w:rsid w:val="00CF7F11"/>
    <w:rsid w:val="00D07D13"/>
    <w:rsid w:val="00D10B67"/>
    <w:rsid w:val="00D14691"/>
    <w:rsid w:val="00D1792B"/>
    <w:rsid w:val="00D20DB4"/>
    <w:rsid w:val="00D348F8"/>
    <w:rsid w:val="00D363BE"/>
    <w:rsid w:val="00D5088E"/>
    <w:rsid w:val="00D7325F"/>
    <w:rsid w:val="00D87C82"/>
    <w:rsid w:val="00DA22C8"/>
    <w:rsid w:val="00DC2257"/>
    <w:rsid w:val="00DC3147"/>
    <w:rsid w:val="00DD4BD7"/>
    <w:rsid w:val="00E07CF1"/>
    <w:rsid w:val="00E13219"/>
    <w:rsid w:val="00E16144"/>
    <w:rsid w:val="00E219D4"/>
    <w:rsid w:val="00E507F8"/>
    <w:rsid w:val="00E52374"/>
    <w:rsid w:val="00E539A0"/>
    <w:rsid w:val="00E53A47"/>
    <w:rsid w:val="00E96133"/>
    <w:rsid w:val="00EA1437"/>
    <w:rsid w:val="00EB7780"/>
    <w:rsid w:val="00EC59A4"/>
    <w:rsid w:val="00EC5C47"/>
    <w:rsid w:val="00ED3F94"/>
    <w:rsid w:val="00EE2C50"/>
    <w:rsid w:val="00EF40F3"/>
    <w:rsid w:val="00EF4BC0"/>
    <w:rsid w:val="00F07991"/>
    <w:rsid w:val="00F1115A"/>
    <w:rsid w:val="00F33688"/>
    <w:rsid w:val="00F45B63"/>
    <w:rsid w:val="00F5496E"/>
    <w:rsid w:val="00F742B3"/>
    <w:rsid w:val="00F83D35"/>
    <w:rsid w:val="00F87183"/>
    <w:rsid w:val="00F94C96"/>
    <w:rsid w:val="00FA2832"/>
    <w:rsid w:val="00FA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D4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link w:val="Corpsdutexte0"/>
    <w:rsid w:val="007B7922"/>
    <w:rPr>
      <w:shd w:val="clear" w:color="auto" w:fill="FFFFFF"/>
    </w:rPr>
  </w:style>
  <w:style w:type="character" w:customStyle="1" w:styleId="Corpsdutexte3Exact">
    <w:name w:val="Corps du texte (3) Exact"/>
    <w:link w:val="Corpsdutexte3"/>
    <w:rsid w:val="007B7922"/>
    <w:rPr>
      <w:rFonts w:ascii="Arial" w:eastAsia="Arial" w:hAnsi="Arial" w:cs="Arial"/>
      <w:spacing w:val="-6"/>
      <w:sz w:val="45"/>
      <w:szCs w:val="45"/>
      <w:shd w:val="clear" w:color="auto" w:fill="FFFFFF"/>
    </w:rPr>
  </w:style>
  <w:style w:type="character" w:customStyle="1" w:styleId="En-tte1">
    <w:name w:val="En-tête #1_"/>
    <w:link w:val="En-tte10"/>
    <w:rsid w:val="007B7922"/>
    <w:rPr>
      <w:rFonts w:ascii="Arial" w:eastAsia="Arial" w:hAnsi="Arial" w:cs="Arial"/>
      <w:spacing w:val="-10"/>
      <w:sz w:val="47"/>
      <w:szCs w:val="47"/>
      <w:shd w:val="clear" w:color="auto" w:fill="FFFFFF"/>
    </w:rPr>
  </w:style>
  <w:style w:type="character" w:customStyle="1" w:styleId="En-tte1Exact">
    <w:name w:val="En-tête #1 Exact"/>
    <w:rsid w:val="007B7922"/>
    <w:rPr>
      <w:rFonts w:ascii="Arial" w:eastAsia="Arial" w:hAnsi="Arial" w:cs="Arial"/>
      <w:b w:val="0"/>
      <w:bCs w:val="0"/>
      <w:i w:val="0"/>
      <w:iCs w:val="0"/>
      <w:smallCaps w:val="0"/>
      <w:strike w:val="0"/>
      <w:spacing w:val="-6"/>
      <w:sz w:val="45"/>
      <w:szCs w:val="45"/>
      <w:u w:val="none"/>
    </w:rPr>
  </w:style>
  <w:style w:type="paragraph" w:customStyle="1" w:styleId="Corpsdutexte0">
    <w:name w:val="Corps du texte"/>
    <w:basedOn w:val="Normal"/>
    <w:link w:val="Corpsdutexte"/>
    <w:rsid w:val="007B7922"/>
    <w:pPr>
      <w:widowControl w:val="0"/>
      <w:shd w:val="clear" w:color="auto" w:fill="FFFFFF"/>
      <w:spacing w:before="0" w:after="0" w:line="278" w:lineRule="exact"/>
      <w:ind w:hanging="840"/>
      <w:jc w:val="left"/>
    </w:pPr>
    <w:rPr>
      <w:rFonts w:asciiTheme="minorHAnsi" w:hAnsiTheme="minorHAnsi" w:cstheme="minorBidi"/>
      <w:sz w:val="22"/>
      <w:lang w:val="en-US"/>
    </w:rPr>
  </w:style>
  <w:style w:type="paragraph" w:customStyle="1" w:styleId="Corpsdutexte3">
    <w:name w:val="Corps du texte (3)"/>
    <w:basedOn w:val="Normal"/>
    <w:link w:val="Corpsdutexte3Exact"/>
    <w:rsid w:val="007B7922"/>
    <w:pPr>
      <w:widowControl w:val="0"/>
      <w:shd w:val="clear" w:color="auto" w:fill="FFFFFF"/>
      <w:spacing w:before="0" w:after="0" w:line="0" w:lineRule="atLeast"/>
      <w:jc w:val="left"/>
    </w:pPr>
    <w:rPr>
      <w:rFonts w:ascii="Arial" w:eastAsia="Arial" w:hAnsi="Arial" w:cs="Arial"/>
      <w:spacing w:val="-6"/>
      <w:sz w:val="45"/>
      <w:szCs w:val="45"/>
      <w:lang w:val="en-US"/>
    </w:rPr>
  </w:style>
  <w:style w:type="paragraph" w:customStyle="1" w:styleId="En-tte10">
    <w:name w:val="En-tête #1"/>
    <w:basedOn w:val="Normal"/>
    <w:link w:val="En-tte1"/>
    <w:rsid w:val="007B7922"/>
    <w:pPr>
      <w:widowControl w:val="0"/>
      <w:shd w:val="clear" w:color="auto" w:fill="FFFFFF"/>
      <w:spacing w:before="0" w:after="0" w:line="0" w:lineRule="atLeast"/>
      <w:jc w:val="left"/>
      <w:outlineLvl w:val="0"/>
    </w:pPr>
    <w:rPr>
      <w:rFonts w:ascii="Arial" w:eastAsia="Arial" w:hAnsi="Arial" w:cs="Arial"/>
      <w:spacing w:val="-10"/>
      <w:sz w:val="47"/>
      <w:szCs w:val="47"/>
      <w:lang w:val="en-US"/>
    </w:rPr>
  </w:style>
  <w:style w:type="paragraph" w:styleId="Caption">
    <w:name w:val="caption"/>
    <w:basedOn w:val="Normal"/>
    <w:next w:val="Normal"/>
    <w:uiPriority w:val="35"/>
    <w:semiHidden/>
    <w:unhideWhenUsed/>
    <w:qFormat/>
    <w:rsid w:val="005A5230"/>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A5230"/>
    <w:pPr>
      <w:spacing w:after="0"/>
    </w:pPr>
  </w:style>
  <w:style w:type="paragraph" w:styleId="ListBullet">
    <w:name w:val="List Bullet"/>
    <w:basedOn w:val="Normal"/>
    <w:uiPriority w:val="99"/>
    <w:semiHidden/>
    <w:unhideWhenUsed/>
    <w:rsid w:val="005A5230"/>
    <w:pPr>
      <w:numPr>
        <w:numId w:val="3"/>
      </w:numPr>
      <w:contextualSpacing/>
    </w:pPr>
  </w:style>
  <w:style w:type="paragraph" w:styleId="ListBullet2">
    <w:name w:val="List Bullet 2"/>
    <w:basedOn w:val="Normal"/>
    <w:uiPriority w:val="99"/>
    <w:semiHidden/>
    <w:unhideWhenUsed/>
    <w:rsid w:val="005A5230"/>
    <w:pPr>
      <w:numPr>
        <w:numId w:val="4"/>
      </w:numPr>
      <w:contextualSpacing/>
    </w:pPr>
  </w:style>
  <w:style w:type="paragraph" w:styleId="ListBullet3">
    <w:name w:val="List Bullet 3"/>
    <w:basedOn w:val="Normal"/>
    <w:uiPriority w:val="99"/>
    <w:semiHidden/>
    <w:unhideWhenUsed/>
    <w:rsid w:val="005A5230"/>
    <w:pPr>
      <w:numPr>
        <w:numId w:val="5"/>
      </w:numPr>
      <w:contextualSpacing/>
    </w:pPr>
  </w:style>
  <w:style w:type="paragraph" w:styleId="ListBullet4">
    <w:name w:val="List Bullet 4"/>
    <w:basedOn w:val="Normal"/>
    <w:uiPriority w:val="99"/>
    <w:semiHidden/>
    <w:unhideWhenUsed/>
    <w:rsid w:val="005A5230"/>
    <w:pPr>
      <w:numPr>
        <w:numId w:val="6"/>
      </w:numPr>
      <w:contextualSpacing/>
    </w:pPr>
  </w:style>
  <w:style w:type="paragraph" w:styleId="ListNumber">
    <w:name w:val="List Number"/>
    <w:basedOn w:val="Normal"/>
    <w:uiPriority w:val="99"/>
    <w:semiHidden/>
    <w:unhideWhenUsed/>
    <w:rsid w:val="005A5230"/>
    <w:pPr>
      <w:numPr>
        <w:numId w:val="7"/>
      </w:numPr>
      <w:contextualSpacing/>
    </w:pPr>
  </w:style>
  <w:style w:type="paragraph" w:styleId="ListNumber2">
    <w:name w:val="List Number 2"/>
    <w:basedOn w:val="Normal"/>
    <w:uiPriority w:val="99"/>
    <w:semiHidden/>
    <w:unhideWhenUsed/>
    <w:rsid w:val="005A5230"/>
    <w:pPr>
      <w:numPr>
        <w:numId w:val="8"/>
      </w:numPr>
      <w:contextualSpacing/>
    </w:pPr>
  </w:style>
  <w:style w:type="paragraph" w:styleId="ListNumber3">
    <w:name w:val="List Number 3"/>
    <w:basedOn w:val="Normal"/>
    <w:uiPriority w:val="99"/>
    <w:semiHidden/>
    <w:unhideWhenUsed/>
    <w:rsid w:val="005A5230"/>
    <w:pPr>
      <w:numPr>
        <w:numId w:val="9"/>
      </w:numPr>
      <w:contextualSpacing/>
    </w:pPr>
  </w:style>
  <w:style w:type="paragraph" w:styleId="ListNumber4">
    <w:name w:val="List Number 4"/>
    <w:basedOn w:val="Normal"/>
    <w:uiPriority w:val="99"/>
    <w:semiHidden/>
    <w:unhideWhenUsed/>
    <w:rsid w:val="005A5230"/>
    <w:pPr>
      <w:numPr>
        <w:numId w:val="10"/>
      </w:numPr>
      <w:contextualSpacing/>
    </w:pPr>
  </w:style>
  <w:style w:type="character" w:styleId="CommentReference">
    <w:name w:val="annotation reference"/>
    <w:basedOn w:val="DefaultParagraphFont"/>
    <w:uiPriority w:val="99"/>
    <w:semiHidden/>
    <w:unhideWhenUsed/>
    <w:rsid w:val="00566687"/>
    <w:rPr>
      <w:sz w:val="16"/>
      <w:szCs w:val="16"/>
    </w:rPr>
  </w:style>
  <w:style w:type="paragraph" w:styleId="CommentText">
    <w:name w:val="annotation text"/>
    <w:basedOn w:val="Normal"/>
    <w:link w:val="CommentTextChar"/>
    <w:uiPriority w:val="99"/>
    <w:unhideWhenUsed/>
    <w:rsid w:val="00566687"/>
    <w:rPr>
      <w:sz w:val="20"/>
      <w:szCs w:val="20"/>
    </w:rPr>
  </w:style>
  <w:style w:type="character" w:customStyle="1" w:styleId="CommentTextChar">
    <w:name w:val="Comment Text Char"/>
    <w:basedOn w:val="DefaultParagraphFont"/>
    <w:link w:val="CommentText"/>
    <w:uiPriority w:val="99"/>
    <w:rsid w:val="0056668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rFonts w:ascii="Times New Roman" w:hAnsi="Times New Roman" w:cs="Times New Roman"/>
      <w:b/>
      <w:bCs/>
      <w:sz w:val="20"/>
      <w:szCs w:val="20"/>
      <w:lang w:val="en-GB"/>
    </w:rPr>
  </w:style>
  <w:style w:type="character" w:styleId="Hyperlink">
    <w:name w:val="Hyperlink"/>
    <w:basedOn w:val="DefaultParagraphFont"/>
    <w:uiPriority w:val="99"/>
    <w:unhideWhenUsed/>
    <w:rsid w:val="00566687"/>
    <w:rPr>
      <w:color w:val="0000FF" w:themeColor="hyperlink"/>
      <w:u w:val="single"/>
    </w:rPr>
  </w:style>
  <w:style w:type="paragraph" w:styleId="BalloonText">
    <w:name w:val="Balloon Text"/>
    <w:basedOn w:val="Normal"/>
    <w:link w:val="BalloonTextChar"/>
    <w:uiPriority w:val="99"/>
    <w:semiHidden/>
    <w:unhideWhenUsed/>
    <w:rsid w:val="005666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87"/>
    <w:rPr>
      <w:rFonts w:ascii="Tahoma" w:hAnsi="Tahoma" w:cs="Tahoma"/>
      <w:sz w:val="16"/>
      <w:szCs w:val="16"/>
      <w:lang w:val="en-GB"/>
    </w:rPr>
  </w:style>
  <w:style w:type="paragraph" w:styleId="Header">
    <w:name w:val="header"/>
    <w:basedOn w:val="Normal"/>
    <w:link w:val="HeaderChar"/>
    <w:uiPriority w:val="99"/>
    <w:unhideWhenUsed/>
    <w:rsid w:val="0018259B"/>
    <w:pPr>
      <w:tabs>
        <w:tab w:val="center" w:pos="4535"/>
        <w:tab w:val="right" w:pos="9071"/>
      </w:tabs>
      <w:spacing w:before="0"/>
    </w:pPr>
  </w:style>
  <w:style w:type="character" w:customStyle="1" w:styleId="HeaderChar">
    <w:name w:val="Header Char"/>
    <w:basedOn w:val="DefaultParagraphFont"/>
    <w:link w:val="Header"/>
    <w:uiPriority w:val="99"/>
    <w:rsid w:val="0018259B"/>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18259B"/>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link w:val="Corpsdutexte0"/>
    <w:rsid w:val="007B7922"/>
    <w:rPr>
      <w:shd w:val="clear" w:color="auto" w:fill="FFFFFF"/>
    </w:rPr>
  </w:style>
  <w:style w:type="character" w:customStyle="1" w:styleId="Corpsdutexte3Exact">
    <w:name w:val="Corps du texte (3) Exact"/>
    <w:link w:val="Corpsdutexte3"/>
    <w:rsid w:val="007B7922"/>
    <w:rPr>
      <w:rFonts w:ascii="Arial" w:eastAsia="Arial" w:hAnsi="Arial" w:cs="Arial"/>
      <w:spacing w:val="-6"/>
      <w:sz w:val="45"/>
      <w:szCs w:val="45"/>
      <w:shd w:val="clear" w:color="auto" w:fill="FFFFFF"/>
    </w:rPr>
  </w:style>
  <w:style w:type="character" w:customStyle="1" w:styleId="En-tte1">
    <w:name w:val="En-tête #1_"/>
    <w:link w:val="En-tte10"/>
    <w:rsid w:val="007B7922"/>
    <w:rPr>
      <w:rFonts w:ascii="Arial" w:eastAsia="Arial" w:hAnsi="Arial" w:cs="Arial"/>
      <w:spacing w:val="-10"/>
      <w:sz w:val="47"/>
      <w:szCs w:val="47"/>
      <w:shd w:val="clear" w:color="auto" w:fill="FFFFFF"/>
    </w:rPr>
  </w:style>
  <w:style w:type="character" w:customStyle="1" w:styleId="En-tte1Exact">
    <w:name w:val="En-tête #1 Exact"/>
    <w:rsid w:val="007B7922"/>
    <w:rPr>
      <w:rFonts w:ascii="Arial" w:eastAsia="Arial" w:hAnsi="Arial" w:cs="Arial"/>
      <w:b w:val="0"/>
      <w:bCs w:val="0"/>
      <w:i w:val="0"/>
      <w:iCs w:val="0"/>
      <w:smallCaps w:val="0"/>
      <w:strike w:val="0"/>
      <w:spacing w:val="-6"/>
      <w:sz w:val="45"/>
      <w:szCs w:val="45"/>
      <w:u w:val="none"/>
    </w:rPr>
  </w:style>
  <w:style w:type="paragraph" w:customStyle="1" w:styleId="Corpsdutexte0">
    <w:name w:val="Corps du texte"/>
    <w:basedOn w:val="Normal"/>
    <w:link w:val="Corpsdutexte"/>
    <w:rsid w:val="007B7922"/>
    <w:pPr>
      <w:widowControl w:val="0"/>
      <w:shd w:val="clear" w:color="auto" w:fill="FFFFFF"/>
      <w:spacing w:before="0" w:after="0" w:line="278" w:lineRule="exact"/>
      <w:ind w:hanging="840"/>
      <w:jc w:val="left"/>
    </w:pPr>
    <w:rPr>
      <w:rFonts w:asciiTheme="minorHAnsi" w:hAnsiTheme="minorHAnsi" w:cstheme="minorBidi"/>
      <w:sz w:val="22"/>
      <w:lang w:val="en-US"/>
    </w:rPr>
  </w:style>
  <w:style w:type="paragraph" w:customStyle="1" w:styleId="Corpsdutexte3">
    <w:name w:val="Corps du texte (3)"/>
    <w:basedOn w:val="Normal"/>
    <w:link w:val="Corpsdutexte3Exact"/>
    <w:rsid w:val="007B7922"/>
    <w:pPr>
      <w:widowControl w:val="0"/>
      <w:shd w:val="clear" w:color="auto" w:fill="FFFFFF"/>
      <w:spacing w:before="0" w:after="0" w:line="0" w:lineRule="atLeast"/>
      <w:jc w:val="left"/>
    </w:pPr>
    <w:rPr>
      <w:rFonts w:ascii="Arial" w:eastAsia="Arial" w:hAnsi="Arial" w:cs="Arial"/>
      <w:spacing w:val="-6"/>
      <w:sz w:val="45"/>
      <w:szCs w:val="45"/>
      <w:lang w:val="en-US"/>
    </w:rPr>
  </w:style>
  <w:style w:type="paragraph" w:customStyle="1" w:styleId="En-tte10">
    <w:name w:val="En-tête #1"/>
    <w:basedOn w:val="Normal"/>
    <w:link w:val="En-tte1"/>
    <w:rsid w:val="007B7922"/>
    <w:pPr>
      <w:widowControl w:val="0"/>
      <w:shd w:val="clear" w:color="auto" w:fill="FFFFFF"/>
      <w:spacing w:before="0" w:after="0" w:line="0" w:lineRule="atLeast"/>
      <w:jc w:val="left"/>
      <w:outlineLvl w:val="0"/>
    </w:pPr>
    <w:rPr>
      <w:rFonts w:ascii="Arial" w:eastAsia="Arial" w:hAnsi="Arial" w:cs="Arial"/>
      <w:spacing w:val="-10"/>
      <w:sz w:val="47"/>
      <w:szCs w:val="47"/>
      <w:lang w:val="en-US"/>
    </w:rPr>
  </w:style>
  <w:style w:type="paragraph" w:styleId="Caption">
    <w:name w:val="caption"/>
    <w:basedOn w:val="Normal"/>
    <w:next w:val="Normal"/>
    <w:uiPriority w:val="35"/>
    <w:semiHidden/>
    <w:unhideWhenUsed/>
    <w:qFormat/>
    <w:rsid w:val="005A5230"/>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A5230"/>
    <w:pPr>
      <w:spacing w:after="0"/>
    </w:pPr>
  </w:style>
  <w:style w:type="paragraph" w:styleId="ListBullet">
    <w:name w:val="List Bullet"/>
    <w:basedOn w:val="Normal"/>
    <w:uiPriority w:val="99"/>
    <w:semiHidden/>
    <w:unhideWhenUsed/>
    <w:rsid w:val="005A5230"/>
    <w:pPr>
      <w:numPr>
        <w:numId w:val="3"/>
      </w:numPr>
      <w:contextualSpacing/>
    </w:pPr>
  </w:style>
  <w:style w:type="paragraph" w:styleId="ListBullet2">
    <w:name w:val="List Bullet 2"/>
    <w:basedOn w:val="Normal"/>
    <w:uiPriority w:val="99"/>
    <w:semiHidden/>
    <w:unhideWhenUsed/>
    <w:rsid w:val="005A5230"/>
    <w:pPr>
      <w:numPr>
        <w:numId w:val="4"/>
      </w:numPr>
      <w:contextualSpacing/>
    </w:pPr>
  </w:style>
  <w:style w:type="paragraph" w:styleId="ListBullet3">
    <w:name w:val="List Bullet 3"/>
    <w:basedOn w:val="Normal"/>
    <w:uiPriority w:val="99"/>
    <w:semiHidden/>
    <w:unhideWhenUsed/>
    <w:rsid w:val="005A5230"/>
    <w:pPr>
      <w:numPr>
        <w:numId w:val="5"/>
      </w:numPr>
      <w:contextualSpacing/>
    </w:pPr>
  </w:style>
  <w:style w:type="paragraph" w:styleId="ListBullet4">
    <w:name w:val="List Bullet 4"/>
    <w:basedOn w:val="Normal"/>
    <w:uiPriority w:val="99"/>
    <w:semiHidden/>
    <w:unhideWhenUsed/>
    <w:rsid w:val="005A5230"/>
    <w:pPr>
      <w:numPr>
        <w:numId w:val="6"/>
      </w:numPr>
      <w:contextualSpacing/>
    </w:pPr>
  </w:style>
  <w:style w:type="paragraph" w:styleId="ListNumber">
    <w:name w:val="List Number"/>
    <w:basedOn w:val="Normal"/>
    <w:uiPriority w:val="99"/>
    <w:semiHidden/>
    <w:unhideWhenUsed/>
    <w:rsid w:val="005A5230"/>
    <w:pPr>
      <w:numPr>
        <w:numId w:val="7"/>
      </w:numPr>
      <w:contextualSpacing/>
    </w:pPr>
  </w:style>
  <w:style w:type="paragraph" w:styleId="ListNumber2">
    <w:name w:val="List Number 2"/>
    <w:basedOn w:val="Normal"/>
    <w:uiPriority w:val="99"/>
    <w:semiHidden/>
    <w:unhideWhenUsed/>
    <w:rsid w:val="005A5230"/>
    <w:pPr>
      <w:numPr>
        <w:numId w:val="8"/>
      </w:numPr>
      <w:contextualSpacing/>
    </w:pPr>
  </w:style>
  <w:style w:type="paragraph" w:styleId="ListNumber3">
    <w:name w:val="List Number 3"/>
    <w:basedOn w:val="Normal"/>
    <w:uiPriority w:val="99"/>
    <w:semiHidden/>
    <w:unhideWhenUsed/>
    <w:rsid w:val="005A5230"/>
    <w:pPr>
      <w:numPr>
        <w:numId w:val="9"/>
      </w:numPr>
      <w:contextualSpacing/>
    </w:pPr>
  </w:style>
  <w:style w:type="paragraph" w:styleId="ListNumber4">
    <w:name w:val="List Number 4"/>
    <w:basedOn w:val="Normal"/>
    <w:uiPriority w:val="99"/>
    <w:semiHidden/>
    <w:unhideWhenUsed/>
    <w:rsid w:val="005A5230"/>
    <w:pPr>
      <w:numPr>
        <w:numId w:val="10"/>
      </w:numPr>
      <w:contextualSpacing/>
    </w:pPr>
  </w:style>
  <w:style w:type="character" w:styleId="CommentReference">
    <w:name w:val="annotation reference"/>
    <w:basedOn w:val="DefaultParagraphFont"/>
    <w:uiPriority w:val="99"/>
    <w:semiHidden/>
    <w:unhideWhenUsed/>
    <w:rsid w:val="00566687"/>
    <w:rPr>
      <w:sz w:val="16"/>
      <w:szCs w:val="16"/>
    </w:rPr>
  </w:style>
  <w:style w:type="paragraph" w:styleId="CommentText">
    <w:name w:val="annotation text"/>
    <w:basedOn w:val="Normal"/>
    <w:link w:val="CommentTextChar"/>
    <w:uiPriority w:val="99"/>
    <w:unhideWhenUsed/>
    <w:rsid w:val="00566687"/>
    <w:rPr>
      <w:sz w:val="20"/>
      <w:szCs w:val="20"/>
    </w:rPr>
  </w:style>
  <w:style w:type="character" w:customStyle="1" w:styleId="CommentTextChar">
    <w:name w:val="Comment Text Char"/>
    <w:basedOn w:val="DefaultParagraphFont"/>
    <w:link w:val="CommentText"/>
    <w:uiPriority w:val="99"/>
    <w:rsid w:val="0056668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rFonts w:ascii="Times New Roman" w:hAnsi="Times New Roman" w:cs="Times New Roman"/>
      <w:b/>
      <w:bCs/>
      <w:sz w:val="20"/>
      <w:szCs w:val="20"/>
      <w:lang w:val="en-GB"/>
    </w:rPr>
  </w:style>
  <w:style w:type="character" w:styleId="Hyperlink">
    <w:name w:val="Hyperlink"/>
    <w:basedOn w:val="DefaultParagraphFont"/>
    <w:uiPriority w:val="99"/>
    <w:unhideWhenUsed/>
    <w:rsid w:val="00566687"/>
    <w:rPr>
      <w:color w:val="0000FF" w:themeColor="hyperlink"/>
      <w:u w:val="single"/>
    </w:rPr>
  </w:style>
  <w:style w:type="paragraph" w:styleId="BalloonText">
    <w:name w:val="Balloon Text"/>
    <w:basedOn w:val="Normal"/>
    <w:link w:val="BalloonTextChar"/>
    <w:uiPriority w:val="99"/>
    <w:semiHidden/>
    <w:unhideWhenUsed/>
    <w:rsid w:val="005666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87"/>
    <w:rPr>
      <w:rFonts w:ascii="Tahoma" w:hAnsi="Tahoma" w:cs="Tahoma"/>
      <w:sz w:val="16"/>
      <w:szCs w:val="16"/>
      <w:lang w:val="en-GB"/>
    </w:rPr>
  </w:style>
  <w:style w:type="paragraph" w:styleId="Header">
    <w:name w:val="header"/>
    <w:basedOn w:val="Normal"/>
    <w:link w:val="HeaderChar"/>
    <w:uiPriority w:val="99"/>
    <w:unhideWhenUsed/>
    <w:rsid w:val="0018259B"/>
    <w:pPr>
      <w:tabs>
        <w:tab w:val="center" w:pos="4535"/>
        <w:tab w:val="right" w:pos="9071"/>
      </w:tabs>
      <w:spacing w:before="0"/>
    </w:pPr>
  </w:style>
  <w:style w:type="character" w:customStyle="1" w:styleId="HeaderChar">
    <w:name w:val="Header Char"/>
    <w:basedOn w:val="DefaultParagraphFont"/>
    <w:link w:val="Header"/>
    <w:uiPriority w:val="99"/>
    <w:rsid w:val="0018259B"/>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18259B"/>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deficit/countries/portugal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98C8-F2AE-425D-865A-7E74FC15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2392</Words>
  <Characters>12985</Characters>
  <Application>Microsoft Office Word</Application>
  <DocSecurity>0</DocSecurity>
  <Lines>208</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HOMANS Isabelle (ECFIN)</dc:creator>
  <cp:lastModifiedBy>Stefanie Heilemann</cp:lastModifiedBy>
  <cp:revision>3</cp:revision>
  <cp:lastPrinted>2016-07-22T13:45:00Z</cp:lastPrinted>
  <dcterms:created xsi:type="dcterms:W3CDTF">2016-07-27T11:20:00Z</dcterms:created>
  <dcterms:modified xsi:type="dcterms:W3CDTF">2016-07-27T11:20:00Z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